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sdt>
      <w:sdtPr>
        <w:docPartObj>
          <w:docPartGallery w:val="Table of Contents"/>
          <w:docPartUnique w:val="true"/>
        </w:docPartObj>
      </w:sdtPr>
      <w:sdtContent>
        <w:p>
          <w:pPr>
            <w:pStyle w:val="Nagwekspisutreci"/>
            <w:spacing w:lineRule="auto" w:line="360" w:before="240" w:after="120"/>
            <w:rPr>
              <w:rFonts w:ascii="ISOCPEUR" w:hAnsi="ISOCPEUR"/>
            </w:rPr>
          </w:pPr>
          <w:r>
            <w:rPr>
              <w:rFonts w:ascii="ISOCPEUR" w:hAnsi="ISOCPEUR"/>
            </w:rPr>
            <w:t>SPIS TREŚCI</w:t>
          </w:r>
        </w:p>
        <w:p>
          <w:pPr>
            <w:pStyle w:val="Spistreci1"/>
            <w:tabs>
              <w:tab w:val="clear" w:pos="142"/>
              <w:tab w:val="clear" w:pos="426"/>
              <w:tab w:val="clear" w:pos="9062"/>
              <w:tab w:val="right" w:pos="9072" w:leader="dot"/>
            </w:tabs>
            <w:spacing w:lineRule="auto" w:line="360"/>
            <w:rPr/>
          </w:pPr>
          <w:r>
            <w:fldChar w:fldCharType="begin"/>
          </w:r>
          <w:r>
            <w:rPr>
              <w:webHidden/>
              <w:rStyle w:val="Czeindeksu"/>
              <w:rFonts w:ascii="ISOCPEUR" w:hAnsi="ISOCPEUR"/>
            </w:rPr>
            <w:instrText> TOC \z \o "1-3" \u \h</w:instrText>
          </w:r>
          <w:r>
            <w:rPr>
              <w:webHidden/>
              <w:rStyle w:val="Czeindeksu"/>
              <w:rFonts w:ascii="ISOCPEUR" w:hAnsi="ISOCPEUR"/>
            </w:rPr>
            <w:fldChar w:fldCharType="separate"/>
          </w:r>
          <w:hyperlink w:anchor="__RefHeading___Toc6596_1471982776">
            <w:r>
              <w:rPr>
                <w:webHidden/>
                <w:rStyle w:val="Czeindeksu"/>
                <w:rFonts w:ascii="ISOCPEUR" w:hAnsi="ISOCPEUR"/>
              </w:rPr>
              <w:t>1 PRZEDMIOT I PODSTAWA OPRACOWANIA</w:t>
              <w:tab/>
              <w:t>2</w:t>
            </w:r>
          </w:hyperlink>
        </w:p>
        <w:p>
          <w:pPr>
            <w:pStyle w:val="Spistreci2"/>
            <w:tabs>
              <w:tab w:val="clear" w:pos="284"/>
              <w:tab w:val="clear" w:pos="709"/>
              <w:tab w:val="clear" w:pos="9062"/>
              <w:tab w:val="right" w:pos="9072" w:leader="dot"/>
            </w:tabs>
            <w:spacing w:lineRule="auto" w:line="360"/>
            <w:rPr/>
          </w:pPr>
          <w:hyperlink w:anchor="__RefHeading___Toc6598_1471982776">
            <w:r>
              <w:rPr>
                <w:webHidden/>
                <w:rStyle w:val="Czeindeksu"/>
                <w:rFonts w:ascii="ISOCPEUR" w:hAnsi="ISOCPEUR"/>
              </w:rPr>
              <w:t>1.1 Przedmiot i cel opracowania</w:t>
              <w:tab/>
              <w:t>2</w:t>
            </w:r>
          </w:hyperlink>
        </w:p>
        <w:p>
          <w:pPr>
            <w:pStyle w:val="Spistreci2"/>
            <w:tabs>
              <w:tab w:val="clear" w:pos="284"/>
              <w:tab w:val="clear" w:pos="709"/>
              <w:tab w:val="clear" w:pos="9062"/>
              <w:tab w:val="right" w:pos="9072" w:leader="dot"/>
            </w:tabs>
            <w:spacing w:lineRule="auto" w:line="360"/>
            <w:rPr/>
          </w:pPr>
          <w:hyperlink w:anchor="__RefHeading___Toc6600_1471982776">
            <w:r>
              <w:rPr>
                <w:webHidden/>
                <w:rStyle w:val="Czeindeksu"/>
                <w:rFonts w:ascii="ISOCPEUR" w:hAnsi="ISOCPEUR"/>
              </w:rPr>
              <w:t>1.2 Uwagi wstępne</w:t>
              <w:tab/>
              <w:t>2</w:t>
            </w:r>
          </w:hyperlink>
        </w:p>
        <w:p>
          <w:pPr>
            <w:pStyle w:val="Spistreci2"/>
            <w:tabs>
              <w:tab w:val="clear" w:pos="284"/>
              <w:tab w:val="clear" w:pos="709"/>
              <w:tab w:val="clear" w:pos="9062"/>
              <w:tab w:val="right" w:pos="9072" w:leader="dot"/>
            </w:tabs>
            <w:spacing w:lineRule="auto" w:line="360"/>
            <w:rPr/>
          </w:pPr>
          <w:hyperlink w:anchor="__RefHeading___Toc6602_1471982776">
            <w:r>
              <w:rPr>
                <w:webHidden/>
                <w:rStyle w:val="Czeindeksu"/>
                <w:rFonts w:ascii="ISOCPEUR" w:hAnsi="ISOCPEUR"/>
              </w:rPr>
              <w:t>1.3 Podstawa opracowania</w:t>
              <w:tab/>
              <w:t>2</w:t>
            </w:r>
          </w:hyperlink>
        </w:p>
        <w:p>
          <w:pPr>
            <w:pStyle w:val="Spistreci3"/>
            <w:tabs>
              <w:tab w:val="clear" w:pos="1929"/>
              <w:tab w:val="clear" w:pos="9062"/>
              <w:tab w:val="right" w:pos="9072" w:leader="dot"/>
            </w:tabs>
            <w:spacing w:lineRule="auto" w:line="360"/>
            <w:rPr/>
          </w:pPr>
          <w:hyperlink w:anchor="__RefHeading___Toc6604_1471982776">
            <w:r>
              <w:rPr>
                <w:webHidden/>
                <w:rStyle w:val="Czeindeksu"/>
                <w:rFonts w:ascii="ISOCPEUR" w:hAnsi="ISOCPEUR"/>
              </w:rPr>
              <w:t>1.3.1 Materiały podstawowe</w:t>
              <w:tab/>
              <w:t>2</w:t>
            </w:r>
          </w:hyperlink>
        </w:p>
        <w:p>
          <w:pPr>
            <w:pStyle w:val="Spistreci3"/>
            <w:tabs>
              <w:tab w:val="clear" w:pos="1929"/>
              <w:tab w:val="clear" w:pos="9062"/>
              <w:tab w:val="right" w:pos="9072" w:leader="dot"/>
            </w:tabs>
            <w:spacing w:lineRule="auto" w:line="360"/>
            <w:rPr/>
          </w:pPr>
          <w:hyperlink w:anchor="__RefHeading___Toc6606_1471982776">
            <w:r>
              <w:rPr>
                <w:webHidden/>
                <w:rStyle w:val="Czeindeksu"/>
                <w:rFonts w:ascii="ISOCPEUR" w:hAnsi="ISOCPEUR"/>
              </w:rPr>
              <w:t>1.3.2 Akty prawne</w:t>
              <w:tab/>
              <w:t>2</w:t>
            </w:r>
          </w:hyperlink>
        </w:p>
        <w:p>
          <w:pPr>
            <w:pStyle w:val="Spistreci1"/>
            <w:tabs>
              <w:tab w:val="clear" w:pos="142"/>
              <w:tab w:val="clear" w:pos="426"/>
              <w:tab w:val="clear" w:pos="9062"/>
              <w:tab w:val="right" w:pos="9072" w:leader="dot"/>
            </w:tabs>
            <w:spacing w:lineRule="auto" w:line="360"/>
            <w:rPr/>
          </w:pPr>
          <w:hyperlink w:anchor="__RefHeading___Toc6608_1471982776">
            <w:r>
              <w:rPr>
                <w:webHidden/>
                <w:rStyle w:val="Czeindeksu"/>
                <w:rFonts w:ascii="ISOCPEUR" w:hAnsi="ISOCPEUR"/>
              </w:rPr>
              <w:t>2 OPIS STANU ISTNIEJĄCEGO</w:t>
              <w:tab/>
              <w:t>3</w:t>
            </w:r>
          </w:hyperlink>
        </w:p>
        <w:p>
          <w:pPr>
            <w:pStyle w:val="Spistreci2"/>
            <w:tabs>
              <w:tab w:val="clear" w:pos="284"/>
              <w:tab w:val="clear" w:pos="709"/>
              <w:tab w:val="clear" w:pos="9062"/>
              <w:tab w:val="right" w:pos="9072" w:leader="dot"/>
            </w:tabs>
            <w:spacing w:lineRule="auto" w:line="360"/>
            <w:rPr/>
          </w:pPr>
          <w:hyperlink w:anchor="__RefHeading___Toc6610_1471982776">
            <w:r>
              <w:rPr>
                <w:webHidden/>
                <w:rStyle w:val="Czeindeksu"/>
                <w:rFonts w:ascii="ISOCPEUR" w:hAnsi="ISOCPEUR"/>
              </w:rPr>
              <w:t>2.1 Opis stanu istniejącego</w:t>
              <w:tab/>
              <w:t>3</w:t>
            </w:r>
          </w:hyperlink>
        </w:p>
        <w:p>
          <w:pPr>
            <w:pStyle w:val="Spistreci2"/>
            <w:tabs>
              <w:tab w:val="clear" w:pos="284"/>
              <w:tab w:val="clear" w:pos="709"/>
              <w:tab w:val="clear" w:pos="9062"/>
              <w:tab w:val="right" w:pos="9072" w:leader="dot"/>
            </w:tabs>
            <w:spacing w:lineRule="auto" w:line="360"/>
            <w:rPr/>
          </w:pPr>
          <w:hyperlink w:anchor="__RefHeading___Toc6612_1471982776">
            <w:r>
              <w:rPr>
                <w:webHidden/>
                <w:rStyle w:val="Czeindeksu"/>
                <w:rFonts w:ascii="ISOCPEUR" w:hAnsi="ISOCPEUR"/>
              </w:rPr>
              <w:t>2.2 Podstawowe parametry techniczne</w:t>
              <w:tab/>
              <w:t>4</w:t>
            </w:r>
          </w:hyperlink>
        </w:p>
        <w:p>
          <w:pPr>
            <w:pStyle w:val="Spistreci2"/>
            <w:tabs>
              <w:tab w:val="clear" w:pos="284"/>
              <w:tab w:val="clear" w:pos="709"/>
              <w:tab w:val="clear" w:pos="9062"/>
              <w:tab w:val="right" w:pos="9072" w:leader="dot"/>
            </w:tabs>
            <w:spacing w:lineRule="auto" w:line="360"/>
            <w:rPr/>
          </w:pPr>
          <w:hyperlink w:anchor="__RefHeading___Toc6614_1471982776">
            <w:r>
              <w:rPr>
                <w:webHidden/>
                <w:rStyle w:val="Czeindeksu"/>
                <w:rFonts w:ascii="ISOCPEUR" w:hAnsi="ISOCPEUR"/>
              </w:rPr>
              <w:t>2.3 Istniejące zagospodarowanie terenu</w:t>
              <w:tab/>
              <w:t>4</w:t>
            </w:r>
          </w:hyperlink>
        </w:p>
        <w:p>
          <w:pPr>
            <w:pStyle w:val="Spistreci1"/>
            <w:tabs>
              <w:tab w:val="clear" w:pos="142"/>
              <w:tab w:val="clear" w:pos="426"/>
              <w:tab w:val="clear" w:pos="9062"/>
              <w:tab w:val="right" w:pos="9072" w:leader="dot"/>
            </w:tabs>
            <w:spacing w:lineRule="auto" w:line="360"/>
            <w:rPr/>
          </w:pPr>
          <w:hyperlink w:anchor="__RefHeading___Toc6616_1471982776">
            <w:r>
              <w:rPr>
                <w:webHidden/>
                <w:rStyle w:val="Czeindeksu"/>
                <w:rFonts w:ascii="ISOCPEUR" w:hAnsi="ISOCPEUR"/>
              </w:rPr>
              <w:t>3 OPIS STANU PROJEKTOWANEGO</w:t>
              <w:tab/>
              <w:t>4</w:t>
            </w:r>
          </w:hyperlink>
        </w:p>
        <w:p>
          <w:pPr>
            <w:pStyle w:val="Spistreci2"/>
            <w:tabs>
              <w:tab w:val="clear" w:pos="284"/>
              <w:tab w:val="clear" w:pos="709"/>
              <w:tab w:val="clear" w:pos="9062"/>
              <w:tab w:val="right" w:pos="9072" w:leader="dot"/>
            </w:tabs>
            <w:spacing w:lineRule="auto" w:line="360"/>
            <w:rPr/>
          </w:pPr>
          <w:hyperlink w:anchor="__RefHeading___Toc6618_1471982776">
            <w:r>
              <w:rPr>
                <w:webHidden/>
                <w:rStyle w:val="Czeindeksu"/>
                <w:rFonts w:ascii="ISOCPEUR" w:hAnsi="ISOCPEUR"/>
              </w:rPr>
              <w:t>3.1 ROBOTY ROZBIÓRKOWE I PRACE DEMONTAŻOWE</w:t>
              <w:tab/>
              <w:t>4</w:t>
            </w:r>
          </w:hyperlink>
        </w:p>
        <w:p>
          <w:pPr>
            <w:pStyle w:val="Spistreci2"/>
            <w:tabs>
              <w:tab w:val="clear" w:pos="284"/>
              <w:tab w:val="clear" w:pos="709"/>
              <w:tab w:val="clear" w:pos="9062"/>
              <w:tab w:val="right" w:pos="9072" w:leader="dot"/>
            </w:tabs>
            <w:spacing w:lineRule="auto" w:line="360"/>
            <w:rPr/>
          </w:pPr>
          <w:hyperlink w:anchor="__RefHeading___Toc6620_1471982776">
            <w:r>
              <w:rPr>
                <w:webHidden/>
                <w:rStyle w:val="Czeindeksu"/>
                <w:rFonts w:ascii="ISOCPEUR" w:hAnsi="ISOCPEUR"/>
              </w:rPr>
              <w:t>3.2 PROJEKTOWANE ZAGOSPODAROWANIE DZIAŁKI</w:t>
              <w:tab/>
              <w:t>4</w:t>
            </w:r>
          </w:hyperlink>
        </w:p>
        <w:p>
          <w:pPr>
            <w:pStyle w:val="Spistreci3"/>
            <w:tabs>
              <w:tab w:val="clear" w:pos="1929"/>
              <w:tab w:val="clear" w:pos="9062"/>
              <w:tab w:val="right" w:pos="9072" w:leader="dot"/>
            </w:tabs>
            <w:spacing w:lineRule="auto" w:line="360"/>
            <w:rPr/>
          </w:pPr>
          <w:hyperlink w:anchor="__RefHeading___Toc6622_1471982776">
            <w:r>
              <w:rPr>
                <w:webHidden/>
                <w:rStyle w:val="Czeindeksu"/>
                <w:rFonts w:ascii="ISOCPEUR" w:hAnsi="ISOCPEUR"/>
              </w:rPr>
              <w:t>3.2.1 Zestawienie powierzchni terenu objętego opracowaniem:</w:t>
              <w:tab/>
              <w:t>4</w:t>
            </w:r>
          </w:hyperlink>
        </w:p>
        <w:p>
          <w:pPr>
            <w:pStyle w:val="Spistreci2"/>
            <w:tabs>
              <w:tab w:val="clear" w:pos="284"/>
              <w:tab w:val="clear" w:pos="709"/>
              <w:tab w:val="clear" w:pos="9062"/>
              <w:tab w:val="right" w:pos="9072" w:leader="dot"/>
            </w:tabs>
            <w:spacing w:lineRule="auto" w:line="360"/>
            <w:rPr/>
          </w:pPr>
          <w:hyperlink w:anchor="__RefHeading___Toc6624_1471982776">
            <w:r>
              <w:rPr>
                <w:webHidden/>
                <w:rStyle w:val="Czeindeksu"/>
                <w:rFonts w:ascii="ISOCPEUR" w:hAnsi="ISOCPEUR"/>
              </w:rPr>
              <w:t>3.3 Opaska odwadniająca, utwardzenia pod agregat prądotwórczy</w:t>
              <w:tab/>
              <w:t>4</w:t>
            </w:r>
          </w:hyperlink>
        </w:p>
        <w:p>
          <w:pPr>
            <w:pStyle w:val="Spistreci2"/>
            <w:tabs>
              <w:tab w:val="clear" w:pos="284"/>
              <w:tab w:val="clear" w:pos="709"/>
              <w:tab w:val="clear" w:pos="9062"/>
              <w:tab w:val="right" w:pos="9072" w:leader="dot"/>
            </w:tabs>
            <w:spacing w:lineRule="auto" w:line="360"/>
            <w:rPr/>
          </w:pPr>
          <w:hyperlink w:anchor="__RefHeading___Toc6626_1471982776">
            <w:r>
              <w:rPr>
                <w:webHidden/>
                <w:rStyle w:val="Czeindeksu"/>
                <w:rFonts w:ascii="ISOCPEUR" w:hAnsi="ISOCPEUR"/>
              </w:rPr>
              <w:t>3.4 Projektowane roboty budowlane i instalacyjne</w:t>
              <w:tab/>
              <w:t>5</w:t>
            </w:r>
          </w:hyperlink>
        </w:p>
        <w:p>
          <w:pPr>
            <w:pStyle w:val="Spistreci2"/>
            <w:tabs>
              <w:tab w:val="clear" w:pos="284"/>
              <w:tab w:val="clear" w:pos="709"/>
              <w:tab w:val="clear" w:pos="9062"/>
              <w:tab w:val="right" w:pos="9072" w:leader="dot"/>
            </w:tabs>
            <w:spacing w:lineRule="auto" w:line="360"/>
            <w:rPr/>
          </w:pPr>
          <w:hyperlink w:anchor="__RefHeading___Toc6628_1471982776">
            <w:r>
              <w:rPr>
                <w:webHidden/>
                <w:rStyle w:val="Czeindeksu"/>
                <w:rFonts w:ascii="ISOCPEUR" w:hAnsi="ISOCPEUR"/>
              </w:rPr>
              <w:t>3.5 Rozwiązania Instalacyjne</w:t>
              <w:tab/>
              <w:t>5</w:t>
            </w:r>
          </w:hyperlink>
        </w:p>
        <w:p>
          <w:pPr>
            <w:pStyle w:val="Spistreci3"/>
            <w:tabs>
              <w:tab w:val="clear" w:pos="1929"/>
              <w:tab w:val="clear" w:pos="9062"/>
              <w:tab w:val="right" w:pos="9072" w:leader="dot"/>
            </w:tabs>
            <w:spacing w:lineRule="auto" w:line="360"/>
            <w:rPr/>
          </w:pPr>
          <w:hyperlink w:anchor="__RefHeading___Toc6630_1471982776">
            <w:r>
              <w:rPr>
                <w:webHidden/>
                <w:rStyle w:val="Czeindeksu"/>
                <w:rFonts w:ascii="ISOCPEUR" w:hAnsi="ISOCPEUR"/>
              </w:rPr>
              <w:t>3.5.1 MONTAŻ LAMPY UV (DEZYNFEKCJA)</w:t>
              <w:tab/>
              <w:t>5</w:t>
            </w:r>
          </w:hyperlink>
        </w:p>
        <w:p>
          <w:pPr>
            <w:pStyle w:val="Spistreci3"/>
            <w:tabs>
              <w:tab w:val="clear" w:pos="1929"/>
              <w:tab w:val="clear" w:pos="9062"/>
              <w:tab w:val="right" w:pos="9072" w:leader="dot"/>
            </w:tabs>
            <w:spacing w:lineRule="auto" w:line="360"/>
            <w:rPr/>
          </w:pPr>
          <w:hyperlink w:anchor="__RefHeading___Toc6632_1471982776">
            <w:r>
              <w:rPr>
                <w:webHidden/>
                <w:rStyle w:val="Czeindeksu"/>
                <w:rFonts w:ascii="ISOCPEUR" w:hAnsi="ISOCPEUR"/>
              </w:rPr>
              <w:t>3.5.2 PUNKT POBORU PRÓBEK</w:t>
              <w:tab/>
              <w:t>6</w:t>
            </w:r>
          </w:hyperlink>
        </w:p>
        <w:p>
          <w:pPr>
            <w:pStyle w:val="Spistreci3"/>
            <w:tabs>
              <w:tab w:val="clear" w:pos="1929"/>
              <w:tab w:val="clear" w:pos="9062"/>
              <w:tab w:val="right" w:pos="9072" w:leader="dot"/>
            </w:tabs>
            <w:spacing w:lineRule="auto" w:line="360"/>
            <w:rPr/>
          </w:pPr>
          <w:hyperlink w:anchor="__RefHeading___Toc6634_1471982776">
            <w:r>
              <w:rPr>
                <w:webHidden/>
                <w:rStyle w:val="Czeindeksu"/>
                <w:rFonts w:ascii="ISOCPEUR" w:hAnsi="ISOCPEUR"/>
              </w:rPr>
              <w:t>3.5.3 MONTAŻ OSUSZACZA POWIETRZA</w:t>
              <w:tab/>
              <w:t>6</w:t>
            </w:r>
          </w:hyperlink>
        </w:p>
        <w:p>
          <w:pPr>
            <w:pStyle w:val="Spistreci3"/>
            <w:tabs>
              <w:tab w:val="clear" w:pos="1929"/>
              <w:tab w:val="clear" w:pos="9062"/>
              <w:tab w:val="right" w:pos="9072" w:leader="dot"/>
            </w:tabs>
            <w:spacing w:lineRule="auto" w:line="360"/>
            <w:rPr/>
          </w:pPr>
          <w:hyperlink w:anchor="__RefHeading___Toc6634_14719827761">
            <w:r>
              <w:rPr>
                <w:webHidden/>
                <w:rStyle w:val="Czeindeksu"/>
                <w:rFonts w:ascii="ISOCPEUR" w:hAnsi="ISOCPEUR"/>
              </w:rPr>
              <w:t>3.5.4 MONTAŻ AGREGATU PRĄDOTWÓRCZEGO</w:t>
              <w:tab/>
              <w:t>6</w:t>
            </w:r>
          </w:hyperlink>
        </w:p>
        <w:p>
          <w:pPr>
            <w:pStyle w:val="Spistreci1"/>
            <w:tabs>
              <w:tab w:val="clear" w:pos="142"/>
              <w:tab w:val="clear" w:pos="426"/>
              <w:tab w:val="clear" w:pos="9062"/>
              <w:tab w:val="right" w:pos="9072" w:leader="dot"/>
            </w:tabs>
            <w:spacing w:lineRule="auto" w:line="360"/>
            <w:rPr/>
          </w:pPr>
          <w:hyperlink w:anchor="__RefHeading___Toc6654_1471982776">
            <w:r>
              <w:rPr>
                <w:webHidden/>
                <w:rStyle w:val="Czeindeksu"/>
                <w:rFonts w:ascii="ISOCPEUR" w:hAnsi="ISOCPEUR"/>
              </w:rPr>
              <w:t>4 technologia wykonania robót</w:t>
              <w:tab/>
              <w:t>6</w:t>
            </w:r>
          </w:hyperlink>
        </w:p>
        <w:p>
          <w:pPr>
            <w:pStyle w:val="Spistreci2"/>
            <w:tabs>
              <w:tab w:val="clear" w:pos="284"/>
              <w:tab w:val="clear" w:pos="709"/>
              <w:tab w:val="clear" w:pos="9062"/>
              <w:tab w:val="right" w:pos="9072" w:leader="dot"/>
            </w:tabs>
            <w:spacing w:lineRule="auto" w:line="360"/>
            <w:rPr/>
          </w:pPr>
          <w:hyperlink w:anchor="__RefHeading___Toc6656_1471982776">
            <w:r>
              <w:rPr>
                <w:webHidden/>
                <w:rStyle w:val="Czeindeksu"/>
                <w:rFonts w:ascii="ISOCPEUR" w:hAnsi="ISOCPEUR"/>
              </w:rPr>
              <w:t>4.1 Montaż rurociągów technologicznych i armatury</w:t>
              <w:tab/>
              <w:t>6</w:t>
            </w:r>
          </w:hyperlink>
        </w:p>
        <w:p>
          <w:pPr>
            <w:pStyle w:val="Spistreci2"/>
            <w:tabs>
              <w:tab w:val="clear" w:pos="284"/>
              <w:tab w:val="clear" w:pos="709"/>
              <w:tab w:val="clear" w:pos="9062"/>
              <w:tab w:val="right" w:pos="9072" w:leader="dot"/>
            </w:tabs>
            <w:spacing w:lineRule="auto" w:line="360"/>
            <w:rPr/>
          </w:pPr>
          <w:hyperlink w:anchor="__RefHeading___Toc6656_14719827761">
            <w:r>
              <w:rPr>
                <w:webHidden/>
                <w:rStyle w:val="Czeindeksu"/>
                <w:rFonts w:ascii="ISOCPEUR" w:hAnsi="ISOCPEUR"/>
              </w:rPr>
              <w:t>4.2 Próby i dezynfekcja</w:t>
              <w:tab/>
              <w:t>7</w:t>
            </w:r>
          </w:hyperlink>
        </w:p>
        <w:p>
          <w:pPr>
            <w:pStyle w:val="Spistreci1"/>
            <w:tabs>
              <w:tab w:val="clear" w:pos="142"/>
              <w:tab w:val="clear" w:pos="426"/>
              <w:tab w:val="clear" w:pos="9062"/>
              <w:tab w:val="right" w:pos="9072" w:leader="dot"/>
            </w:tabs>
            <w:spacing w:lineRule="auto" w:line="360"/>
            <w:rPr/>
          </w:pPr>
          <w:hyperlink w:anchor="__RefHeading___Toc6664_1471982776">
            <w:r>
              <w:rPr>
                <w:webHidden/>
                <w:rStyle w:val="Czeindeksu"/>
                <w:rFonts w:ascii="ISOCPEUR" w:hAnsi="ISOCPEUR"/>
              </w:rPr>
              <w:t>5 Informacja dotycząca Bezpieczeństwa i Ochrony Zdrowia</w:t>
              <w:tab/>
              <w:t>7</w:t>
            </w:r>
          </w:hyperlink>
        </w:p>
        <w:p>
          <w:pPr>
            <w:pStyle w:val="Spistreci2"/>
            <w:tabs>
              <w:tab w:val="clear" w:pos="284"/>
              <w:tab w:val="clear" w:pos="709"/>
              <w:tab w:val="clear" w:pos="9062"/>
              <w:tab w:val="right" w:pos="9072" w:leader="dot"/>
            </w:tabs>
            <w:spacing w:lineRule="auto" w:line="360"/>
            <w:rPr/>
          </w:pPr>
          <w:hyperlink w:anchor="__RefHeading___Toc6666_1471982776">
            <w:r>
              <w:rPr>
                <w:webHidden/>
                <w:rStyle w:val="Czeindeksu"/>
                <w:rFonts w:ascii="ISOCPEUR" w:hAnsi="ISOCPEUR"/>
              </w:rPr>
              <w:t>5.1 Elementy zagospodarowania terenu mogące powodować zagrożenie podczas prowadzenia robót</w:t>
              <w:tab/>
              <w:t>7</w:t>
            </w:r>
          </w:hyperlink>
        </w:p>
        <w:p>
          <w:pPr>
            <w:pStyle w:val="Spistreci2"/>
            <w:tabs>
              <w:tab w:val="clear" w:pos="284"/>
              <w:tab w:val="clear" w:pos="709"/>
              <w:tab w:val="clear" w:pos="9062"/>
              <w:tab w:val="right" w:pos="9072" w:leader="dot"/>
            </w:tabs>
            <w:spacing w:lineRule="auto" w:line="360"/>
            <w:rPr/>
          </w:pPr>
          <w:hyperlink w:anchor="__RefHeading___Toc6668_1471982776">
            <w:r>
              <w:rPr>
                <w:webHidden/>
                <w:rStyle w:val="Czeindeksu"/>
                <w:rFonts w:ascii="ISOCPEUR" w:hAnsi="ISOCPEUR"/>
              </w:rPr>
              <w:t>5.2 informacje dotyczące przewidzianych zagrożeń występujących podczas realizacji robót budowlanych</w:t>
              <w:tab/>
              <w:t>7</w:t>
            </w:r>
          </w:hyperlink>
        </w:p>
        <w:p>
          <w:pPr>
            <w:pStyle w:val="Spistreci2"/>
            <w:tabs>
              <w:tab w:val="clear" w:pos="284"/>
              <w:tab w:val="clear" w:pos="709"/>
              <w:tab w:val="clear" w:pos="9062"/>
              <w:tab w:val="right" w:pos="9072" w:leader="dot"/>
            </w:tabs>
            <w:spacing w:lineRule="auto" w:line="360"/>
            <w:rPr/>
          </w:pPr>
          <w:hyperlink w:anchor="__RefHeading___Toc6670_1471982776">
            <w:r>
              <w:rPr>
                <w:webHidden/>
                <w:rStyle w:val="Czeindeksu"/>
                <w:rFonts w:ascii="ISOCPEUR" w:hAnsi="ISOCPEUR"/>
              </w:rPr>
              <w:t>5.3 Sposób prowadzenia instruktażu</w:t>
              <w:tab/>
              <w:t>7</w:t>
            </w:r>
          </w:hyperlink>
        </w:p>
        <w:p>
          <w:pPr>
            <w:pStyle w:val="Spistreci2"/>
            <w:tabs>
              <w:tab w:val="clear" w:pos="284"/>
              <w:tab w:val="clear" w:pos="709"/>
              <w:tab w:val="clear" w:pos="9062"/>
              <w:tab w:val="right" w:pos="9072" w:leader="dot"/>
            </w:tabs>
            <w:spacing w:lineRule="auto" w:line="360"/>
            <w:rPr/>
          </w:pPr>
          <w:hyperlink w:anchor="__RefHeading___Toc6672_1471982776">
            <w:r>
              <w:rPr>
                <w:webHidden/>
                <w:rStyle w:val="Czeindeksu"/>
                <w:rFonts w:ascii="ISOCPEUR" w:hAnsi="ISOCPEUR"/>
              </w:rPr>
              <w:t>5.4 Środki techniczne i organizacyjne zapobiegające niebezpieczeństwom wynikającym z wykonania robót budowlanych</w:t>
              <w:tab/>
              <w:t>8</w:t>
            </w:r>
          </w:hyperlink>
        </w:p>
        <w:p>
          <w:pPr>
            <w:pStyle w:val="Spistreci1"/>
            <w:tabs>
              <w:tab w:val="clear" w:pos="142"/>
              <w:tab w:val="clear" w:pos="426"/>
              <w:tab w:val="clear" w:pos="9062"/>
              <w:tab w:val="right" w:pos="9072" w:leader="dot"/>
            </w:tabs>
            <w:spacing w:lineRule="auto" w:line="360"/>
            <w:rPr/>
          </w:pPr>
          <w:hyperlink w:anchor="__RefHeading___Toc6674_1471982776">
            <w:r>
              <w:rPr>
                <w:webHidden/>
                <w:rStyle w:val="Czeindeksu"/>
                <w:rFonts w:ascii="ISOCPEUR" w:hAnsi="ISOCPEUR"/>
              </w:rPr>
              <w:t>6 UWAGI KOŃCOWE</w:t>
              <w:tab/>
              <w:t>8</w:t>
            </w:r>
          </w:hyperlink>
        </w:p>
        <w:p>
          <w:pPr>
            <w:pStyle w:val="Spistreci1"/>
            <w:tabs>
              <w:tab w:val="clear" w:pos="142"/>
              <w:tab w:val="clear" w:pos="426"/>
              <w:tab w:val="clear" w:pos="9062"/>
              <w:tab w:val="right" w:pos="9072" w:leader="dot"/>
            </w:tabs>
            <w:spacing w:lineRule="auto" w:line="360"/>
            <w:rPr/>
          </w:pPr>
          <w:hyperlink w:anchor="__RefHeading___Toc6676_1471982776">
            <w:r>
              <w:rPr>
                <w:webHidden/>
                <w:rStyle w:val="Czeindeksu"/>
                <w:rFonts w:ascii="ISOCPEUR" w:hAnsi="ISOCPEUR"/>
              </w:rPr>
              <w:t>7 CZĘŚĆ RYSUNKOWA</w:t>
              <w:tab/>
              <w:t>9</w:t>
            </w:r>
          </w:hyperlink>
          <w:r>
            <w:rPr>
              <w:rStyle w:val="Czeindeksu"/>
              <w:rFonts w:ascii="ISOCPEUR" w:hAnsi="ISOCPEUR"/>
            </w:rPr>
            <w:fldChar w:fldCharType="end"/>
          </w:r>
        </w:p>
      </w:sdtContent>
    </w:sdt>
    <w:p>
      <w:pPr>
        <w:pStyle w:val="Normal"/>
        <w:spacing w:lineRule="auto" w:line="360"/>
        <w:rPr>
          <w:rFonts w:ascii="ISOCPEUR" w:hAnsi="ISOCPEUR"/>
          <w:sz w:val="24"/>
          <w:szCs w:val="24"/>
        </w:rPr>
      </w:pPr>
      <w:r>
        <w:rPr>
          <w:rFonts w:ascii="ISOCPEUR" w:hAnsi="ISOCPEUR"/>
          <w:sz w:val="24"/>
          <w:szCs w:val="24"/>
        </w:rPr>
      </w:r>
    </w:p>
    <w:p>
      <w:pPr>
        <w:pStyle w:val="Normal"/>
        <w:spacing w:lineRule="auto" w:line="360"/>
        <w:rPr>
          <w:rFonts w:ascii="ISOCPEUR" w:hAnsi="ISOCPEUR"/>
          <w:sz w:val="24"/>
          <w:szCs w:val="24"/>
        </w:rPr>
      </w:pPr>
      <w:r>
        <w:rPr>
          <w:rFonts w:ascii="ISOCPEUR" w:hAnsi="ISOCPEUR"/>
          <w:sz w:val="24"/>
          <w:szCs w:val="24"/>
        </w:rPr>
      </w:r>
    </w:p>
    <w:p>
      <w:pPr>
        <w:pStyle w:val="Normal"/>
        <w:spacing w:lineRule="auto" w:line="360"/>
        <w:rPr>
          <w:rFonts w:ascii="ISOCPEUR" w:hAnsi="ISOCPEUR"/>
          <w:sz w:val="24"/>
          <w:szCs w:val="24"/>
        </w:rPr>
      </w:pPr>
      <w:r>
        <w:rPr>
          <w:rFonts w:ascii="ISOCPEUR" w:hAnsi="ISOCPEUR"/>
          <w:sz w:val="24"/>
          <w:szCs w:val="24"/>
        </w:rPr>
      </w:r>
    </w:p>
    <w:p>
      <w:pPr>
        <w:pStyle w:val="Normal"/>
        <w:spacing w:lineRule="auto" w:line="360"/>
        <w:rPr>
          <w:rFonts w:ascii="ISOCPEUR" w:hAnsi="ISOCPEUR"/>
          <w:sz w:val="18"/>
          <w:szCs w:val="18"/>
        </w:rPr>
      </w:pPr>
      <w:r>
        <w:rPr>
          <w:rFonts w:ascii="ISOCPEUR" w:hAnsi="ISOCPEUR"/>
          <w:sz w:val="18"/>
          <w:szCs w:val="18"/>
        </w:rPr>
      </w:r>
    </w:p>
    <w:p>
      <w:pPr>
        <w:pStyle w:val="Normal"/>
        <w:spacing w:lineRule="auto" w:line="360"/>
        <w:rPr>
          <w:rFonts w:ascii="ISOCPEUR" w:hAnsi="ISOCPEUR"/>
        </w:rPr>
      </w:pPr>
      <w:r>
        <w:rPr>
          <w:rFonts w:ascii="ISOCPEUR" w:hAnsi="ISOCPEUR"/>
        </w:rPr>
      </w:r>
    </w:p>
    <w:p>
      <w:pPr>
        <w:pStyle w:val="Normal"/>
        <w:spacing w:lineRule="auto" w:line="360"/>
        <w:rPr>
          <w:rFonts w:ascii="ISOCPEUR" w:hAnsi="ISOCPEUR"/>
        </w:rPr>
      </w:pPr>
      <w:r>
        <w:rPr>
          <w:rFonts w:ascii="ISOCPEUR" w:hAnsi="ISOCPEUR"/>
        </w:rPr>
      </w:r>
    </w:p>
    <w:p>
      <w:pPr>
        <w:pStyle w:val="Normal"/>
        <w:spacing w:lineRule="auto" w:line="360"/>
        <w:rPr>
          <w:rFonts w:ascii="ISOCPEUR" w:hAnsi="ISOCPEUR"/>
        </w:rPr>
      </w:pPr>
      <w:r>
        <w:rPr>
          <w:rFonts w:ascii="ISOCPEUR" w:hAnsi="ISOCPEUR"/>
        </w:rPr>
      </w:r>
    </w:p>
    <w:p>
      <w:pPr>
        <w:pStyle w:val="Normal"/>
        <w:spacing w:lineRule="auto" w:line="360"/>
        <w:rPr>
          <w:rFonts w:ascii="ISOCPEUR" w:hAnsi="ISOCPEUR"/>
        </w:rPr>
      </w:pPr>
      <w:r>
        <w:rPr>
          <w:rFonts w:ascii="ISOCPEUR" w:hAnsi="ISOCPEUR"/>
        </w:rPr>
      </w:r>
    </w:p>
    <w:p>
      <w:pPr>
        <w:pStyle w:val="Normal"/>
        <w:spacing w:lineRule="auto" w:line="360"/>
        <w:rPr>
          <w:rFonts w:ascii="ISOCPEUR" w:hAnsi="ISOCPEUR"/>
        </w:rPr>
      </w:pPr>
      <w:r>
        <w:rPr>
          <w:rFonts w:ascii="ISOCPEUR" w:hAnsi="ISOCPEUR"/>
        </w:rPr>
      </w:r>
    </w:p>
    <w:p>
      <w:pPr>
        <w:pStyle w:val="Normal"/>
        <w:spacing w:lineRule="auto" w:line="360"/>
        <w:rPr>
          <w:rFonts w:ascii="ISOCPEUR" w:hAnsi="ISOCPEUR"/>
        </w:rPr>
      </w:pPr>
      <w:r>
        <w:rPr>
          <w:rFonts w:ascii="ISOCPEUR" w:hAnsi="ISOCPEUR"/>
        </w:rPr>
      </w:r>
    </w:p>
    <w:p>
      <w:pPr>
        <w:pStyle w:val="Normal"/>
        <w:spacing w:lineRule="auto" w:line="360"/>
        <w:rPr>
          <w:rFonts w:ascii="ISOCPEUR" w:hAnsi="ISOCPEUR"/>
        </w:rPr>
      </w:pPr>
      <w:r>
        <w:rPr>
          <w:rFonts w:ascii="ISOCPEUR" w:hAnsi="ISOCPEUR"/>
        </w:rPr>
      </w:r>
    </w:p>
    <w:p>
      <w:pPr>
        <w:pStyle w:val="Nagwek1"/>
        <w:shd w:val="clear" w:color="auto" w:fill="auto"/>
        <w:spacing w:lineRule="auto" w:line="360"/>
        <w:rPr>
          <w:rFonts w:ascii="ISOCPEUR" w:hAnsi="ISOCPEUR"/>
        </w:rPr>
      </w:pPr>
      <w:bookmarkStart w:id="0" w:name="__RefHeading___Toc6596_1471982776"/>
      <w:bookmarkStart w:id="1" w:name="_Toc185095263"/>
      <w:bookmarkStart w:id="2" w:name="_Toc90976236"/>
      <w:bookmarkEnd w:id="0"/>
      <w:r>
        <w:rPr>
          <w:rFonts w:ascii="ISOCPEUR" w:hAnsi="ISOCPEUR"/>
        </w:rPr>
        <w:t>PRZEDMIOT I PODSTAWA OPRACOWANIA</w:t>
      </w:r>
      <w:bookmarkEnd w:id="1"/>
      <w:bookmarkEnd w:id="2"/>
    </w:p>
    <w:p>
      <w:pPr>
        <w:pStyle w:val="Normal"/>
        <w:spacing w:lineRule="auto" w:line="360" w:before="0" w:after="120"/>
        <w:ind w:left="2126" w:hanging="2126"/>
        <w:rPr>
          <w:rFonts w:ascii="ISOCPEUR" w:hAnsi="ISOCPEUR"/>
        </w:rPr>
      </w:pPr>
      <w:r>
        <w:rPr>
          <w:rFonts w:ascii="ISOCPEUR" w:hAnsi="ISOCPEUR"/>
          <w:b/>
          <w:bCs/>
        </w:rPr>
        <w:t>INWESTYCJA:</w:t>
        <w:tab/>
      </w:r>
      <w:r>
        <w:rPr>
          <w:rFonts w:ascii="ISOCPEUR" w:hAnsi="ISOCPEUR"/>
          <w:b w:val="false"/>
          <w:bCs w:val="false"/>
        </w:rPr>
        <w:t>REMONT</w:t>
      </w:r>
      <w:r>
        <w:rPr>
          <w:rFonts w:ascii="ISOCPEUR" w:hAnsi="ISOCPEUR"/>
        </w:rPr>
        <w:t xml:space="preserve"> UKŁADU TECHNOLOGICZNEGO URZĄDZEŃ I INSTALACJI ELEKTRYCZNEJ WEWNĄTRZ BUDYNKU WRAZ Z MONTAŻEM AGREGATU PRĄDOTWÓRCZEGO</w:t>
      </w:r>
    </w:p>
    <w:p>
      <w:pPr>
        <w:pStyle w:val="Normal"/>
        <w:spacing w:lineRule="auto" w:line="360" w:before="0" w:after="0"/>
        <w:rPr>
          <w:rFonts w:ascii="ISOCPEUR" w:hAnsi="ISOCPEUR"/>
        </w:rPr>
      </w:pPr>
      <w:r>
        <w:rPr>
          <w:rFonts w:ascii="ISOCPEUR" w:hAnsi="ISOCPEUR"/>
          <w:b/>
          <w:bCs/>
        </w:rPr>
        <w:t>ADRES:</w:t>
      </w:r>
      <w:r>
        <w:rPr>
          <w:rFonts w:ascii="ISOCPEUR" w:hAnsi="ISOCPEUR"/>
        </w:rPr>
        <w:tab/>
        <w:tab/>
        <w:tab/>
        <w:t>DOMINÓW</w:t>
      </w:r>
      <w:bookmarkStart w:id="3" w:name="_Hlk133496658"/>
      <w:r>
        <w:rPr>
          <w:rFonts w:ascii="ISOCPEUR" w:hAnsi="ISOCPEUR"/>
        </w:rPr>
        <w:t>, DZ. 319/5</w:t>
      </w:r>
    </w:p>
    <w:p>
      <w:pPr>
        <w:pStyle w:val="Normal"/>
        <w:spacing w:lineRule="auto" w:line="360" w:before="0" w:after="0"/>
        <w:ind w:left="1416" w:firstLine="708"/>
        <w:rPr>
          <w:rFonts w:ascii="ISOCPEUR" w:hAnsi="ISOCPEUR"/>
        </w:rPr>
      </w:pPr>
      <w:r>
        <w:rPr>
          <w:rFonts w:ascii="ISOCPEUR" w:hAnsi="ISOCPEUR"/>
        </w:rPr>
        <w:t>21-007 MEŁGIEW</w:t>
      </w:r>
    </w:p>
    <w:p>
      <w:pPr>
        <w:pStyle w:val="Normal"/>
        <w:spacing w:lineRule="auto" w:line="360" w:before="0" w:after="0"/>
        <w:rPr>
          <w:rFonts w:ascii="ISOCPEUR" w:hAnsi="ISOCPEUR"/>
        </w:rPr>
      </w:pPr>
      <w:r>
        <w:rPr>
          <w:rFonts w:ascii="ISOCPEUR" w:hAnsi="ISOCPEUR"/>
          <w:b/>
          <w:bCs/>
        </w:rPr>
        <w:t xml:space="preserve">INWESTOR: </w:t>
      </w:r>
      <w:bookmarkEnd w:id="3"/>
      <w:r>
        <w:rPr>
          <w:rFonts w:ascii="ISOCPEUR" w:hAnsi="ISOCPEUR"/>
          <w:b/>
          <w:bCs/>
        </w:rPr>
        <w:tab/>
      </w:r>
      <w:bookmarkStart w:id="4" w:name="_Hlk133496692"/>
      <w:r>
        <w:rPr>
          <w:rFonts w:ascii="ISOCPEUR" w:hAnsi="ISOCPEUR"/>
          <w:b/>
          <w:bCs/>
        </w:rPr>
        <w:tab/>
      </w:r>
      <w:bookmarkEnd w:id="4"/>
      <w:r>
        <w:rPr>
          <w:rFonts w:ascii="ISOCPEUR" w:hAnsi="ISOCPEUR"/>
        </w:rPr>
        <w:t>GMINA MEŁGIEW</w:t>
      </w:r>
    </w:p>
    <w:p>
      <w:pPr>
        <w:pStyle w:val="Normal"/>
        <w:spacing w:lineRule="auto" w:line="360" w:before="0" w:after="0"/>
        <w:rPr>
          <w:rFonts w:ascii="ISOCPEUR" w:hAnsi="ISOCPEUR"/>
        </w:rPr>
      </w:pPr>
      <w:r>
        <w:rPr>
          <w:rFonts w:ascii="ISOCPEUR" w:hAnsi="ISOCPEUR"/>
        </w:rPr>
        <w:tab/>
        <w:tab/>
        <w:tab/>
        <w:t>UL. PARTYZANCKA 2, 21-007 MEŁGIEW</w:t>
        <w:tab/>
      </w:r>
    </w:p>
    <w:p>
      <w:pPr>
        <w:pStyle w:val="Normal"/>
        <w:spacing w:lineRule="auto" w:line="360" w:before="0" w:after="0"/>
        <w:rPr>
          <w:rFonts w:ascii="ISOCPEUR" w:hAnsi="ISOCPEUR"/>
        </w:rPr>
      </w:pPr>
      <w:r>
        <w:rPr>
          <w:rFonts w:ascii="ISOCPEUR" w:hAnsi="ISOCPEUR"/>
          <w:b/>
          <w:bCs/>
        </w:rPr>
        <w:t xml:space="preserve">KAT. OBIEKTU:          </w:t>
      </w:r>
      <w:r>
        <w:rPr>
          <w:rFonts w:ascii="ISOCPEUR" w:hAnsi="ISOCPEUR"/>
        </w:rPr>
        <w:t>XXX</w:t>
      </w:r>
    </w:p>
    <w:p>
      <w:pPr>
        <w:pStyle w:val="Normal"/>
        <w:spacing w:lineRule="auto" w:line="360" w:before="120" w:after="0"/>
        <w:ind w:left="2124" w:right="288" w:hanging="2124"/>
        <w:jc w:val="left"/>
        <w:rPr>
          <w:rFonts w:ascii="ISOCPEUR" w:hAnsi="ISOCPEUR"/>
        </w:rPr>
      </w:pPr>
      <w:r>
        <w:rPr>
          <w:rFonts w:ascii="ISOCPEUR" w:hAnsi="ISOCPEUR"/>
          <w:b/>
          <w:bCs/>
        </w:rPr>
        <w:t>RODZAJ OBIEKTU :</w:t>
      </w:r>
      <w:r>
        <w:rPr>
          <w:rFonts w:ascii="ISOCPEUR" w:hAnsi="ISOCPEUR"/>
        </w:rPr>
        <w:t xml:space="preserve">      STACJE UZDATNIANIA WODY</w:t>
      </w:r>
    </w:p>
    <w:p>
      <w:pPr>
        <w:pStyle w:val="Nagwek2"/>
        <w:pBdr>
          <w:bottom w:val="single" w:sz="4" w:space="0" w:color="000000"/>
        </w:pBdr>
        <w:spacing w:lineRule="auto" w:line="360" w:before="240" w:after="240"/>
        <w:ind w:left="578" w:hanging="578"/>
        <w:rPr>
          <w:rFonts w:ascii="ISOCPEUR" w:hAnsi="ISOCPEUR"/>
        </w:rPr>
      </w:pPr>
      <w:bookmarkStart w:id="5" w:name="__RefHeading___Toc6598_1471982776"/>
      <w:bookmarkStart w:id="6" w:name="_Toc185095264"/>
      <w:bookmarkStart w:id="7" w:name="_Toc90976237"/>
      <w:bookmarkStart w:id="8" w:name="_Toc79231787"/>
      <w:bookmarkEnd w:id="5"/>
      <w:r>
        <w:rPr>
          <w:rFonts w:ascii="ISOCPEUR" w:hAnsi="ISOCPEUR"/>
        </w:rPr>
        <w:t xml:space="preserve">Przedmiot </w:t>
      </w:r>
      <w:bookmarkEnd w:id="7"/>
      <w:bookmarkEnd w:id="8"/>
      <w:r>
        <w:rPr>
          <w:rFonts w:ascii="ISOCPEUR" w:hAnsi="ISOCPEUR"/>
        </w:rPr>
        <w:t>i cel opracowania</w:t>
      </w:r>
      <w:bookmarkEnd w:id="6"/>
      <w:r>
        <w:rPr>
          <w:rFonts w:ascii="ISOCPEUR" w:hAnsi="ISOCPEUR"/>
        </w:rPr>
        <w:t xml:space="preserve"> </w:t>
      </w:r>
    </w:p>
    <w:p>
      <w:pPr>
        <w:pStyle w:val="Normal"/>
        <w:spacing w:lineRule="auto" w:line="360" w:before="0" w:after="0"/>
        <w:rPr>
          <w:rFonts w:ascii="ISOCPEUR" w:hAnsi="ISOCPEUR"/>
        </w:rPr>
      </w:pPr>
      <w:bookmarkStart w:id="9" w:name="_Toc90976238"/>
      <w:bookmarkStart w:id="10" w:name="_Toc79231788"/>
      <w:bookmarkStart w:id="11" w:name="_Hlk104799589"/>
      <w:bookmarkEnd w:id="9"/>
      <w:bookmarkEnd w:id="10"/>
      <w:bookmarkEnd w:id="11"/>
      <w:r>
        <w:rPr>
          <w:rFonts w:ascii="ISOCPEUR" w:hAnsi="ISOCPEUR"/>
        </w:rPr>
        <w:t>Przedmiotem opracowania jest wykonanie remontu układu technologicznego urządzeń i instalacji elektrycznej wewnątrz budynku wraz z montażem agregatu prądotwórczego na zewnątrz obiektu.</w:t>
      </w:r>
    </w:p>
    <w:p>
      <w:pPr>
        <w:pStyle w:val="Normal"/>
        <w:spacing w:lineRule="auto" w:line="360" w:before="0" w:after="0"/>
        <w:rPr>
          <w:rFonts w:ascii="ISOCPEUR" w:hAnsi="ISOCPEUR"/>
        </w:rPr>
      </w:pPr>
      <w:r>
        <w:rPr>
          <w:rFonts w:ascii="ISOCPEUR" w:hAnsi="ISOCPEUR"/>
        </w:rPr>
      </w:r>
    </w:p>
    <w:p>
      <w:pPr>
        <w:pStyle w:val="Nagwek2"/>
        <w:spacing w:lineRule="auto" w:line="360" w:before="120" w:after="240"/>
        <w:ind w:left="578" w:hanging="578"/>
        <w:rPr>
          <w:rFonts w:ascii="ISOCPEUR" w:hAnsi="ISOCPEUR"/>
        </w:rPr>
      </w:pPr>
      <w:bookmarkStart w:id="12" w:name="__RefHeading___Toc6600_1471982776"/>
      <w:bookmarkStart w:id="13" w:name="_Toc185095265"/>
      <w:bookmarkEnd w:id="12"/>
      <w:r>
        <w:rPr>
          <w:rFonts w:ascii="ISOCPEUR" w:hAnsi="ISOCPEUR"/>
        </w:rPr>
        <w:t>Uwagi wstępne</w:t>
      </w:r>
      <w:bookmarkEnd w:id="13"/>
    </w:p>
    <w:p>
      <w:pPr>
        <w:pStyle w:val="Normal"/>
        <w:spacing w:lineRule="auto" w:line="360"/>
        <w:rPr>
          <w:rFonts w:ascii="ISOCPEUR" w:hAnsi="ISOCPEUR"/>
        </w:rPr>
      </w:pPr>
      <w:r>
        <w:rPr>
          <w:rFonts w:ascii="ISOCPEUR" w:hAnsi="ISOCPEUR"/>
        </w:rPr>
        <w:t>Zgodnie z art. 28 ustawy z dnia 7 lipca 1994 r. – Prawo budowlane, roboty budowlane można rozpocząć jedynie na podstawie decyzji o pozwoleniu na budowę. Wyjątki od powyższej zasady stanowią art. 29-31 ustawy. Przepisy te zawierają konkretny zamknięty katalog budów i robót budowlanych, których wykonanie nie musi być poprzedzane uzyskaniem pozwolenia na budowę. Część z nich wymaga zgłoszenia właściwemu organowi, pozostałe zwolnione są z obu tych obowiązków.</w:t>
      </w:r>
    </w:p>
    <w:p>
      <w:pPr>
        <w:pStyle w:val="Normal"/>
        <w:spacing w:lineRule="auto" w:line="360"/>
        <w:rPr>
          <w:rFonts w:ascii="ISOCPEUR" w:hAnsi="ISOCPEUR"/>
        </w:rPr>
      </w:pPr>
      <w:r>
        <w:rPr>
          <w:rFonts w:ascii="ISOCPEUR" w:hAnsi="ISOCPEUR"/>
        </w:rPr>
      </w:r>
    </w:p>
    <w:p>
      <w:pPr>
        <w:pStyle w:val="Nagwek2"/>
        <w:spacing w:lineRule="auto" w:line="360" w:before="120" w:after="120"/>
        <w:ind w:left="578" w:hanging="578"/>
        <w:rPr>
          <w:rFonts w:ascii="ISOCPEUR" w:hAnsi="ISOCPEUR"/>
        </w:rPr>
      </w:pPr>
      <w:bookmarkStart w:id="14" w:name="__RefHeading___Toc6602_1471982776"/>
      <w:bookmarkStart w:id="15" w:name="_Toc185095266"/>
      <w:bookmarkStart w:id="16" w:name="_Hlk1047995891"/>
      <w:bookmarkEnd w:id="14"/>
      <w:bookmarkEnd w:id="16"/>
      <w:r>
        <w:rPr>
          <w:rFonts w:ascii="ISOCPEUR" w:hAnsi="ISOCPEUR"/>
        </w:rPr>
        <w:t>Podstawa opracowania</w:t>
      </w:r>
      <w:bookmarkEnd w:id="15"/>
    </w:p>
    <w:p>
      <w:pPr>
        <w:pStyle w:val="Nagwek3"/>
        <w:spacing w:lineRule="auto" w:line="360"/>
        <w:rPr>
          <w:rFonts w:ascii="ISOCPEUR" w:hAnsi="ISOCPEUR"/>
        </w:rPr>
      </w:pPr>
      <w:bookmarkStart w:id="17" w:name="__RefHeading___Toc6604_1471982776"/>
      <w:bookmarkStart w:id="18" w:name="_Toc185095267"/>
      <w:bookmarkEnd w:id="17"/>
      <w:r>
        <w:rPr>
          <w:rFonts w:ascii="ISOCPEUR" w:hAnsi="ISOCPEUR"/>
        </w:rPr>
        <w:t>Materiały podstawowe</w:t>
      </w:r>
      <w:bookmarkEnd w:id="18"/>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Zlecenie Inwestora</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Inwentaryzacja </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Ustalenia i konsultacje z Inwestorem i Użytkownikami</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Wizja lokalna </w:t>
      </w:r>
    </w:p>
    <w:p>
      <w:pPr>
        <w:pStyle w:val="Nagwek3"/>
        <w:tabs>
          <w:tab w:val="clear" w:pos="708"/>
          <w:tab w:val="left" w:pos="1418" w:leader="none"/>
        </w:tabs>
        <w:spacing w:lineRule="auto" w:line="360" w:before="120" w:after="120"/>
        <w:rPr>
          <w:rFonts w:ascii="ISOCPEUR" w:hAnsi="ISOCPEUR"/>
        </w:rPr>
      </w:pPr>
      <w:bookmarkStart w:id="19" w:name="__RefHeading___Toc6606_1471982776"/>
      <w:bookmarkStart w:id="20" w:name="_Toc185095268"/>
      <w:bookmarkEnd w:id="19"/>
      <w:r>
        <w:rPr>
          <w:rFonts w:ascii="ISOCPEUR" w:hAnsi="ISOCPEUR"/>
        </w:rPr>
        <w:t>Akty prawne</w:t>
      </w:r>
      <w:bookmarkEnd w:id="20"/>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Ustawa z dnia 07 lipca 1994 r. - Prawo Budowlane (Dz.U. 2021 r. poz. 2351 z późniejszymi zmianami)</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Rozporządzenie Ministra Infrastruktury z dnia 12 kwietnia 2002 r. w sprawie warunków </w:t>
        <w:br/>
        <w:t>technicznych, jakim powinny odpowiadać budynki i ich usytuowanie (t.j. Dz. U. 2022 r. poz. 1225 z późniejszymi zmianami)</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Rozporządzenie Ministra Transportu, Budownictwa i Gospodarki Morskiej z dnia 25 kwietnia 2012 r. w sprawie szczegółowego zakresu i formy projektu budowlanego </w:t>
        <w:br/>
        <w:t>(Dz. U. 2020 r. poz. 1609)</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Rozporządzenie Ministra Infrastruktury z dnia 6 lutego 2003 r. w sprawie bezpieczeństwa</w:t>
        <w:br/>
        <w:t>i higieny pracy podczas wykonywania robót budowlanych (Dz. U. z 2003 r. Nr 47, poz. 401)</w:t>
      </w:r>
    </w:p>
    <w:p>
      <w:pPr>
        <w:pStyle w:val="Nagwek1"/>
        <w:spacing w:lineRule="auto" w:line="360"/>
        <w:rPr>
          <w:rFonts w:ascii="ISOCPEUR" w:hAnsi="ISOCPEUR"/>
        </w:rPr>
      </w:pPr>
      <w:bookmarkStart w:id="21" w:name="__RefHeading___Toc6608_1471982776"/>
      <w:bookmarkStart w:id="22" w:name="_Toc185095269"/>
      <w:bookmarkStart w:id="23" w:name="_Toc909762381"/>
      <w:bookmarkStart w:id="24" w:name="_Toc792317881"/>
      <w:bookmarkEnd w:id="21"/>
      <w:bookmarkEnd w:id="23"/>
      <w:bookmarkEnd w:id="24"/>
      <w:r>
        <w:rPr>
          <w:rFonts w:ascii="ISOCPEUR" w:hAnsi="ISOCPEUR"/>
        </w:rPr>
        <w:t>OPIS STANU ISTNIEJĄCEGO</w:t>
      </w:r>
      <w:bookmarkEnd w:id="22"/>
    </w:p>
    <w:p>
      <w:pPr>
        <w:pStyle w:val="Nagwek2"/>
        <w:spacing w:lineRule="auto" w:line="360" w:before="120" w:after="240"/>
        <w:ind w:left="578" w:hanging="578"/>
        <w:rPr>
          <w:rFonts w:ascii="ISOCPEUR" w:hAnsi="ISOCPEUR"/>
        </w:rPr>
      </w:pPr>
      <w:bookmarkStart w:id="25" w:name="__RefHeading___Toc6610_1471982776"/>
      <w:bookmarkStart w:id="26" w:name="_Toc185095270"/>
      <w:bookmarkStart w:id="27" w:name="_Toc90976242"/>
      <w:bookmarkStart w:id="28" w:name="_Toc79231791"/>
      <w:bookmarkEnd w:id="25"/>
      <w:bookmarkEnd w:id="27"/>
      <w:bookmarkEnd w:id="28"/>
      <w:r>
        <w:rPr>
          <w:rFonts w:ascii="ISOCPEUR" w:hAnsi="ISOCPEUR"/>
        </w:rPr>
        <w:t>Opis stanu istniejącego</w:t>
      </w:r>
      <w:bookmarkEnd w:id="26"/>
    </w:p>
    <w:p>
      <w:pPr>
        <w:pStyle w:val="Normal"/>
        <w:spacing w:lineRule="auto" w:line="360" w:before="0" w:after="120"/>
        <w:rPr>
          <w:rFonts w:ascii="ISOCPEUR" w:hAnsi="ISOCPEUR"/>
        </w:rPr>
      </w:pPr>
      <w:r>
        <w:rPr>
          <w:rFonts w:ascii="ISOCPEUR" w:hAnsi="ISOCPEUR"/>
        </w:rPr>
        <w:t>Obiekt został wzniesiony na planie prostokąta, pełniący obecnie funkcje stacji uzdatniania wody w części budynku. Wejścia do budynku zlokalizowane są od strony wschodniej. Dach płaski jednospadowy z pokryciem z papy termozgrzewalnej. Budynek posiada jedną kondygnację nadziemną. Ściany zewnętrzne wykonane są z bloczków gazobetonowych. Strop płytowy monolityczny.</w:t>
      </w:r>
    </w:p>
    <w:p>
      <w:pPr>
        <w:pStyle w:val="Normal"/>
        <w:spacing w:lineRule="auto" w:line="360" w:before="0" w:after="120"/>
        <w:rPr>
          <w:rFonts w:ascii="ISOCPEUR" w:hAnsi="ISOCPEUR"/>
        </w:rPr>
      </w:pPr>
      <w:r>
        <w:rPr>
          <w:rFonts w:ascii="ISOCPEUR" w:hAnsi="ISOCPEUR"/>
        </w:rPr>
        <w:drawing>
          <wp:anchor behindDoc="0" distT="0" distB="0" distL="0" distR="0" simplePos="0" locked="0" layoutInCell="0" allowOverlap="1" relativeHeight="2">
            <wp:simplePos x="0" y="0"/>
            <wp:positionH relativeFrom="column">
              <wp:posOffset>2975610</wp:posOffset>
            </wp:positionH>
            <wp:positionV relativeFrom="paragraph">
              <wp:posOffset>37465</wp:posOffset>
            </wp:positionV>
            <wp:extent cx="2627630" cy="3503295"/>
            <wp:effectExtent l="0" t="0" r="0" b="0"/>
            <wp:wrapSquare wrapText="largest"/>
            <wp:docPr id="1" name="Obraz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2" descr=""/>
                    <pic:cNvPicPr>
                      <a:picLocks noChangeAspect="1" noChangeArrowheads="1"/>
                    </pic:cNvPicPr>
                  </pic:nvPicPr>
                  <pic:blipFill>
                    <a:blip r:embed="rId2"/>
                    <a:stretch>
                      <a:fillRect/>
                    </a:stretch>
                  </pic:blipFill>
                  <pic:spPr bwMode="auto">
                    <a:xfrm>
                      <a:off x="0" y="0"/>
                      <a:ext cx="2627630" cy="3503295"/>
                    </a:xfrm>
                    <a:prstGeom prst="rect">
                      <a:avLst/>
                    </a:prstGeom>
                  </pic:spPr>
                </pic:pic>
              </a:graphicData>
            </a:graphic>
          </wp:anchor>
        </w:drawing>
        <w:drawing>
          <wp:anchor behindDoc="0" distT="0" distB="0" distL="0" distR="0" simplePos="0" locked="0" layoutInCell="0" allowOverlap="1" relativeHeight="3">
            <wp:simplePos x="0" y="0"/>
            <wp:positionH relativeFrom="column">
              <wp:posOffset>177800</wp:posOffset>
            </wp:positionH>
            <wp:positionV relativeFrom="paragraph">
              <wp:posOffset>59055</wp:posOffset>
            </wp:positionV>
            <wp:extent cx="2628265" cy="3503930"/>
            <wp:effectExtent l="0" t="0" r="0" b="0"/>
            <wp:wrapSquare wrapText="largest"/>
            <wp:docPr id="2" name="Obraz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1" descr=""/>
                    <pic:cNvPicPr>
                      <a:picLocks noChangeAspect="1" noChangeArrowheads="1"/>
                    </pic:cNvPicPr>
                  </pic:nvPicPr>
                  <pic:blipFill>
                    <a:blip r:embed="rId3"/>
                    <a:stretch>
                      <a:fillRect/>
                    </a:stretch>
                  </pic:blipFill>
                  <pic:spPr bwMode="auto">
                    <a:xfrm>
                      <a:off x="0" y="0"/>
                      <a:ext cx="2628265" cy="3503930"/>
                    </a:xfrm>
                    <a:prstGeom prst="rect">
                      <a:avLst/>
                    </a:prstGeom>
                  </pic:spPr>
                </pic:pic>
              </a:graphicData>
            </a:graphic>
          </wp:anchor>
        </w:drawing>
      </w:r>
      <w:bookmarkStart w:id="29" w:name="_Hlk100299586"/>
      <w:bookmarkStart w:id="30" w:name="_Hlk100299586"/>
      <w:bookmarkEnd w:id="30"/>
    </w:p>
    <w:p>
      <w:pPr>
        <w:pStyle w:val="Normal"/>
        <w:spacing w:lineRule="auto" w:line="360" w:before="0" w:after="0"/>
        <w:jc w:val="center"/>
        <w:rPr>
          <w:rFonts w:ascii="ISOCPEUR" w:hAnsi="ISOCPEUR"/>
        </w:rPr>
      </w:pPr>
      <w:r>
        <w:rPr>
          <w:rFonts w:ascii="ISOCPEUR" w:hAnsi="ISOCPEUR"/>
        </w:rPr>
      </w:r>
    </w:p>
    <w:p>
      <w:pPr>
        <w:pStyle w:val="Normal"/>
        <w:spacing w:lineRule="auto" w:line="360" w:before="0" w:after="0"/>
        <w:jc w:val="center"/>
        <w:rPr>
          <w:sz w:val="18"/>
          <w:szCs w:val="18"/>
        </w:rPr>
      </w:pPr>
      <w:r>
        <w:rPr>
          <w:sz w:val="18"/>
          <w:szCs w:val="18"/>
        </w:rPr>
      </w:r>
    </w:p>
    <w:p>
      <w:pPr>
        <w:pStyle w:val="Normal"/>
        <w:spacing w:lineRule="auto" w:line="360" w:before="0" w:after="0"/>
        <w:jc w:val="center"/>
        <w:rPr>
          <w:rFonts w:ascii="ISOCPEUR" w:hAnsi="ISOCPEUR"/>
        </w:rPr>
      </w:pPr>
      <w:r>
        <w:rPr>
          <w:rFonts w:ascii="ISOCPEUR" w:hAnsi="ISOCPEUR"/>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rFonts w:ascii="ISOCPEUR" w:hAnsi="ISOCPEUR"/>
        </w:rPr>
      </w:pPr>
      <w:r>
        <w:drawing>
          <wp:anchor behindDoc="0" distT="0" distB="0" distL="0" distR="0" simplePos="0" locked="0" layoutInCell="0" allowOverlap="1" relativeHeight="4">
            <wp:simplePos x="0" y="0"/>
            <wp:positionH relativeFrom="column">
              <wp:posOffset>1483995</wp:posOffset>
            </wp:positionH>
            <wp:positionV relativeFrom="paragraph">
              <wp:posOffset>2945130</wp:posOffset>
            </wp:positionV>
            <wp:extent cx="2793365" cy="3724275"/>
            <wp:effectExtent l="0" t="0" r="0" b="0"/>
            <wp:wrapSquare wrapText="largest"/>
            <wp:docPr id="3" name="Obraz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3" descr=""/>
                    <pic:cNvPicPr>
                      <a:picLocks noChangeAspect="1" noChangeArrowheads="1"/>
                    </pic:cNvPicPr>
                  </pic:nvPicPr>
                  <pic:blipFill>
                    <a:blip r:embed="rId4"/>
                    <a:stretch>
                      <a:fillRect/>
                    </a:stretch>
                  </pic:blipFill>
                  <pic:spPr bwMode="auto">
                    <a:xfrm>
                      <a:off x="0" y="0"/>
                      <a:ext cx="2793365" cy="3724275"/>
                    </a:xfrm>
                    <a:prstGeom prst="rect">
                      <a:avLst/>
                    </a:prstGeom>
                  </pic:spPr>
                </pic:pic>
              </a:graphicData>
            </a:graphic>
          </wp:anchor>
        </w:drawing>
      </w:r>
      <w:r>
        <w:rPr>
          <w:rFonts w:ascii="ISOCPEUR" w:hAnsi="ISOCPEUR"/>
          <w:sz w:val="18"/>
          <w:szCs w:val="18"/>
        </w:rPr>
        <w:t>Wnętrze budynku (poniżej)</w:t>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ormal"/>
        <w:spacing w:lineRule="auto" w:line="360" w:before="0" w:after="120"/>
        <w:jc w:val="center"/>
        <w:rPr>
          <w:sz w:val="18"/>
          <w:szCs w:val="18"/>
        </w:rPr>
      </w:pPr>
      <w:r>
        <w:rPr>
          <w:sz w:val="18"/>
          <w:szCs w:val="18"/>
        </w:rPr>
      </w:r>
    </w:p>
    <w:p>
      <w:pPr>
        <w:pStyle w:val="Nagwek2"/>
        <w:spacing w:lineRule="auto" w:line="360"/>
        <w:rPr>
          <w:rFonts w:ascii="ISOCPEUR" w:hAnsi="ISOCPEUR"/>
        </w:rPr>
      </w:pPr>
      <w:bookmarkStart w:id="31" w:name="__RefHeading___Toc6612_1471982776"/>
      <w:bookmarkStart w:id="32" w:name="_Toc185095271"/>
      <w:bookmarkStart w:id="33" w:name="_Toc100834191"/>
      <w:bookmarkStart w:id="34" w:name="_Toc909762421"/>
      <w:bookmarkStart w:id="35" w:name="_Toc792317911"/>
      <w:bookmarkStart w:id="36" w:name="_Hlk1002995861"/>
      <w:bookmarkStart w:id="37" w:name="_Toc90976245"/>
      <w:bookmarkStart w:id="38" w:name="_Toc79231792"/>
      <w:bookmarkStart w:id="39" w:name="_Hlk100059797"/>
      <w:bookmarkEnd w:id="31"/>
      <w:bookmarkEnd w:id="34"/>
      <w:bookmarkEnd w:id="35"/>
      <w:bookmarkEnd w:id="36"/>
      <w:bookmarkEnd w:id="37"/>
      <w:bookmarkEnd w:id="38"/>
      <w:bookmarkEnd w:id="39"/>
      <w:r>
        <w:rPr>
          <w:rFonts w:ascii="ISOCPEUR" w:hAnsi="ISOCPEUR"/>
        </w:rPr>
        <w:t>Podstawowe parametry techniczne</w:t>
      </w:r>
      <w:bookmarkEnd w:id="32"/>
      <w:bookmarkEnd w:id="33"/>
      <w:r>
        <w:rPr>
          <w:rFonts w:ascii="ISOCPEUR" w:hAnsi="ISOCPEUR"/>
        </w:rPr>
        <w:t xml:space="preserve"> </w:t>
      </w:r>
    </w:p>
    <w:p>
      <w:pPr>
        <w:pStyle w:val="Wypunktowanie"/>
        <w:numPr>
          <w:ilvl w:val="0"/>
          <w:numId w:val="2"/>
        </w:numPr>
        <w:tabs>
          <w:tab w:val="clear" w:pos="708"/>
          <w:tab w:val="left" w:pos="284" w:leader="none"/>
        </w:tabs>
        <w:spacing w:lineRule="auto" w:line="360"/>
        <w:ind w:left="1021" w:hanging="284"/>
        <w:rPr>
          <w:rFonts w:ascii="ISOCPEUR" w:hAnsi="ISOCPEUR"/>
        </w:rPr>
      </w:pPr>
      <w:bookmarkStart w:id="40" w:name="_Hlk49687491"/>
      <w:bookmarkEnd w:id="40"/>
      <w:r>
        <w:rPr>
          <w:rFonts w:ascii="ISOCPEUR" w:hAnsi="ISOCPEUR"/>
        </w:rPr>
        <w:t xml:space="preserve">powierzchnia zabudowy:    </w:t>
        <w:tab/>
        <w:tab/>
      </w:r>
      <w:r>
        <w:rPr>
          <w:rFonts w:ascii="ISOCPEUR" w:hAnsi="ISOCPEUR"/>
          <w:b/>
          <w:bCs/>
        </w:rPr>
        <w:t>142,85  m</w:t>
      </w:r>
      <w:r>
        <w:rPr>
          <w:rFonts w:ascii="ISOCPEUR" w:hAnsi="ISOCPEUR"/>
          <w:b/>
          <w:bCs/>
          <w:vertAlign w:val="superscript"/>
        </w:rPr>
        <w:t>2</w:t>
      </w:r>
    </w:p>
    <w:p>
      <w:pPr>
        <w:pStyle w:val="Wypunktowanie"/>
        <w:numPr>
          <w:ilvl w:val="0"/>
          <w:numId w:val="2"/>
        </w:numPr>
        <w:tabs>
          <w:tab w:val="clear" w:pos="708"/>
          <w:tab w:val="left" w:pos="284" w:leader="none"/>
        </w:tabs>
        <w:spacing w:lineRule="auto" w:line="360"/>
        <w:ind w:left="1021" w:hanging="284"/>
        <w:rPr>
          <w:rFonts w:ascii="ISOCPEUR" w:hAnsi="ISOCPEUR"/>
        </w:rPr>
      </w:pPr>
      <w:bookmarkStart w:id="41" w:name="_Hlk496874911"/>
      <w:bookmarkEnd w:id="41"/>
      <w:r>
        <w:rPr>
          <w:rFonts w:ascii="ISOCPEUR" w:hAnsi="ISOCPEUR"/>
        </w:rPr>
        <w:t xml:space="preserve">długość budynku: </w:t>
        <w:tab/>
        <w:tab/>
        <w:tab/>
      </w:r>
      <w:r>
        <w:rPr>
          <w:rFonts w:ascii="ISOCPEUR" w:hAnsi="ISOCPEUR"/>
          <w:b/>
          <w:bCs/>
        </w:rPr>
        <w:t>18,92 m</w:t>
      </w:r>
    </w:p>
    <w:p>
      <w:pPr>
        <w:pStyle w:val="Wypunktowanie"/>
        <w:numPr>
          <w:ilvl w:val="0"/>
          <w:numId w:val="2"/>
        </w:numPr>
        <w:tabs>
          <w:tab w:val="clear" w:pos="708"/>
          <w:tab w:val="left" w:pos="284" w:leader="none"/>
        </w:tabs>
        <w:spacing w:lineRule="auto" w:line="360"/>
        <w:ind w:left="1021" w:hanging="284"/>
        <w:rPr>
          <w:rFonts w:ascii="ISOCPEUR" w:hAnsi="ISOCPEUR"/>
        </w:rPr>
      </w:pPr>
      <w:r>
        <w:rPr>
          <w:rFonts w:ascii="ISOCPEUR" w:hAnsi="ISOCPEUR"/>
        </w:rPr>
        <w:t>szerokość budynku:</w:t>
        <w:tab/>
        <w:tab/>
        <w:tab/>
      </w:r>
      <w:r>
        <w:rPr>
          <w:rFonts w:ascii="ISOCPEUR" w:hAnsi="ISOCPEUR"/>
          <w:b/>
          <w:bCs/>
        </w:rPr>
        <w:t>7,55 m</w:t>
      </w:r>
    </w:p>
    <w:p>
      <w:pPr>
        <w:pStyle w:val="Nagwek2"/>
        <w:spacing w:lineRule="auto" w:line="360"/>
        <w:rPr>
          <w:rFonts w:ascii="ISOCPEUR" w:hAnsi="ISOCPEUR"/>
        </w:rPr>
      </w:pPr>
      <w:bookmarkStart w:id="42" w:name="__RefHeading___Toc6614_1471982776"/>
      <w:bookmarkStart w:id="43" w:name="_Toc185095272"/>
      <w:bookmarkStart w:id="44" w:name="_Toc909762451"/>
      <w:bookmarkStart w:id="45" w:name="_Toc792317921"/>
      <w:bookmarkStart w:id="46" w:name="_Hlk1000597971"/>
      <w:bookmarkEnd w:id="42"/>
      <w:bookmarkEnd w:id="44"/>
      <w:bookmarkEnd w:id="45"/>
      <w:bookmarkEnd w:id="46"/>
      <w:r>
        <w:rPr>
          <w:rFonts w:ascii="ISOCPEUR" w:hAnsi="ISOCPEUR"/>
        </w:rPr>
        <w:t>Istniejące zagospodarowanie terenu</w:t>
      </w:r>
      <w:bookmarkEnd w:id="43"/>
    </w:p>
    <w:p>
      <w:pPr>
        <w:pStyle w:val="Normal"/>
        <w:spacing w:lineRule="auto" w:line="360"/>
        <w:rPr>
          <w:rFonts w:ascii="ISOCPEUR" w:hAnsi="ISOCPEUR"/>
        </w:rPr>
      </w:pPr>
      <w:r>
        <w:rPr>
          <w:rFonts w:ascii="ISOCPEUR" w:hAnsi="ISOCPEUR"/>
        </w:rPr>
        <w:t xml:space="preserve">Teren będący przedmiotem opracowania stanowi działka o numerze ewid. 319/5 zlokalizowana </w:t>
        <w:br/>
        <w:t>w m. Dominów, gmina Mełgiew. Na działce w lewej części usytuowany jest przedmiotowy budynek techniczny ujęcia wody. Dojazd oraz teren na działce jest nieutwardzony.</w:t>
      </w:r>
    </w:p>
    <w:p>
      <w:pPr>
        <w:pStyle w:val="Normal"/>
        <w:spacing w:lineRule="auto" w:line="360"/>
        <w:rPr>
          <w:rFonts w:ascii="ISOCPEUR" w:hAnsi="ISOCPEUR"/>
        </w:rPr>
      </w:pPr>
      <w:r>
        <w:rPr>
          <w:rFonts w:ascii="ISOCPEUR" w:hAnsi="ISOCPEUR"/>
        </w:rPr>
        <w:t>Istniejąca infrastruktura techniczna na działce: elektroenergetyczna linia niskiego napięcia, magistrale wodociągowe, instalacja zewnętrzna kanalizacji sanitarnej wraz ze zbiornikiem szczelnym bezodpływowym.</w:t>
      </w:r>
    </w:p>
    <w:p>
      <w:pPr>
        <w:pStyle w:val="Nagwek1"/>
        <w:shd w:val="clear" w:color="auto" w:fill="auto"/>
        <w:spacing w:lineRule="auto" w:line="360"/>
        <w:rPr>
          <w:rFonts w:ascii="ISOCPEUR" w:hAnsi="ISOCPEUR"/>
        </w:rPr>
      </w:pPr>
      <w:bookmarkStart w:id="47" w:name="__RefHeading___Toc6616_1471982776"/>
      <w:bookmarkStart w:id="48" w:name="_Toc185095273"/>
      <w:bookmarkEnd w:id="47"/>
      <w:r>
        <w:rPr>
          <w:rFonts w:ascii="ISOCPEUR" w:hAnsi="ISOCPEUR"/>
        </w:rPr>
        <w:t>OPIS STANU PROJEKTOWANEGO</w:t>
      </w:r>
      <w:bookmarkEnd w:id="48"/>
    </w:p>
    <w:p>
      <w:pPr>
        <w:pStyle w:val="Nagwek2"/>
        <w:spacing w:lineRule="auto" w:line="360"/>
        <w:rPr>
          <w:rFonts w:ascii="ISOCPEUR" w:hAnsi="ISOCPEUR"/>
        </w:rPr>
      </w:pPr>
      <w:bookmarkStart w:id="49" w:name="__RefHeading___Toc6618_1471982776"/>
      <w:bookmarkStart w:id="50" w:name="_Toc185095274"/>
      <w:bookmarkStart w:id="51" w:name="_Toc90976257"/>
      <w:bookmarkEnd w:id="49"/>
      <w:r>
        <w:rPr>
          <w:rFonts w:ascii="ISOCPEUR" w:hAnsi="ISOCPEUR"/>
        </w:rPr>
        <w:t>ROBOTY ROZBIÓRKOWE I PRACE DEMONTAŻOWE</w:t>
      </w:r>
      <w:bookmarkEnd w:id="50"/>
      <w:bookmarkEnd w:id="51"/>
    </w:p>
    <w:p>
      <w:pPr>
        <w:pStyle w:val="Normal"/>
        <w:spacing w:lineRule="auto" w:line="360"/>
        <w:rPr>
          <w:rFonts w:ascii="ISOCPEUR" w:hAnsi="ISOCPEUR"/>
        </w:rPr>
      </w:pPr>
      <w:r>
        <w:rPr>
          <w:rFonts w:ascii="ISOCPEUR" w:hAnsi="ISOCPEUR"/>
        </w:rPr>
        <w:t xml:space="preserve">W ramach realizacji projektu nie przewiduje się robót rozbiórkowych oraz  prac demontażowych. </w:t>
      </w:r>
    </w:p>
    <w:p>
      <w:pPr>
        <w:pStyle w:val="Nagwek2"/>
        <w:spacing w:lineRule="auto" w:line="360"/>
        <w:rPr>
          <w:rFonts w:ascii="ISOCPEUR" w:hAnsi="ISOCPEUR"/>
        </w:rPr>
      </w:pPr>
      <w:bookmarkStart w:id="52" w:name="__RefHeading___Toc6620_1471982776"/>
      <w:bookmarkStart w:id="53" w:name="_Toc185095275"/>
      <w:bookmarkEnd w:id="52"/>
      <w:r>
        <w:rPr>
          <w:rFonts w:ascii="ISOCPEUR" w:hAnsi="ISOCPEUR"/>
        </w:rPr>
        <w:t>PROJEKTOWANE ZAGOSPODAROWANIE DZIAŁKI</w:t>
      </w:r>
      <w:bookmarkEnd w:id="53"/>
    </w:p>
    <w:p>
      <w:pPr>
        <w:pStyle w:val="Wypunktowanie2"/>
        <w:numPr>
          <w:ilvl w:val="0"/>
          <w:numId w:val="0"/>
        </w:numPr>
        <w:spacing w:lineRule="auto" w:line="360"/>
        <w:ind w:left="0" w:hanging="0"/>
        <w:rPr>
          <w:rFonts w:ascii="ISOCPEUR" w:hAnsi="ISOCPEUR"/>
        </w:rPr>
      </w:pPr>
      <w:r>
        <w:rPr>
          <w:rFonts w:ascii="ISOCPEUR" w:hAnsi="ISOCPEUR"/>
        </w:rPr>
        <w:t>Przedmiotowe zagospodarowanie działki swoim zakresem obejmuje:</w:t>
      </w:r>
    </w:p>
    <w:p>
      <w:pPr>
        <w:pStyle w:val="Wypunktowanie2"/>
        <w:numPr>
          <w:ilvl w:val="0"/>
          <w:numId w:val="3"/>
        </w:numPr>
        <w:spacing w:lineRule="auto" w:line="360"/>
        <w:ind w:left="709" w:hanging="360"/>
        <w:rPr>
          <w:rFonts w:ascii="ISOCPEUR" w:hAnsi="ISOCPEUR"/>
        </w:rPr>
      </w:pPr>
      <w:r>
        <w:rPr>
          <w:rFonts w:ascii="ISOCPEUR" w:hAnsi="ISOCPEUR"/>
        </w:rPr>
        <w:t>wykonanie opaski odwaniającej na fragmencie oraz utwardzenia pod agregat prądotwórczy od strony południowej budynku,</w:t>
      </w:r>
    </w:p>
    <w:p>
      <w:pPr>
        <w:pStyle w:val="Nagwek3"/>
        <w:spacing w:lineRule="auto" w:line="360"/>
        <w:rPr>
          <w:rFonts w:ascii="ISOCPEUR" w:hAnsi="ISOCPEUR"/>
        </w:rPr>
      </w:pPr>
      <w:bookmarkStart w:id="54" w:name="__RefHeading___Toc6622_1471982776"/>
      <w:bookmarkStart w:id="55" w:name="_Toc185095276"/>
      <w:bookmarkStart w:id="56" w:name="_Toc170479537"/>
      <w:bookmarkStart w:id="57" w:name="_Toc128567030"/>
      <w:bookmarkEnd w:id="54"/>
      <w:r>
        <w:rPr>
          <w:rFonts w:ascii="ISOCPEUR" w:hAnsi="ISOCPEUR"/>
        </w:rPr>
        <w:t>Zestawienie powierzchni terenu objętego opracowaniem:</w:t>
      </w:r>
      <w:bookmarkEnd w:id="55"/>
      <w:bookmarkEnd w:id="56"/>
      <w:bookmarkEnd w:id="57"/>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powierzchnia działki:</w:t>
        <w:tab/>
        <w:tab/>
        <w:tab/>
        <w:t xml:space="preserve">  </w:t>
        <w:tab/>
        <w:tab/>
        <w:t>1212,00 m</w:t>
      </w:r>
      <w:r>
        <w:rPr>
          <w:rFonts w:ascii="ISOCPEUR" w:hAnsi="ISOCPEUR"/>
          <w:vertAlign w:val="superscript"/>
        </w:rPr>
        <w:t>2</w:t>
        <w:tab/>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pow. istniejącej zabudowy:</w:t>
        <w:tab/>
        <w:tab/>
        <w:tab/>
        <w:tab/>
        <w:t>142,85 m</w:t>
      </w:r>
      <w:r>
        <w:rPr>
          <w:rFonts w:ascii="ISOCPEUR" w:hAnsi="ISOCPEUR"/>
          <w:vertAlign w:val="superscript"/>
        </w:rPr>
        <w:t>2</w:t>
        <w:tab/>
      </w:r>
    </w:p>
    <w:p>
      <w:pPr>
        <w:pStyle w:val="Tytu"/>
        <w:numPr>
          <w:ilvl w:val="0"/>
          <w:numId w:val="2"/>
        </w:numPr>
        <w:tabs>
          <w:tab w:val="clear" w:pos="708"/>
          <w:tab w:val="left" w:pos="567" w:leader="none"/>
        </w:tabs>
        <w:spacing w:lineRule="auto" w:line="360"/>
        <w:ind w:left="567" w:hanging="283"/>
        <w:rPr>
          <w:rFonts w:ascii="ISOCPEUR" w:hAnsi="ISOCPEUR"/>
          <w:color w:val="auto"/>
        </w:rPr>
      </w:pPr>
      <w:bookmarkStart w:id="58" w:name="_Hlk113874563"/>
      <w:bookmarkEnd w:id="58"/>
      <w:r>
        <w:rPr>
          <w:rFonts w:ascii="ISOCPEUR" w:hAnsi="ISOCPEUR"/>
          <w:color w:val="auto"/>
        </w:rPr>
        <w:t>powierzchnia projektowanych utwardzeń:</w:t>
        <w:tab/>
        <w:tab/>
        <w:t>42,60 m</w:t>
      </w:r>
      <w:r>
        <w:rPr>
          <w:rFonts w:ascii="ISOCPEUR" w:hAnsi="ISOCPEUR"/>
          <w:color w:val="auto"/>
          <w:vertAlign w:val="superscript"/>
        </w:rPr>
        <w:t>2</w:t>
      </w:r>
    </w:p>
    <w:p>
      <w:pPr>
        <w:pStyle w:val="Tytu"/>
        <w:numPr>
          <w:ilvl w:val="0"/>
          <w:numId w:val="2"/>
        </w:numPr>
        <w:tabs>
          <w:tab w:val="clear" w:pos="708"/>
          <w:tab w:val="left" w:pos="567" w:leader="none"/>
        </w:tabs>
        <w:spacing w:lineRule="auto" w:line="360"/>
        <w:ind w:left="567" w:hanging="283"/>
        <w:rPr>
          <w:rFonts w:ascii="ISOCPEUR" w:hAnsi="ISOCPEUR"/>
          <w:color w:val="auto"/>
        </w:rPr>
      </w:pPr>
      <w:r>
        <w:rPr>
          <w:rFonts w:ascii="ISOCPEUR" w:hAnsi="ISOCPEUR"/>
          <w:color w:val="auto"/>
        </w:rPr>
        <w:t>powierzchnia biologicznie czynna:</w:t>
        <w:tab/>
        <w:tab/>
        <w:tab/>
        <w:t>1 026,55 m</w:t>
      </w:r>
      <w:r>
        <w:rPr>
          <w:rFonts w:ascii="ISOCPEUR" w:hAnsi="ISOCPEUR"/>
          <w:color w:val="auto"/>
          <w:vertAlign w:val="superscript"/>
        </w:rPr>
        <w:t>2</w:t>
      </w:r>
    </w:p>
    <w:p>
      <w:pPr>
        <w:pStyle w:val="Nagwek2"/>
        <w:spacing w:lineRule="auto" w:line="360"/>
        <w:rPr>
          <w:rFonts w:ascii="ISOCPEUR" w:hAnsi="ISOCPEUR"/>
        </w:rPr>
      </w:pPr>
      <w:bookmarkStart w:id="59" w:name="__RefHeading___Toc6624_1471982776"/>
      <w:bookmarkStart w:id="60" w:name="_Toc185095277"/>
      <w:bookmarkStart w:id="61" w:name="_Toc183642492"/>
      <w:bookmarkStart w:id="62" w:name="_Hlk1138745631"/>
      <w:bookmarkEnd w:id="59"/>
      <w:bookmarkEnd w:id="62"/>
      <w:r>
        <w:rPr>
          <w:rFonts w:ascii="ISOCPEUR" w:hAnsi="ISOCPEUR"/>
        </w:rPr>
        <w:t>Opaska odwadniająca</w:t>
      </w:r>
      <w:bookmarkEnd w:id="61"/>
      <w:r>
        <w:rPr>
          <w:rFonts w:ascii="ISOCPEUR" w:hAnsi="ISOCPEUR"/>
        </w:rPr>
        <w:t>, utwardzenia</w:t>
      </w:r>
      <w:bookmarkEnd w:id="60"/>
      <w:r>
        <w:rPr>
          <w:rFonts w:ascii="ISOCPEUR" w:hAnsi="ISOCPEUR"/>
        </w:rPr>
        <w:t xml:space="preserve"> pod agregat prądotwórczy</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kostka brukowa gr. 6 cm </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podsypka piaskowo-cementowa – gr. 3 cm</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podbudowa betonowa 5 MPa – 15 cm</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warstwa odsączająca piasek średni gr. 20 cm</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obrzeża betonowe 6x30 cm</w:t>
      </w:r>
    </w:p>
    <w:p>
      <w:pPr>
        <w:pStyle w:val="Nagwek2"/>
        <w:spacing w:lineRule="auto" w:line="360"/>
        <w:rPr>
          <w:rFonts w:ascii="ISOCPEUR" w:hAnsi="ISOCPEUR"/>
        </w:rPr>
      </w:pPr>
      <w:bookmarkStart w:id="63" w:name="__RefHeading___Toc6626_1471982776"/>
      <w:bookmarkStart w:id="64" w:name="_Toc185095278"/>
      <w:bookmarkEnd w:id="63"/>
      <w:r>
        <w:rPr>
          <w:rFonts w:ascii="ISOCPEUR" w:hAnsi="ISOCPEUR"/>
        </w:rPr>
        <w:t>Projektowane roboty budowlane</w:t>
      </w:r>
      <w:bookmarkEnd w:id="64"/>
      <w:r>
        <w:rPr>
          <w:rFonts w:ascii="ISOCPEUR" w:hAnsi="ISOCPEUR"/>
        </w:rPr>
        <w:t xml:space="preserve"> i instalacyjne</w:t>
      </w:r>
    </w:p>
    <w:p>
      <w:pPr>
        <w:pStyle w:val="Normal"/>
        <w:spacing w:lineRule="auto" w:line="360"/>
        <w:rPr>
          <w:rFonts w:ascii="ISOCPEUR" w:hAnsi="ISOCPEUR"/>
        </w:rPr>
      </w:pPr>
      <w:r>
        <w:rPr>
          <w:rFonts w:ascii="ISOCPEUR" w:hAnsi="ISOCPEUR"/>
        </w:rPr>
        <w:t>Projektowane roboty budowlano-instalacyjne swoim zakresem obejmują:</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montaż agregatu prądotwórczego w calach podtrzymania pracy stacji wodociągowej na czas zaniku prądu sieciowego,</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wykonanie utwardzeń pod agregat prądotwórczy,</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montaż lampy ultrafioletowej UV na przewodzie wodociągowym,</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montaż dodatkowego punktu poboru próbek, w miejscu wyjścia rurociągu do sieci zewnętrznej, </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montaż osuszacza stanowiskowego w celu ochrony budynku przed wilgocią,</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montaż instalacji elektrycznych wewnętrznych do obsługi projektowanych urządzeń wraz z zasileniem rezerwowym przez agregat,</w:t>
      </w:r>
    </w:p>
    <w:p>
      <w:pPr>
        <w:pStyle w:val="Nagwek2"/>
        <w:spacing w:lineRule="auto" w:line="360"/>
        <w:rPr>
          <w:rFonts w:ascii="ISOCPEUR" w:hAnsi="ISOCPEUR"/>
        </w:rPr>
      </w:pPr>
      <w:bookmarkStart w:id="65" w:name="__RefHeading___Toc6628_1471982776"/>
      <w:bookmarkStart w:id="66" w:name="_Toc185095279"/>
      <w:bookmarkEnd w:id="65"/>
      <w:r>
        <w:rPr>
          <w:rFonts w:ascii="ISOCPEUR" w:hAnsi="ISOCPEUR"/>
        </w:rPr>
        <w:t xml:space="preserve">Rozwiązania </w:t>
      </w:r>
      <w:bookmarkEnd w:id="66"/>
      <w:r>
        <w:rPr>
          <w:rFonts w:eastAsia="" w:cs="" w:ascii="ISOCPEUR" w:hAnsi="ISOCPEUR" w:cstheme="majorBidi" w:eastAsiaTheme="majorEastAsia"/>
          <w:b/>
          <w:bCs/>
          <w:smallCaps/>
          <w:color w:val="000000" w:themeColor="text1"/>
          <w:sz w:val="24"/>
          <w:szCs w:val="28"/>
        </w:rPr>
        <w:t>Instalacyjne</w:t>
      </w:r>
    </w:p>
    <w:p>
      <w:pPr>
        <w:pStyle w:val="Nagwek3"/>
        <w:spacing w:lineRule="auto" w:line="360"/>
        <w:rPr>
          <w:rFonts w:ascii="ISOCPEUR" w:hAnsi="ISOCPEUR" w:eastAsia="" w:cs="" w:cstheme="majorBidi" w:eastAsiaTheme="majorEastAsia"/>
          <w:b/>
          <w:b/>
          <w:bCs/>
          <w:smallCaps/>
          <w:color w:val="000000" w:themeColor="text1"/>
        </w:rPr>
      </w:pPr>
      <w:bookmarkStart w:id="67" w:name="__RefHeading___Toc6630_1471982776"/>
      <w:bookmarkEnd w:id="67"/>
      <w:r>
        <w:rPr>
          <w:rFonts w:eastAsia="" w:cs="" w:ascii="ISOCPEUR" w:hAnsi="ISOCPEUR" w:cstheme="majorBidi" w:eastAsiaTheme="majorEastAsia"/>
          <w:b/>
          <w:bCs/>
          <w:smallCaps/>
          <w:color w:val="000000" w:themeColor="text1"/>
        </w:rPr>
        <w:t>MONTAŻ LAMPY UV (DEZYNFEKCJA)</w:t>
      </w:r>
    </w:p>
    <w:p>
      <w:pPr>
        <w:pStyle w:val="Normal"/>
        <w:spacing w:lineRule="auto" w:line="360"/>
        <w:rPr>
          <w:rFonts w:ascii="ISOCPEUR" w:hAnsi="ISOCPEUR"/>
          <w:sz w:val="22"/>
          <w:szCs w:val="22"/>
        </w:rPr>
      </w:pPr>
      <w:r>
        <w:rPr>
          <w:rFonts w:ascii="ISOCPEUR" w:hAnsi="ISOCPEUR"/>
          <w:sz w:val="22"/>
          <w:szCs w:val="22"/>
        </w:rPr>
        <w:t>UKŁAD PROJEKTOWANY:</w:t>
      </w:r>
    </w:p>
    <w:p>
      <w:pPr>
        <w:pStyle w:val="Normal"/>
        <w:spacing w:lineRule="auto" w:line="360"/>
        <w:rPr>
          <w:rFonts w:ascii="ISOCPEUR" w:hAnsi="ISOCPEUR"/>
          <w:sz w:val="22"/>
          <w:szCs w:val="22"/>
        </w:rPr>
      </w:pPr>
      <w:r>
        <w:rPr>
          <w:rFonts w:ascii="ISOCPEUR" w:hAnsi="ISOCPEUR"/>
          <w:b w:val="false"/>
          <w:i w:val="false"/>
          <w:caps w:val="false"/>
          <w:smallCaps w:val="false"/>
          <w:color w:val="333333"/>
          <w:spacing w:val="0"/>
          <w:sz w:val="22"/>
          <w:szCs w:val="22"/>
        </w:rPr>
        <w:t>Lampa bakteriobójcza UV o nominalnym przepływie 24,40 m3/h, wyposażona w 210 watowy amalgamatowy promiennik. Podczas procesu promiennik umiejscowiony w kwarcowej rurze emituje światło UV, które wnika w wodę i usuwa z niej wirusy i bakterie typu escherichia coli, bakterie grupy Coli, paciorkowce kałowe, legionella, zgorzel gazowa.</w:t>
      </w:r>
      <w:r>
        <w:rPr>
          <w:rFonts w:ascii="ISOCPEUR" w:hAnsi="ISOCPEUR"/>
          <w:sz w:val="22"/>
          <w:szCs w:val="22"/>
        </w:rPr>
        <w:t xml:space="preserve"> </w:t>
      </w:r>
    </w:p>
    <w:p>
      <w:pPr>
        <w:pStyle w:val="Normal"/>
        <w:spacing w:lineRule="auto" w:line="240"/>
        <w:rPr>
          <w:rFonts w:ascii="ISOCPEUR" w:hAnsi="ISOCPEUR"/>
          <w:sz w:val="22"/>
          <w:szCs w:val="22"/>
        </w:rPr>
      </w:pPr>
      <w:r>
        <w:rPr>
          <w:rFonts w:ascii="ISOCPEUR" w:hAnsi="ISOCPEUR"/>
          <w:sz w:val="22"/>
          <w:szCs w:val="22"/>
        </w:rPr>
        <w:t>Parametry techniczne:</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Średnica przyłącza: DN80 (kołnierzowe)</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Liczba promienników: 1x210 W</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Długość: 1260 mm</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Średnica: 220 mm</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Waga z układem sterowania: 39 kg</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Żywotność promienników: 16000 h (około 660 dni)</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Ciśnienie pracy: 10 bar</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Zalecana temperatura cieczy: 0,5 – 50°C</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Moc przyłącza: 220 W</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Przepływ nominalny: 24,40 m3/h</w:t>
      </w:r>
    </w:p>
    <w:p>
      <w:pPr>
        <w:pStyle w:val="Tretekstu"/>
        <w:numPr>
          <w:ilvl w:val="0"/>
          <w:numId w:val="6"/>
        </w:numPr>
        <w:spacing w:lineRule="auto" w:line="240"/>
        <w:rPr>
          <w:rFonts w:ascii="ISOCPEUR" w:hAnsi="ISOCPEUR"/>
          <w:b w:val="false"/>
          <w:b w:val="false"/>
          <w:i w:val="false"/>
          <w:i w:val="false"/>
          <w:caps w:val="false"/>
          <w:smallCaps w:val="false"/>
          <w:color w:val="333333"/>
          <w:spacing w:val="0"/>
          <w:sz w:val="22"/>
          <w:szCs w:val="22"/>
        </w:rPr>
      </w:pPr>
      <w:r>
        <w:rPr>
          <w:rFonts w:ascii="ISOCPEUR" w:hAnsi="ISOCPEUR"/>
          <w:b w:val="false"/>
          <w:i w:val="false"/>
          <w:caps w:val="false"/>
          <w:smallCaps w:val="false"/>
          <w:color w:val="333333"/>
          <w:spacing w:val="0"/>
          <w:sz w:val="22"/>
          <w:szCs w:val="22"/>
        </w:rPr>
        <w:t>Materiał: stal kwasoodporna</w:t>
      </w:r>
    </w:p>
    <w:p>
      <w:pPr>
        <w:pStyle w:val="Tretekstu"/>
        <w:numPr>
          <w:ilvl w:val="0"/>
          <w:numId w:val="6"/>
        </w:numPr>
        <w:spacing w:lineRule="auto" w:line="240"/>
        <w:rPr>
          <w:rFonts w:ascii="ISOCPEUR" w:hAnsi="ISOCPEUR"/>
          <w:sz w:val="22"/>
          <w:szCs w:val="22"/>
        </w:rPr>
      </w:pPr>
      <w:r>
        <w:rPr>
          <w:rFonts w:ascii="ISOCPEUR" w:hAnsi="ISOCPEUR"/>
          <w:b w:val="false"/>
          <w:i w:val="false"/>
          <w:caps w:val="false"/>
          <w:smallCaps w:val="false"/>
          <w:color w:val="333333"/>
          <w:spacing w:val="0"/>
          <w:sz w:val="22"/>
          <w:szCs w:val="22"/>
        </w:rPr>
        <w:t>Zasilanie układu sterowania: 220V – 240V 50/60Hz</w:t>
      </w:r>
    </w:p>
    <w:p>
      <w:pPr>
        <w:pStyle w:val="Tretekstu"/>
        <w:numPr>
          <w:ilvl w:val="0"/>
          <w:numId w:val="0"/>
        </w:numPr>
        <w:spacing w:lineRule="auto" w:line="240"/>
        <w:ind w:left="720" w:hanging="0"/>
        <w:rPr>
          <w:rStyle w:val="Mocnewyrnione"/>
          <w:b w:val="false"/>
          <w:b w:val="false"/>
          <w:i w:val="false"/>
          <w:i w:val="false"/>
          <w:caps w:val="false"/>
          <w:smallCaps w:val="false"/>
          <w:color w:val="333333"/>
          <w:spacing w:val="0"/>
          <w:sz w:val="22"/>
          <w:szCs w:val="22"/>
        </w:rPr>
      </w:pPr>
      <w:r>
        <w:rPr>
          <w:b w:val="false"/>
          <w:i w:val="false"/>
          <w:caps w:val="false"/>
          <w:smallCaps w:val="false"/>
          <w:color w:val="333333"/>
          <w:spacing w:val="0"/>
          <w:sz w:val="22"/>
          <w:szCs w:val="22"/>
        </w:rPr>
      </w:r>
    </w:p>
    <w:p>
      <w:pPr>
        <w:pStyle w:val="Tretekstu"/>
        <w:numPr>
          <w:ilvl w:val="0"/>
          <w:numId w:val="0"/>
        </w:numPr>
        <w:spacing w:lineRule="auto" w:line="240"/>
        <w:ind w:left="720" w:hanging="0"/>
        <w:rPr>
          <w:rFonts w:ascii="ISOCPEUR" w:hAnsi="ISOCPEUR"/>
        </w:rPr>
      </w:pPr>
      <w:r>
        <w:rPr>
          <w:rStyle w:val="Mocnewyrnione"/>
          <w:rFonts w:ascii="ISOCPEUR" w:hAnsi="ISOCPEUR"/>
          <w:b w:val="false"/>
          <w:i w:val="false"/>
          <w:caps w:val="false"/>
          <w:smallCaps w:val="false"/>
          <w:color w:val="333333"/>
          <w:spacing w:val="0"/>
          <w:sz w:val="22"/>
          <w:szCs w:val="22"/>
        </w:rPr>
        <w:t>Dane techniczne układu sterowania:</w:t>
      </w:r>
    </w:p>
    <w:p>
      <w:pPr>
        <w:pStyle w:val="Tretekstu"/>
        <w:numPr>
          <w:ilvl w:val="0"/>
          <w:numId w:val="6"/>
        </w:numPr>
        <w:spacing w:lineRule="auto" w:line="240"/>
        <w:rPr>
          <w:rFonts w:ascii="ISOCPEUR" w:hAnsi="ISOCPEUR"/>
          <w:sz w:val="22"/>
          <w:szCs w:val="22"/>
        </w:rPr>
      </w:pPr>
      <w:r>
        <w:rPr>
          <w:rFonts w:ascii="ISOCPEUR" w:hAnsi="ISOCPEUR"/>
          <w:b w:val="false"/>
          <w:i w:val="false"/>
          <w:caps w:val="false"/>
          <w:smallCaps w:val="false"/>
          <w:color w:val="333333"/>
          <w:spacing w:val="0"/>
          <w:sz w:val="22"/>
          <w:szCs w:val="22"/>
        </w:rPr>
        <w:t>Zasilanie: 220V – 240V 50/60Hz</w:t>
      </w:r>
    </w:p>
    <w:p>
      <w:pPr>
        <w:pStyle w:val="Tretekstu"/>
        <w:numPr>
          <w:ilvl w:val="0"/>
          <w:numId w:val="6"/>
        </w:numPr>
        <w:spacing w:lineRule="auto" w:line="240"/>
        <w:rPr>
          <w:rFonts w:ascii="ISOCPEUR" w:hAnsi="ISOCPEUR"/>
          <w:sz w:val="22"/>
          <w:szCs w:val="22"/>
        </w:rPr>
      </w:pPr>
      <w:r>
        <w:rPr>
          <w:rFonts w:ascii="ISOCPEUR" w:hAnsi="ISOCPEUR"/>
          <w:b w:val="false"/>
          <w:i w:val="false"/>
          <w:caps w:val="false"/>
          <w:smallCaps w:val="false"/>
          <w:color w:val="333333"/>
          <w:spacing w:val="0"/>
          <w:sz w:val="22"/>
          <w:szCs w:val="22"/>
        </w:rPr>
        <w:t>Moc przyłącza: 220 W</w:t>
      </w:r>
    </w:p>
    <w:p>
      <w:pPr>
        <w:pStyle w:val="Tretekstu"/>
        <w:widowControl/>
        <w:numPr>
          <w:ilvl w:val="0"/>
          <w:numId w:val="6"/>
        </w:numPr>
        <w:suppressAutoHyphens w:val="true"/>
        <w:bidi w:val="0"/>
        <w:spacing w:lineRule="auto" w:line="240" w:before="0" w:after="120"/>
        <w:ind w:left="737" w:right="0" w:hanging="340"/>
        <w:jc w:val="left"/>
        <w:rPr>
          <w:rFonts w:ascii="ISOCPEUR" w:hAnsi="ISOCPEUR"/>
          <w:sz w:val="22"/>
          <w:szCs w:val="22"/>
        </w:rPr>
      </w:pPr>
      <w:r>
        <w:rPr>
          <w:rFonts w:ascii="ISOCPEUR" w:hAnsi="ISOCPEUR"/>
          <w:b w:val="false"/>
          <w:i w:val="false"/>
          <w:caps w:val="false"/>
          <w:smallCaps w:val="false"/>
          <w:color w:val="333333"/>
          <w:spacing w:val="0"/>
          <w:sz w:val="22"/>
          <w:szCs w:val="22"/>
        </w:rPr>
        <w:t>Klasa ochrony: IP 40</w:t>
      </w:r>
    </w:p>
    <w:p>
      <w:pPr>
        <w:pStyle w:val="Tretekstu"/>
        <w:widowControl/>
        <w:numPr>
          <w:ilvl w:val="0"/>
          <w:numId w:val="6"/>
        </w:numPr>
        <w:suppressAutoHyphens w:val="true"/>
        <w:bidi w:val="0"/>
        <w:spacing w:lineRule="auto" w:line="240" w:before="0" w:after="120"/>
        <w:ind w:left="737" w:right="0" w:hanging="340"/>
        <w:jc w:val="left"/>
        <w:rPr>
          <w:rFonts w:ascii="ISOCPEUR" w:hAnsi="ISOCPEUR"/>
          <w:sz w:val="22"/>
          <w:szCs w:val="22"/>
        </w:rPr>
      </w:pPr>
      <w:r>
        <w:rPr>
          <w:rFonts w:ascii="ISOCPEUR" w:hAnsi="ISOCPEUR"/>
          <w:b w:val="false"/>
          <w:i w:val="false"/>
          <w:caps w:val="false"/>
          <w:smallCaps w:val="false"/>
          <w:color w:val="333333"/>
          <w:spacing w:val="0"/>
          <w:sz w:val="22"/>
          <w:szCs w:val="22"/>
        </w:rPr>
        <w:t>Materiał: ALUMINIUM/ABS</w:t>
      </w:r>
    </w:p>
    <w:p>
      <w:pPr>
        <w:pStyle w:val="Tretekstu"/>
        <w:widowControl/>
        <w:numPr>
          <w:ilvl w:val="0"/>
          <w:numId w:val="6"/>
        </w:numPr>
        <w:suppressAutoHyphens w:val="true"/>
        <w:bidi w:val="0"/>
        <w:spacing w:lineRule="auto" w:line="240" w:before="0" w:after="120"/>
        <w:ind w:left="737" w:right="0" w:hanging="340"/>
        <w:jc w:val="left"/>
        <w:rPr>
          <w:rFonts w:ascii="ISOCPEUR" w:hAnsi="ISOCPEUR"/>
          <w:sz w:val="22"/>
          <w:szCs w:val="22"/>
        </w:rPr>
      </w:pPr>
      <w:r>
        <w:rPr>
          <w:rFonts w:ascii="ISOCPEUR" w:hAnsi="ISOCPEUR"/>
          <w:b w:val="false"/>
          <w:i w:val="false"/>
          <w:caps w:val="false"/>
          <w:smallCaps w:val="false"/>
          <w:color w:val="333333"/>
          <w:spacing w:val="0"/>
          <w:sz w:val="22"/>
          <w:szCs w:val="22"/>
        </w:rPr>
        <w:t>Wymiary(Dł x sz x wys.): 400x109x115 mm</w:t>
      </w:r>
    </w:p>
    <w:p>
      <w:pPr>
        <w:pStyle w:val="Tretekstu"/>
        <w:widowControl/>
        <w:numPr>
          <w:ilvl w:val="0"/>
          <w:numId w:val="0"/>
        </w:numPr>
        <w:suppressAutoHyphens w:val="true"/>
        <w:bidi w:val="0"/>
        <w:spacing w:lineRule="auto" w:line="240" w:before="0" w:after="120"/>
        <w:ind w:left="1117" w:right="0" w:hanging="0"/>
        <w:jc w:val="left"/>
        <w:rPr>
          <w:b w:val="false"/>
          <w:b w:val="false"/>
          <w:i w:val="false"/>
          <w:i w:val="false"/>
          <w:caps w:val="false"/>
          <w:smallCaps w:val="false"/>
          <w:color w:val="333333"/>
          <w:spacing w:val="0"/>
        </w:rPr>
      </w:pPr>
      <w:r>
        <w:rPr>
          <w:b w:val="false"/>
          <w:i w:val="false"/>
          <w:caps w:val="false"/>
          <w:smallCaps w:val="false"/>
          <w:color w:val="333333"/>
          <w:spacing w:val="0"/>
        </w:rPr>
      </w:r>
    </w:p>
    <w:p>
      <w:pPr>
        <w:pStyle w:val="Tretekstu"/>
        <w:widowControl/>
        <w:numPr>
          <w:ilvl w:val="0"/>
          <w:numId w:val="0"/>
        </w:numPr>
        <w:suppressAutoHyphens w:val="true"/>
        <w:bidi w:val="0"/>
        <w:spacing w:lineRule="auto" w:line="360" w:before="0" w:after="120"/>
        <w:ind w:left="0" w:right="0" w:hanging="0"/>
        <w:jc w:val="left"/>
        <w:rPr>
          <w:rFonts w:ascii="ISOCPEUR" w:hAnsi="ISOCPEUR"/>
          <w:sz w:val="22"/>
          <w:szCs w:val="22"/>
        </w:rPr>
      </w:pPr>
      <w:r>
        <w:rPr>
          <w:rFonts w:ascii="ISOCPEUR" w:hAnsi="ISOCPEUR"/>
          <w:b w:val="false"/>
          <w:i w:val="false"/>
          <w:caps w:val="false"/>
          <w:smallCaps w:val="false"/>
          <w:color w:val="333333"/>
          <w:spacing w:val="0"/>
          <w:sz w:val="22"/>
          <w:szCs w:val="22"/>
        </w:rPr>
        <w:t xml:space="preserve">Ponadto lampa </w:t>
      </w:r>
      <w:r>
        <w:rPr>
          <w:rFonts w:eastAsia="Times New Roman" w:cs="Times New Roman" w:ascii="ISOCPEUR" w:hAnsi="ISOCPEUR"/>
          <w:b w:val="false"/>
          <w:i w:val="false"/>
          <w:caps w:val="false"/>
          <w:smallCaps w:val="false"/>
          <w:color w:val="333333"/>
          <w:spacing w:val="0"/>
          <w:kern w:val="2"/>
          <w:sz w:val="22"/>
          <w:szCs w:val="22"/>
          <w:lang w:eastAsia="ar-SA"/>
        </w:rPr>
        <w:t>fabrycznie</w:t>
      </w:r>
      <w:r>
        <w:rPr>
          <w:rFonts w:ascii="ISOCPEUR" w:hAnsi="ISOCPEUR"/>
          <w:b w:val="false"/>
          <w:i w:val="false"/>
          <w:caps w:val="false"/>
          <w:smallCaps w:val="false"/>
          <w:color w:val="333333"/>
          <w:spacing w:val="0"/>
          <w:sz w:val="22"/>
          <w:szCs w:val="22"/>
        </w:rPr>
        <w:t xml:space="preserve"> posiada wbudowane systemy: alarmowy, dźwiękowy sygnalizator uszkodzenia promiennika UV, optyczny wskaźnik pracy sterylizatora, optyczny wskaźnik uszkodzenia promiennika, licznik czasu pracy, licznik liczby włączeń, licznik pozostałego czasu pracy, wyjście na elektrozawór, wyprowadzenie sygnału alarmowego.</w:t>
      </w:r>
    </w:p>
    <w:p>
      <w:pPr>
        <w:pStyle w:val="ListParagraph"/>
        <w:spacing w:lineRule="auto" w:line="360"/>
        <w:rPr>
          <w:rFonts w:ascii="ISOCPEUR" w:hAnsi="ISOCPEUR"/>
        </w:rPr>
      </w:pPr>
      <w:r>
        <w:rPr>
          <w:rFonts w:ascii="ISOCPEUR" w:hAnsi="ISOCPEUR"/>
        </w:rPr>
      </w:r>
    </w:p>
    <w:p>
      <w:pPr>
        <w:pStyle w:val="Nagwek3"/>
        <w:spacing w:lineRule="auto" w:line="360"/>
        <w:rPr>
          <w:rFonts w:ascii="ISOCPEUR" w:hAnsi="ISOCPEUR"/>
        </w:rPr>
      </w:pPr>
      <w:bookmarkStart w:id="68" w:name="__RefHeading___Toc6632_1471982776"/>
      <w:bookmarkStart w:id="69" w:name="_Toc185095281"/>
      <w:bookmarkEnd w:id="68"/>
      <w:r>
        <w:rPr>
          <w:rFonts w:eastAsia="" w:cs="" w:ascii="ISOCPEUR" w:hAnsi="ISOCPEUR" w:cstheme="majorBidi" w:eastAsiaTheme="majorEastAsia"/>
          <w:b/>
          <w:bCs/>
          <w:smallCaps/>
          <w:color w:val="000000" w:themeColor="text1"/>
        </w:rPr>
        <w:t>P</w:t>
      </w:r>
      <w:bookmarkEnd w:id="69"/>
      <w:r>
        <w:rPr>
          <w:rFonts w:eastAsia="" w:cs="" w:ascii="ISOCPEUR" w:hAnsi="ISOCPEUR" w:cstheme="majorBidi" w:eastAsiaTheme="majorEastAsia"/>
          <w:b/>
          <w:bCs/>
          <w:smallCaps/>
          <w:color w:val="000000" w:themeColor="text1"/>
        </w:rPr>
        <w:t>UNKT POBORU PRÓBEK</w:t>
      </w:r>
    </w:p>
    <w:p>
      <w:pPr>
        <w:pStyle w:val="Normal"/>
        <w:spacing w:lineRule="auto" w:line="360"/>
        <w:rPr>
          <w:rFonts w:ascii="ISOCPEUR" w:hAnsi="ISOCPEUR"/>
        </w:rPr>
      </w:pPr>
      <w:r>
        <w:rPr>
          <w:rFonts w:ascii="ISOCPEUR" w:hAnsi="ISOCPEUR"/>
        </w:rPr>
        <w:t>ELEMENTY PROJEKTOWANE:</w:t>
      </w:r>
    </w:p>
    <w:p>
      <w:pPr>
        <w:pStyle w:val="ListParagraph"/>
        <w:numPr>
          <w:ilvl w:val="0"/>
          <w:numId w:val="7"/>
        </w:numPr>
        <w:spacing w:lineRule="auto" w:line="360"/>
        <w:rPr>
          <w:rFonts w:ascii="ISOCPEUR" w:hAnsi="ISOCPEUR"/>
        </w:rPr>
      </w:pPr>
      <w:r>
        <w:rPr>
          <w:rFonts w:ascii="ISOCPEUR" w:hAnsi="ISOCPEUR"/>
        </w:rPr>
        <w:t>zawór poboru próbek, kran w wykonaniu nierdzewnym, nierozbryzgowym DN20mm</w:t>
      </w:r>
    </w:p>
    <w:p>
      <w:pPr>
        <w:pStyle w:val="ListParagraph"/>
        <w:numPr>
          <w:ilvl w:val="0"/>
          <w:numId w:val="0"/>
        </w:numPr>
        <w:spacing w:lineRule="auto" w:line="360"/>
        <w:ind w:left="1440" w:hanging="0"/>
        <w:rPr>
          <w:rFonts w:ascii="ISOCPEUR" w:hAnsi="ISOCPEUR"/>
        </w:rPr>
      </w:pPr>
      <w:r>
        <w:rPr>
          <w:rFonts w:ascii="ISOCPEUR" w:hAnsi="ISOCPEUR"/>
        </w:rPr>
      </w:r>
    </w:p>
    <w:p>
      <w:pPr>
        <w:pStyle w:val="Nagwek3"/>
        <w:spacing w:lineRule="auto" w:line="360"/>
        <w:rPr>
          <w:rFonts w:ascii="ISOCPEUR" w:hAnsi="ISOCPEUR"/>
        </w:rPr>
      </w:pPr>
      <w:bookmarkStart w:id="70" w:name="__RefHeading___Toc6634_1471982776"/>
      <w:bookmarkStart w:id="71" w:name="_Toc185095282"/>
      <w:bookmarkEnd w:id="70"/>
      <w:r>
        <w:rPr>
          <w:rFonts w:eastAsia="" w:cs="" w:ascii="ISOCPEUR" w:hAnsi="ISOCPEUR" w:cstheme="majorBidi" w:eastAsiaTheme="majorEastAsia"/>
          <w:b/>
          <w:bCs/>
          <w:smallCaps/>
          <w:color w:val="000000" w:themeColor="text1"/>
        </w:rPr>
        <w:t>M</w:t>
      </w:r>
      <w:bookmarkEnd w:id="71"/>
      <w:r>
        <w:rPr>
          <w:rFonts w:eastAsia="" w:cs="" w:ascii="ISOCPEUR" w:hAnsi="ISOCPEUR" w:cstheme="majorBidi" w:eastAsiaTheme="majorEastAsia"/>
          <w:b/>
          <w:bCs/>
          <w:smallCaps/>
          <w:color w:val="000000" w:themeColor="text1"/>
        </w:rPr>
        <w:t>ONTAŻ OSUSZACZA POWIETRZA</w:t>
      </w:r>
      <w:r>
        <w:rPr>
          <w:rFonts w:ascii="ISOCPEUR" w:hAnsi="ISOCPEUR"/>
        </w:rPr>
        <w:t xml:space="preserve">   </w:t>
      </w:r>
    </w:p>
    <w:p>
      <w:pPr>
        <w:pStyle w:val="Normal"/>
        <w:spacing w:lineRule="auto" w:line="240"/>
        <w:rPr>
          <w:rFonts w:ascii="ISOCPEUR" w:hAnsi="ISOCPEUR"/>
          <w:sz w:val="22"/>
          <w:szCs w:val="22"/>
        </w:rPr>
      </w:pPr>
      <w:r>
        <w:rPr>
          <w:rFonts w:ascii="ISOCPEUR" w:hAnsi="ISOCPEUR"/>
          <w:sz w:val="22"/>
          <w:szCs w:val="22"/>
        </w:rPr>
        <w:t xml:space="preserve">PROJEKTOWANE URZĄDZENIE: </w:t>
      </w:r>
    </w:p>
    <w:p>
      <w:pPr>
        <w:pStyle w:val="ListParagraph"/>
        <w:numPr>
          <w:ilvl w:val="0"/>
          <w:numId w:val="8"/>
        </w:numPr>
        <w:spacing w:lineRule="auto" w:line="240"/>
        <w:rPr>
          <w:rFonts w:ascii="ISOCPEUR" w:hAnsi="ISOCPEUR"/>
          <w:sz w:val="22"/>
          <w:szCs w:val="22"/>
        </w:rPr>
      </w:pPr>
      <w:r>
        <w:rPr>
          <w:rFonts w:ascii="ISOCPEUR" w:hAnsi="ISOCPEUR"/>
          <w:sz w:val="22"/>
          <w:szCs w:val="22"/>
        </w:rPr>
        <w:t>osuszacz kondensacyjny o wydajności min. 20l/dobę,</w:t>
      </w:r>
    </w:p>
    <w:p>
      <w:pPr>
        <w:pStyle w:val="ListParagraph"/>
        <w:numPr>
          <w:ilvl w:val="0"/>
          <w:numId w:val="8"/>
        </w:numPr>
        <w:spacing w:lineRule="auto" w:line="240"/>
        <w:rPr>
          <w:rFonts w:ascii="ISOCPEUR" w:hAnsi="ISOCPEUR"/>
          <w:sz w:val="22"/>
          <w:szCs w:val="22"/>
        </w:rPr>
      </w:pPr>
      <w:r>
        <w:rPr>
          <w:rFonts w:ascii="ISOCPEUR" w:hAnsi="ISOCPEUR"/>
          <w:sz w:val="22"/>
          <w:szCs w:val="22"/>
        </w:rPr>
        <w:t>konstrukcja ze stali nierdzewnej,</w:t>
      </w:r>
    </w:p>
    <w:p>
      <w:pPr>
        <w:pStyle w:val="ListParagraph"/>
        <w:numPr>
          <w:ilvl w:val="0"/>
          <w:numId w:val="8"/>
        </w:numPr>
        <w:spacing w:lineRule="auto" w:line="240"/>
        <w:rPr>
          <w:rFonts w:ascii="ISOCPEUR" w:hAnsi="ISOCPEUR"/>
          <w:sz w:val="22"/>
          <w:szCs w:val="22"/>
        </w:rPr>
      </w:pPr>
      <w:r>
        <w:rPr>
          <w:rFonts w:ascii="ISOCPEUR" w:hAnsi="ISOCPEUR"/>
          <w:sz w:val="22"/>
          <w:szCs w:val="22"/>
        </w:rPr>
        <w:t>licznik czasu pracy,</w:t>
      </w:r>
    </w:p>
    <w:p>
      <w:pPr>
        <w:pStyle w:val="ListParagraph"/>
        <w:numPr>
          <w:ilvl w:val="0"/>
          <w:numId w:val="8"/>
        </w:numPr>
        <w:spacing w:lineRule="auto" w:line="240"/>
        <w:rPr>
          <w:rFonts w:ascii="ISOCPEUR" w:hAnsi="ISOCPEUR"/>
          <w:sz w:val="22"/>
          <w:szCs w:val="22"/>
        </w:rPr>
      </w:pPr>
      <w:r>
        <w:rPr>
          <w:rFonts w:ascii="ISOCPEUR" w:hAnsi="ISOCPEUR"/>
          <w:sz w:val="22"/>
          <w:szCs w:val="22"/>
        </w:rPr>
        <w:t>króciec odprowadzenia skroplin,</w:t>
      </w:r>
    </w:p>
    <w:p>
      <w:pPr>
        <w:pStyle w:val="ListParagraph"/>
        <w:numPr>
          <w:ilvl w:val="0"/>
          <w:numId w:val="8"/>
        </w:numPr>
        <w:spacing w:lineRule="auto" w:line="240"/>
        <w:rPr>
          <w:rFonts w:ascii="ISOCPEUR" w:hAnsi="ISOCPEUR"/>
          <w:sz w:val="22"/>
          <w:szCs w:val="22"/>
        </w:rPr>
      </w:pPr>
      <w:r>
        <w:rPr>
          <w:rFonts w:ascii="ISOCPEUR" w:hAnsi="ISOCPEUR"/>
          <w:sz w:val="22"/>
          <w:szCs w:val="22"/>
        </w:rPr>
        <w:t>max. pobór mocy 420W,</w:t>
      </w:r>
    </w:p>
    <w:p>
      <w:pPr>
        <w:pStyle w:val="ListParagraph"/>
        <w:numPr>
          <w:ilvl w:val="0"/>
          <w:numId w:val="8"/>
        </w:numPr>
        <w:spacing w:lineRule="auto" w:line="240"/>
        <w:rPr>
          <w:rFonts w:ascii="ISOCPEUR" w:hAnsi="ISOCPEUR"/>
          <w:sz w:val="22"/>
          <w:szCs w:val="22"/>
        </w:rPr>
      </w:pPr>
      <w:r>
        <w:rPr>
          <w:rFonts w:ascii="ISOCPEUR" w:hAnsi="ISOCPEUR"/>
          <w:sz w:val="22"/>
          <w:szCs w:val="22"/>
        </w:rPr>
        <w:t>zasilanie 230V</w:t>
      </w:r>
    </w:p>
    <w:p>
      <w:pPr>
        <w:pStyle w:val="Nagwek3"/>
        <w:spacing w:lineRule="auto" w:line="360"/>
        <w:rPr>
          <w:rFonts w:ascii="ISOCPEUR" w:hAnsi="ISOCPEUR"/>
        </w:rPr>
      </w:pPr>
      <w:bookmarkStart w:id="72" w:name="__RefHeading___Toc6634_14719827761"/>
      <w:bookmarkStart w:id="73" w:name="_Toc1850952821"/>
      <w:bookmarkEnd w:id="72"/>
      <w:r>
        <w:rPr>
          <w:rFonts w:eastAsia="" w:cs="" w:ascii="ISOCPEUR" w:hAnsi="ISOCPEUR" w:cstheme="majorBidi" w:eastAsiaTheme="majorEastAsia"/>
          <w:b/>
          <w:bCs/>
          <w:smallCaps/>
          <w:color w:val="000000" w:themeColor="text1"/>
        </w:rPr>
        <w:t>M</w:t>
      </w:r>
      <w:bookmarkEnd w:id="73"/>
      <w:r>
        <w:rPr>
          <w:rFonts w:eastAsia="" w:cs="" w:ascii="ISOCPEUR" w:hAnsi="ISOCPEUR" w:cstheme="majorBidi" w:eastAsiaTheme="majorEastAsia"/>
          <w:b/>
          <w:bCs/>
          <w:smallCaps/>
          <w:color w:val="000000" w:themeColor="text1"/>
        </w:rPr>
        <w:t>ONTAŻ AGREGATU PRĄDOTWÓRCZEGO</w:t>
      </w:r>
      <w:r>
        <w:rPr>
          <w:rFonts w:ascii="ISOCPEUR" w:hAnsi="ISOCPEUR"/>
        </w:rPr>
        <w:t xml:space="preserve">   </w:t>
      </w:r>
    </w:p>
    <w:p>
      <w:pPr>
        <w:pStyle w:val="Normal"/>
        <w:spacing w:lineRule="auto" w:line="240"/>
        <w:rPr>
          <w:rFonts w:ascii="ISOCPEUR" w:hAnsi="ISOCPEUR"/>
          <w:sz w:val="22"/>
          <w:szCs w:val="22"/>
        </w:rPr>
      </w:pPr>
      <w:r>
        <w:rPr>
          <w:rFonts w:ascii="ISOCPEUR" w:hAnsi="ISOCPEUR"/>
          <w:sz w:val="22"/>
          <w:szCs w:val="22"/>
        </w:rPr>
        <w:t xml:space="preserve">PROJEKTOWANE URZĄDZENIE: </w:t>
      </w:r>
    </w:p>
    <w:p>
      <w:pPr>
        <w:pStyle w:val="ListParagraph"/>
        <w:numPr>
          <w:ilvl w:val="0"/>
          <w:numId w:val="8"/>
        </w:numPr>
        <w:spacing w:lineRule="auto" w:line="240"/>
        <w:rPr>
          <w:rFonts w:ascii="ISOCPEUR" w:hAnsi="ISOCPEUR"/>
          <w:sz w:val="22"/>
          <w:szCs w:val="22"/>
        </w:rPr>
      </w:pPr>
      <w:r>
        <w:rPr>
          <w:rFonts w:ascii="ISOCPEUR" w:hAnsi="ISOCPEUR"/>
          <w:sz w:val="22"/>
          <w:szCs w:val="22"/>
        </w:rPr>
        <w:t xml:space="preserve">agregat prądotwórczy o </w:t>
      </w:r>
      <w:r>
        <w:rPr>
          <w:rFonts w:eastAsia="" w:cs="" w:ascii="ISOCPEUR" w:hAnsi="ISOCPEUR" w:cstheme="minorBidi" w:eastAsiaTheme="minorEastAsia"/>
          <w:color w:val="auto"/>
          <w:kern w:val="0"/>
          <w:sz w:val="22"/>
          <w:szCs w:val="22"/>
          <w:lang w:val="pl-PL" w:eastAsia="en-US" w:bidi="ar-SA"/>
        </w:rPr>
        <w:t xml:space="preserve">mocy nominalnej </w:t>
      </w:r>
      <w:r>
        <w:rPr>
          <w:rFonts w:eastAsia="" w:cs="" w:ascii="ISOCPEUR" w:hAnsi="ISOCPEUR" w:cstheme="minorBidi" w:eastAsiaTheme="minorEastAsia"/>
          <w:color w:val="auto"/>
          <w:kern w:val="0"/>
          <w:sz w:val="22"/>
          <w:szCs w:val="22"/>
          <w:lang w:val="pl-PL" w:eastAsia="en-US" w:bidi="ar-SA"/>
        </w:rPr>
        <w:t>23kVa/</w:t>
      </w:r>
      <w:r>
        <w:rPr>
          <w:rFonts w:eastAsia="" w:cs="" w:ascii="ISOCPEUR" w:hAnsi="ISOCPEUR" w:cstheme="minorBidi" w:eastAsiaTheme="minorEastAsia"/>
          <w:color w:val="auto"/>
          <w:kern w:val="0"/>
          <w:sz w:val="22"/>
          <w:szCs w:val="22"/>
          <w:lang w:val="pl-PL" w:eastAsia="en-US" w:bidi="ar-SA"/>
        </w:rPr>
        <w:t>1</w:t>
      </w:r>
      <w:r>
        <w:rPr>
          <w:rFonts w:eastAsia="" w:cs="" w:ascii="ISOCPEUR" w:hAnsi="ISOCPEUR" w:cstheme="minorBidi" w:eastAsiaTheme="minorEastAsia"/>
          <w:color w:val="auto"/>
          <w:kern w:val="0"/>
          <w:sz w:val="22"/>
          <w:szCs w:val="22"/>
          <w:lang w:val="pl-PL" w:eastAsia="en-US" w:bidi="ar-SA"/>
        </w:rPr>
        <w:t>8</w:t>
      </w:r>
      <w:r>
        <w:rPr>
          <w:rFonts w:eastAsia="" w:cs="" w:ascii="ISOCPEUR" w:hAnsi="ISOCPEUR" w:cstheme="minorBidi" w:eastAsiaTheme="minorEastAsia"/>
          <w:color w:val="auto"/>
          <w:kern w:val="0"/>
          <w:sz w:val="22"/>
          <w:szCs w:val="22"/>
          <w:lang w:val="pl-PL" w:eastAsia="en-US" w:bidi="ar-SA"/>
        </w:rPr>
        <w:t>kW</w:t>
      </w:r>
      <w:r>
        <w:rPr>
          <w:rFonts w:ascii="ISOCPEUR" w:hAnsi="ISOCPEUR"/>
          <w:sz w:val="22"/>
          <w:szCs w:val="22"/>
        </w:rPr>
        <w:t>, w wykonaniu zewnętrznym</w:t>
      </w:r>
    </w:p>
    <w:p>
      <w:pPr>
        <w:pStyle w:val="ListParagraph"/>
        <w:numPr>
          <w:ilvl w:val="0"/>
          <w:numId w:val="8"/>
        </w:numPr>
        <w:spacing w:lineRule="auto" w:line="240"/>
        <w:rPr>
          <w:rFonts w:ascii="ISOCPEUR" w:hAnsi="ISOCPEUR" w:eastAsia="" w:cs="" w:cstheme="minorBidi" w:eastAsiaTheme="minorEastAsia"/>
          <w:color w:val="auto"/>
          <w:kern w:val="0"/>
          <w:sz w:val="22"/>
          <w:szCs w:val="22"/>
          <w:lang w:val="pl-PL" w:eastAsia="en-US" w:bidi="ar-SA"/>
        </w:rPr>
      </w:pPr>
      <w:r>
        <w:rPr>
          <w:rFonts w:eastAsia="" w:cs="" w:ascii="ISOCPEUR" w:hAnsi="ISOCPEUR" w:cstheme="minorBidi" w:eastAsiaTheme="minorEastAsia"/>
          <w:color w:val="auto"/>
          <w:kern w:val="0"/>
          <w:sz w:val="22"/>
          <w:szCs w:val="22"/>
          <w:lang w:val="pl-PL" w:eastAsia="en-US" w:bidi="ar-SA"/>
        </w:rPr>
        <w:t>napięcie wyjściowe 400/230V</w:t>
      </w:r>
    </w:p>
    <w:p>
      <w:pPr>
        <w:pStyle w:val="ListParagraph"/>
        <w:numPr>
          <w:ilvl w:val="0"/>
          <w:numId w:val="8"/>
        </w:numPr>
        <w:spacing w:lineRule="auto" w:line="240"/>
        <w:rPr>
          <w:rFonts w:ascii="ISOCPEUR" w:hAnsi="ISOCPEUR"/>
          <w:sz w:val="22"/>
          <w:szCs w:val="22"/>
        </w:rPr>
      </w:pPr>
      <w:r>
        <w:rPr>
          <w:rFonts w:eastAsia="" w:cs="" w:ascii="ISOCPEUR" w:hAnsi="ISOCPEUR" w:cstheme="minorBidi" w:eastAsiaTheme="minorEastAsia"/>
          <w:color w:val="auto"/>
          <w:kern w:val="0"/>
          <w:sz w:val="22"/>
          <w:szCs w:val="22"/>
          <w:lang w:val="pl-PL" w:eastAsia="en-US" w:bidi="ar-SA"/>
        </w:rPr>
        <w:t>częstotliwość 50Hz</w:t>
      </w:r>
      <w:r>
        <w:rPr>
          <w:rFonts w:ascii="ISOCPEUR" w:hAnsi="ISOCPEUR"/>
          <w:sz w:val="22"/>
          <w:szCs w:val="22"/>
        </w:rPr>
        <w:t>,</w:t>
      </w:r>
    </w:p>
    <w:p>
      <w:pPr>
        <w:pStyle w:val="ListParagraph"/>
        <w:numPr>
          <w:ilvl w:val="0"/>
          <w:numId w:val="8"/>
        </w:numPr>
        <w:spacing w:lineRule="auto" w:line="240"/>
        <w:rPr>
          <w:rFonts w:ascii="ISOCPEUR" w:hAnsi="ISOCPEUR"/>
          <w:sz w:val="22"/>
          <w:szCs w:val="22"/>
        </w:rPr>
      </w:pPr>
      <w:r>
        <w:rPr>
          <w:rFonts w:eastAsia="" w:cs="" w:ascii="ISOCPEUR" w:hAnsi="ISOCPEUR" w:cstheme="minorBidi" w:eastAsiaTheme="minorEastAsia"/>
          <w:color w:val="auto"/>
          <w:kern w:val="0"/>
          <w:sz w:val="22"/>
          <w:szCs w:val="22"/>
          <w:lang w:val="pl-PL" w:eastAsia="en-US" w:bidi="ar-SA"/>
        </w:rPr>
        <w:t>rodzaj paliwa – diesel,</w:t>
      </w:r>
    </w:p>
    <w:p>
      <w:pPr>
        <w:pStyle w:val="ListParagraph"/>
        <w:numPr>
          <w:ilvl w:val="0"/>
          <w:numId w:val="8"/>
        </w:numPr>
        <w:spacing w:lineRule="auto" w:line="240"/>
        <w:rPr>
          <w:rFonts w:ascii="ISOCPEUR" w:hAnsi="ISOCPEUR"/>
          <w:sz w:val="22"/>
          <w:szCs w:val="22"/>
        </w:rPr>
      </w:pPr>
      <w:r>
        <w:rPr>
          <w:rFonts w:eastAsia="" w:cs="" w:ascii="ISOCPEUR" w:hAnsi="ISOCPEUR" w:cstheme="minorBidi" w:eastAsiaTheme="minorEastAsia"/>
          <w:color w:val="auto"/>
          <w:kern w:val="0"/>
          <w:sz w:val="22"/>
          <w:szCs w:val="22"/>
          <w:lang w:val="pl-PL" w:eastAsia="en-US" w:bidi="ar-SA"/>
        </w:rPr>
        <w:t>obroty silnika 1500 r.m.p</w:t>
      </w:r>
      <w:r>
        <w:rPr>
          <w:rFonts w:ascii="ISOCPEUR" w:hAnsi="ISOCPEUR"/>
          <w:sz w:val="22"/>
          <w:szCs w:val="22"/>
        </w:rPr>
        <w:t>,</w:t>
      </w:r>
    </w:p>
    <w:p>
      <w:pPr>
        <w:pStyle w:val="ListParagraph"/>
        <w:numPr>
          <w:ilvl w:val="0"/>
          <w:numId w:val="8"/>
        </w:numPr>
        <w:spacing w:lineRule="auto" w:line="240"/>
        <w:rPr>
          <w:rFonts w:ascii="ISOCPEUR" w:hAnsi="ISOCPEUR" w:eastAsia="" w:cs="" w:cstheme="minorBidi" w:eastAsiaTheme="minorEastAsia"/>
          <w:color w:val="auto"/>
          <w:kern w:val="0"/>
          <w:sz w:val="22"/>
          <w:szCs w:val="22"/>
          <w:lang w:val="pl-PL" w:eastAsia="en-US" w:bidi="ar-SA"/>
        </w:rPr>
      </w:pPr>
      <w:r>
        <w:rPr>
          <w:rFonts w:eastAsia="" w:cs="" w:ascii="ISOCPEUR" w:hAnsi="ISOCPEUR" w:cstheme="minorBidi" w:eastAsiaTheme="minorEastAsia"/>
          <w:color w:val="auto"/>
          <w:kern w:val="0"/>
          <w:sz w:val="22"/>
          <w:szCs w:val="22"/>
          <w:lang w:val="pl-PL" w:eastAsia="en-US" w:bidi="ar-SA"/>
        </w:rPr>
        <w:t>waga 756kg,</w:t>
      </w:r>
    </w:p>
    <w:p>
      <w:pPr>
        <w:pStyle w:val="ListParagraph"/>
        <w:numPr>
          <w:ilvl w:val="0"/>
          <w:numId w:val="8"/>
        </w:numPr>
        <w:spacing w:lineRule="auto" w:line="240"/>
        <w:rPr>
          <w:rFonts w:ascii="ISOCPEUR" w:hAnsi="ISOCPEUR" w:eastAsia="" w:cs="" w:cstheme="minorBidi" w:eastAsiaTheme="minorEastAsia"/>
          <w:color w:val="auto"/>
          <w:kern w:val="0"/>
          <w:sz w:val="22"/>
          <w:szCs w:val="22"/>
          <w:lang w:val="pl-PL" w:eastAsia="en-US" w:bidi="ar-SA"/>
        </w:rPr>
      </w:pPr>
      <w:r>
        <w:rPr>
          <w:rFonts w:eastAsia="" w:cs="" w:ascii="ISOCPEUR" w:hAnsi="ISOCPEUR" w:cstheme="minorBidi" w:eastAsiaTheme="minorEastAsia"/>
          <w:color w:val="auto"/>
          <w:kern w:val="0"/>
          <w:sz w:val="22"/>
          <w:szCs w:val="22"/>
          <w:lang w:val="pl-PL" w:eastAsia="en-US" w:bidi="ar-SA"/>
        </w:rPr>
        <w:t>zbiornik paliwa 87 litrów,</w:t>
      </w:r>
    </w:p>
    <w:p>
      <w:pPr>
        <w:pStyle w:val="ListParagraph"/>
        <w:numPr>
          <w:ilvl w:val="0"/>
          <w:numId w:val="0"/>
        </w:numPr>
        <w:spacing w:lineRule="auto" w:line="240"/>
        <w:ind w:left="1440" w:hanging="0"/>
        <w:rPr>
          <w:rFonts w:ascii="ISOCPEUR" w:hAnsi="ISOCPEUR"/>
        </w:rPr>
      </w:pPr>
      <w:r>
        <w:rPr>
          <w:rFonts w:ascii="ISOCPEUR" w:hAnsi="ISOCPEUR"/>
        </w:rPr>
      </w:r>
    </w:p>
    <w:p>
      <w:pPr>
        <w:pStyle w:val="Nagwek1"/>
        <w:spacing w:lineRule="auto" w:line="360"/>
        <w:rPr>
          <w:rFonts w:ascii="ISOCPEUR" w:hAnsi="ISOCPEUR"/>
        </w:rPr>
      </w:pPr>
      <w:bookmarkStart w:id="74" w:name="__RefHeading___Toc6654_1471982776"/>
      <w:bookmarkStart w:id="75" w:name="_Toc185095292"/>
      <w:bookmarkStart w:id="76" w:name="_Toc183083965"/>
      <w:bookmarkStart w:id="77" w:name="_Toc170479564"/>
      <w:bookmarkEnd w:id="74"/>
      <w:r>
        <w:rPr>
          <w:rFonts w:ascii="ISOCPEUR" w:hAnsi="ISOCPEUR"/>
        </w:rPr>
        <w:t>technologia wykonania robót</w:t>
      </w:r>
      <w:bookmarkEnd w:id="75"/>
      <w:bookmarkEnd w:id="76"/>
      <w:bookmarkEnd w:id="77"/>
    </w:p>
    <w:p>
      <w:pPr>
        <w:pStyle w:val="Nagwek2"/>
        <w:spacing w:lineRule="auto" w:line="360" w:before="120" w:after="240"/>
        <w:ind w:left="578" w:hanging="578"/>
        <w:rPr>
          <w:rFonts w:ascii="ISOCPEUR" w:hAnsi="ISOCPEUR" w:eastAsia="" w:cs="" w:cstheme="majorBidi" w:eastAsiaTheme="majorEastAsia"/>
          <w:b/>
          <w:b/>
          <w:bCs/>
          <w:smallCaps/>
          <w:color w:val="000000" w:themeColor="text1"/>
          <w:sz w:val="24"/>
          <w:szCs w:val="28"/>
        </w:rPr>
      </w:pPr>
      <w:bookmarkStart w:id="78" w:name="__RefHeading___Toc6656_1471982776"/>
      <w:bookmarkStart w:id="79" w:name="_Toc185095293"/>
      <w:bookmarkStart w:id="80" w:name="_Toc183083966"/>
      <w:bookmarkStart w:id="81" w:name="_Toc170479565"/>
      <w:bookmarkEnd w:id="78"/>
      <w:r>
        <w:rPr>
          <w:rFonts w:eastAsia="" w:cs="" w:ascii="ISOCPEUR" w:hAnsi="ISOCPEUR" w:cstheme="majorBidi" w:eastAsiaTheme="majorEastAsia"/>
          <w:b/>
          <w:bCs/>
          <w:smallCaps/>
          <w:color w:val="000000" w:themeColor="text1"/>
          <w:sz w:val="24"/>
          <w:szCs w:val="28"/>
        </w:rPr>
        <w:t>M</w:t>
      </w:r>
      <w:bookmarkEnd w:id="79"/>
      <w:bookmarkEnd w:id="80"/>
      <w:bookmarkEnd w:id="81"/>
      <w:r>
        <w:rPr>
          <w:rFonts w:eastAsia="" w:cs="" w:ascii="ISOCPEUR" w:hAnsi="ISOCPEUR" w:cstheme="majorBidi" w:eastAsiaTheme="majorEastAsia"/>
          <w:b/>
          <w:bCs/>
          <w:smallCaps/>
          <w:color w:val="000000" w:themeColor="text1"/>
          <w:sz w:val="24"/>
          <w:szCs w:val="28"/>
        </w:rPr>
        <w:t>ontaż rurociągów technologicznych i armatury</w:t>
      </w:r>
    </w:p>
    <w:p>
      <w:pPr>
        <w:pStyle w:val="Normal"/>
        <w:spacing w:lineRule="auto" w:line="360"/>
        <w:rPr>
          <w:rFonts w:ascii="ISOCPEUR" w:hAnsi="ISOCPEUR"/>
        </w:rPr>
      </w:pPr>
      <w:r>
        <w:rPr>
          <w:rFonts w:ascii="ISOCPEUR" w:hAnsi="ISOCPEUR"/>
        </w:rPr>
        <w:t>Wszystkie rurociągi technologiczne, kołnierze i śruby wykonane ze stali kwasoodpornej 1.4301 (X5CrNi 18-10) zgodnie z PN-EN 10088-1. Odcinki montażowe (przyłączenie króćca wody uzdatnionej) wykonać z ze stali kwasoodpornej 1.4301 X5CrNi 18-10 (1.4301) zgodnie z PN-EN 10088-1. Na kolektorach przyłączeniowych do sterylizatora UV, należy zamontować kołnierze luźne w wykonaniu na ciśnienie nominalne PN10 umożliwiające łatwy montaż instalacji przyłączeniowej z obu stron.</w:t>
      </w:r>
    </w:p>
    <w:p>
      <w:pPr>
        <w:pStyle w:val="Normal"/>
        <w:spacing w:lineRule="auto" w:line="240"/>
        <w:rPr>
          <w:rFonts w:ascii="ISOCPEUR" w:hAnsi="ISOCPEUR"/>
        </w:rPr>
      </w:pPr>
      <w:r>
        <w:rPr>
          <w:rFonts w:ascii="ISOCPEUR" w:hAnsi="ISOCPEUR"/>
        </w:rPr>
        <w:t>Specyfikacja projektowanych rurociągów:</w:t>
      </w:r>
    </w:p>
    <w:p>
      <w:pPr>
        <w:pStyle w:val="Normal"/>
        <w:spacing w:lineRule="auto" w:line="240"/>
        <w:rPr>
          <w:rFonts w:ascii="ISOCPEUR" w:hAnsi="ISOCPEUR"/>
        </w:rPr>
      </w:pPr>
      <w:r>
        <w:rPr>
          <w:rFonts w:ascii="ISOCPEUR" w:hAnsi="ISOCPEUR"/>
        </w:rPr>
        <w:t>- nominalne ciśnienie pracy PN16</w:t>
      </w:r>
    </w:p>
    <w:p>
      <w:pPr>
        <w:pStyle w:val="Normal"/>
        <w:spacing w:lineRule="auto" w:line="240"/>
        <w:rPr>
          <w:rFonts w:ascii="ISOCPEUR" w:hAnsi="ISOCPEUR"/>
        </w:rPr>
      </w:pPr>
      <w:r>
        <w:rPr>
          <w:rFonts w:ascii="ISOCPEUR" w:hAnsi="ISOCPEUR"/>
        </w:rPr>
        <w:t>- grubości ścianek: rurociąg DN 25 – DN 200 – 2 mm</w:t>
      </w:r>
    </w:p>
    <w:p>
      <w:pPr>
        <w:pStyle w:val="Normal"/>
        <w:spacing w:lineRule="auto" w:line="360"/>
        <w:rPr>
          <w:rFonts w:ascii="ISOCPEUR" w:hAnsi="ISOCPEUR"/>
        </w:rPr>
      </w:pPr>
      <w:r>
        <w:rPr>
          <w:rFonts w:ascii="ISOCPEUR" w:hAnsi="ISOCPEUR"/>
        </w:rPr>
        <w:t xml:space="preserve">Na rurociągach w wykonaniu ze stali kwasoodpornej 1.4301, wymaga się stosowania kołnierzy łączeniowych w wykonaniu ze stali kwasoodpornej 1.4301. Kołnierze należy osadzać na rurociągach zakończonych wyobleniem jako „luźne" i łączyć za pomocą śrub w wykonaniu ze stali kwasoodpornej 1.4301 wg PE-EN 10088-1. Takie rozwiązanie zapewni odpowiednią łatwość montażu i demontażu oraz ograniczy powstawanie naprężeń przenoszonych na instalację. </w:t>
      </w:r>
    </w:p>
    <w:p>
      <w:pPr>
        <w:pStyle w:val="Normal"/>
        <w:spacing w:lineRule="auto" w:line="360"/>
        <w:rPr>
          <w:rFonts w:ascii="ISOCPEUR" w:hAnsi="ISOCPEUR"/>
        </w:rPr>
      </w:pPr>
      <w:r>
        <w:rPr>
          <w:rFonts w:ascii="ISOCPEUR" w:hAnsi="ISOCPEUR"/>
        </w:rPr>
        <w:tab/>
        <w:t xml:space="preserve">Wykonawca prac spawalniczych zobowiązany jest do posiadania i dostarczenia następujących dokumentów: </w:t>
      </w:r>
    </w:p>
    <w:p>
      <w:pPr>
        <w:pStyle w:val="Normal"/>
        <w:spacing w:lineRule="auto" w:line="240"/>
        <w:rPr>
          <w:rFonts w:ascii="ISOCPEUR" w:hAnsi="ISOCPEUR"/>
        </w:rPr>
      </w:pPr>
      <w:r>
        <w:rPr>
          <w:rFonts w:ascii="ISOCPEUR" w:hAnsi="ISOCPEUR"/>
        </w:rPr>
        <w:t xml:space="preserve">• </w:t>
      </w:r>
      <w:r>
        <w:rPr>
          <w:rFonts w:ascii="ISOCPEUR" w:hAnsi="ISOCPEUR"/>
        </w:rPr>
        <w:t>kopia certyfikatu EN-ISO 3834-2 wystawionego przez jednostkę akredytowaną i notyfikowaną;</w:t>
      </w:r>
    </w:p>
    <w:p>
      <w:pPr>
        <w:pStyle w:val="Normal"/>
        <w:spacing w:lineRule="auto" w:line="240"/>
        <w:rPr>
          <w:rFonts w:ascii="ISOCPEUR" w:hAnsi="ISOCPEUR"/>
        </w:rPr>
      </w:pPr>
      <w:r>
        <w:rPr>
          <w:rFonts w:ascii="ISOCPEUR" w:hAnsi="ISOCPEUR"/>
        </w:rPr>
        <w:t xml:space="preserve">• </w:t>
      </w:r>
      <w:r>
        <w:rPr>
          <w:rFonts w:ascii="ISOCPEUR" w:hAnsi="ISOCPEUR"/>
        </w:rPr>
        <w:t>atesty hutnicze 3.1 oraz deklaracje zgodności na materiały podstawowe i dodatkowe;</w:t>
      </w:r>
    </w:p>
    <w:p>
      <w:pPr>
        <w:pStyle w:val="Normal"/>
        <w:spacing w:lineRule="auto" w:line="240"/>
        <w:rPr>
          <w:rFonts w:ascii="ISOCPEUR" w:hAnsi="ISOCPEUR"/>
        </w:rPr>
      </w:pPr>
      <w:r>
        <w:rPr>
          <w:rFonts w:ascii="ISOCPEUR" w:hAnsi="ISOCPEUR"/>
        </w:rPr>
        <w:t xml:space="preserve">• </w:t>
      </w:r>
      <w:r>
        <w:rPr>
          <w:rFonts w:ascii="ISOCPEUR" w:hAnsi="ISOCPEUR"/>
        </w:rPr>
        <w:t xml:space="preserve">protokół/protokoły z badań wizualnych (VT); </w:t>
      </w:r>
    </w:p>
    <w:p>
      <w:pPr>
        <w:pStyle w:val="Normal"/>
        <w:spacing w:lineRule="auto" w:line="240"/>
        <w:rPr>
          <w:rFonts w:ascii="ISOCPEUR" w:hAnsi="ISOCPEUR"/>
        </w:rPr>
      </w:pPr>
      <w:r>
        <w:rPr>
          <w:rFonts w:ascii="ISOCPEUR" w:hAnsi="ISOCPEUR"/>
        </w:rPr>
        <w:t xml:space="preserve">• </w:t>
      </w:r>
      <w:r>
        <w:rPr>
          <w:rFonts w:ascii="ISOCPEUR" w:hAnsi="ISOCPEUR"/>
        </w:rPr>
        <w:t xml:space="preserve">instrukcje technologiczne spawania (WPS); </w:t>
      </w:r>
    </w:p>
    <w:p>
      <w:pPr>
        <w:pStyle w:val="Normal"/>
        <w:spacing w:lineRule="auto" w:line="240"/>
        <w:rPr>
          <w:rFonts w:ascii="ISOCPEUR" w:hAnsi="ISOCPEUR"/>
        </w:rPr>
      </w:pPr>
      <w:r>
        <w:rPr>
          <w:rFonts w:ascii="ISOCPEUR" w:hAnsi="ISOCPEUR"/>
        </w:rPr>
        <w:t xml:space="preserve">• </w:t>
      </w:r>
      <w:r>
        <w:rPr>
          <w:rFonts w:ascii="ISOCPEUR" w:hAnsi="ISOCPEUR"/>
        </w:rPr>
        <w:t xml:space="preserve">dzienniki spawania; </w:t>
      </w:r>
    </w:p>
    <w:p>
      <w:pPr>
        <w:pStyle w:val="Normal"/>
        <w:spacing w:lineRule="auto" w:line="240"/>
        <w:rPr>
          <w:rFonts w:ascii="ISOCPEUR" w:hAnsi="ISOCPEUR"/>
        </w:rPr>
      </w:pPr>
      <w:r>
        <w:rPr>
          <w:rFonts w:ascii="ISOCPEUR" w:hAnsi="ISOCPEUR"/>
        </w:rPr>
        <w:t xml:space="preserve">• </w:t>
      </w:r>
      <w:r>
        <w:rPr>
          <w:rFonts w:ascii="ISOCPEUR" w:hAnsi="ISOCPEUR"/>
        </w:rPr>
        <w:t xml:space="preserve">lista spawaczy wraz z kopią uprawnień; </w:t>
      </w:r>
    </w:p>
    <w:p>
      <w:pPr>
        <w:pStyle w:val="Normal"/>
        <w:spacing w:lineRule="auto" w:line="240"/>
        <w:rPr>
          <w:rFonts w:ascii="ISOCPEUR" w:hAnsi="ISOCPEUR"/>
        </w:rPr>
      </w:pPr>
      <w:r>
        <w:rPr>
          <w:rFonts w:ascii="ISOCPEUR" w:hAnsi="ISOCPEUR"/>
        </w:rPr>
        <w:t xml:space="preserve">• </w:t>
      </w:r>
      <w:r>
        <w:rPr>
          <w:rFonts w:ascii="ISOCPEUR" w:hAnsi="ISOCPEUR"/>
        </w:rPr>
        <w:t xml:space="preserve">lista personelu nadzoru spawalniczego wraz z kopią uprawnień; </w:t>
      </w:r>
    </w:p>
    <w:p>
      <w:pPr>
        <w:pStyle w:val="Normal"/>
        <w:spacing w:lineRule="auto" w:line="240"/>
        <w:rPr>
          <w:rFonts w:ascii="ISOCPEUR" w:hAnsi="ISOCPEUR"/>
        </w:rPr>
      </w:pPr>
      <w:r>
        <w:rPr>
          <w:rFonts w:ascii="ISOCPEUR" w:hAnsi="ISOCPEUR"/>
        </w:rPr>
        <w:t xml:space="preserve">• </w:t>
      </w:r>
      <w:r>
        <w:rPr>
          <w:rFonts w:ascii="ISOCPEUR" w:hAnsi="ISOCPEUR"/>
        </w:rPr>
        <w:t xml:space="preserve">protokół z kontroli wymiarowej konstrukcji spawanych; </w:t>
      </w:r>
    </w:p>
    <w:p>
      <w:pPr>
        <w:pStyle w:val="Normal"/>
        <w:spacing w:lineRule="auto" w:line="360"/>
        <w:rPr>
          <w:rFonts w:ascii="ISOCPEUR" w:hAnsi="ISOCPEUR"/>
        </w:rPr>
      </w:pPr>
      <w:r>
        <w:rPr>
          <w:rFonts w:ascii="ISOCPEUR" w:hAnsi="ISOCPEUR"/>
        </w:rPr>
      </w:r>
    </w:p>
    <w:p>
      <w:pPr>
        <w:pStyle w:val="Nagwek2"/>
        <w:spacing w:lineRule="auto" w:line="360" w:before="120" w:after="240"/>
        <w:ind w:left="578" w:hanging="578"/>
        <w:rPr>
          <w:rFonts w:ascii="ISOCPEUR" w:hAnsi="ISOCPEUR" w:eastAsia="" w:cs="" w:cstheme="majorBidi" w:eastAsiaTheme="majorEastAsia"/>
          <w:b/>
          <w:b/>
          <w:bCs/>
          <w:smallCaps/>
          <w:color w:val="000000" w:themeColor="text1"/>
          <w:sz w:val="24"/>
          <w:szCs w:val="28"/>
        </w:rPr>
      </w:pPr>
      <w:bookmarkStart w:id="82" w:name="__RefHeading___Toc6656_14719827761"/>
      <w:bookmarkStart w:id="83" w:name="_Toc1850952931"/>
      <w:bookmarkStart w:id="84" w:name="_Toc1830839661"/>
      <w:bookmarkStart w:id="85" w:name="_Toc1704795651"/>
      <w:bookmarkEnd w:id="82"/>
      <w:r>
        <w:rPr>
          <w:rFonts w:eastAsia="" w:cs="" w:ascii="ISOCPEUR" w:hAnsi="ISOCPEUR" w:cstheme="majorBidi" w:eastAsiaTheme="majorEastAsia"/>
          <w:b/>
          <w:bCs/>
          <w:smallCaps/>
          <w:color w:val="000000" w:themeColor="text1"/>
          <w:sz w:val="24"/>
          <w:szCs w:val="28"/>
        </w:rPr>
        <w:t>P</w:t>
      </w:r>
      <w:bookmarkEnd w:id="83"/>
      <w:bookmarkEnd w:id="84"/>
      <w:bookmarkEnd w:id="85"/>
      <w:r>
        <w:rPr>
          <w:rFonts w:eastAsia="" w:cs="" w:ascii="ISOCPEUR" w:hAnsi="ISOCPEUR" w:cstheme="majorBidi" w:eastAsiaTheme="majorEastAsia"/>
          <w:b/>
          <w:bCs/>
          <w:smallCaps/>
          <w:color w:val="000000" w:themeColor="text1"/>
          <w:sz w:val="24"/>
          <w:szCs w:val="28"/>
        </w:rPr>
        <w:t>róby i dezynfekcja</w:t>
      </w:r>
    </w:p>
    <w:p>
      <w:pPr>
        <w:pStyle w:val="Normal"/>
        <w:spacing w:lineRule="auto" w:line="360"/>
        <w:rPr>
          <w:rFonts w:ascii="ISOCPEUR" w:hAnsi="ISOCPEUR"/>
        </w:rPr>
      </w:pPr>
      <w:r>
        <w:rPr>
          <w:rFonts w:ascii="ISOCPEUR" w:hAnsi="ISOCPEUR"/>
        </w:rPr>
        <w:t xml:space="preserve">Po wykonaniu instalacji wodociągowych należy je przepłukać wodą z wodociągu, przy szybkości przepływu dostatecznej dla wypłukania wszystkich zanieczyszczeń mechanicznych. Po przepłukaniu przyłącza należy poddać próbie ciśnieniowej na ciśnienie 1,0MPa. Po przepłukaniu należy przeprowadzić dezynfekcję podchlorynem sodu. Po przeprowadzeniu dezynfekcji przyłącza należy powtórnie przepłukać wodą z wodociągu i pobrać próby do badań laboratoryjnych – analiza bakteriologiczna. </w:t>
      </w:r>
      <w:bookmarkStart w:id="86" w:name="_Hlk80191199"/>
    </w:p>
    <w:p>
      <w:pPr>
        <w:pStyle w:val="Nagwek1"/>
        <w:shd w:val="clear" w:color="auto" w:fill="auto"/>
        <w:spacing w:lineRule="auto" w:line="360"/>
        <w:rPr>
          <w:rFonts w:ascii="ISOCPEUR" w:hAnsi="ISOCPEUR"/>
        </w:rPr>
      </w:pPr>
      <w:bookmarkStart w:id="87" w:name="__RefHeading___Toc6664_1471982776"/>
      <w:bookmarkStart w:id="88" w:name="_Toc185095297"/>
      <w:bookmarkEnd w:id="87"/>
      <w:r>
        <w:rPr>
          <w:rFonts w:ascii="ISOCPEUR" w:hAnsi="ISOCPEUR"/>
        </w:rPr>
        <w:t>Informacja dotycząca Bezpieczeństwa i Ochrony Zdrowia</w:t>
      </w:r>
      <w:bookmarkEnd w:id="88"/>
    </w:p>
    <w:p>
      <w:pPr>
        <w:pStyle w:val="Nagwek2"/>
        <w:spacing w:lineRule="auto" w:line="360"/>
        <w:rPr>
          <w:rFonts w:ascii="ISOCPEUR" w:hAnsi="ISOCPEUR"/>
        </w:rPr>
      </w:pPr>
      <w:bookmarkStart w:id="89" w:name="__RefHeading___Toc6666_1471982776"/>
      <w:bookmarkStart w:id="90" w:name="_Toc185095298"/>
      <w:bookmarkEnd w:id="89"/>
      <w:r>
        <w:rPr>
          <w:rFonts w:ascii="ISOCPEUR" w:hAnsi="ISOCPEUR"/>
        </w:rPr>
        <w:t>Elementy zagospodarowania terenu mogące powodować zagrożenie podczas prowadzenia robót</w:t>
      </w:r>
      <w:bookmarkEnd w:id="90"/>
    </w:p>
    <w:p>
      <w:pPr>
        <w:pStyle w:val="Normal"/>
        <w:spacing w:lineRule="auto" w:line="360"/>
        <w:rPr>
          <w:rFonts w:ascii="ISOCPEUR" w:hAnsi="ISOCPEUR"/>
        </w:rPr>
      </w:pPr>
      <w:r>
        <w:rPr>
          <w:rFonts w:ascii="ISOCPEUR" w:hAnsi="ISOCPEUR"/>
        </w:rPr>
        <w:t xml:space="preserve">Projektowane - nie zaprojektowano elementów zagospodarowania terenu, które mogłyby stanowić zagrożenie podczas powadzenia robót. </w:t>
      </w:r>
    </w:p>
    <w:p>
      <w:pPr>
        <w:pStyle w:val="Nagwek2"/>
        <w:spacing w:lineRule="auto" w:line="360"/>
        <w:rPr>
          <w:rFonts w:ascii="ISOCPEUR" w:hAnsi="ISOCPEUR"/>
        </w:rPr>
      </w:pPr>
      <w:bookmarkStart w:id="91" w:name="__RefHeading___Toc6668_1471982776"/>
      <w:bookmarkStart w:id="92" w:name="_Toc185095299"/>
      <w:bookmarkEnd w:id="91"/>
      <w:r>
        <w:rPr>
          <w:rFonts w:ascii="ISOCPEUR" w:hAnsi="ISOCPEUR"/>
        </w:rPr>
        <w:t>informacje dotyczące przewidzianych zagrożeń występujących podczas realizacji robót budowlanych</w:t>
      </w:r>
      <w:bookmarkEnd w:id="92"/>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upadek z wysokości – możliwość wystąpienia w trakcie robót na wysokości i z rusztowania.</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mechaniczne uszkodzenia ciała – skala zagrożenia zależna od fachowości, doświadczenia i poziomu technicznego pracowników: stłuczenia, okaleczenia</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porażenie prądem – możliwość wystąpienia przy obsłudze sprzętu i urządzeń budowlanych.</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naświetlenie oczu – przy pracach spawalniczych </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uszkodzenia ciała spadającymi z wysokości przedmiotami</w:t>
      </w:r>
    </w:p>
    <w:p>
      <w:pPr>
        <w:pStyle w:val="Nagwek2"/>
        <w:spacing w:lineRule="auto" w:line="360"/>
        <w:rPr>
          <w:rFonts w:ascii="ISOCPEUR" w:hAnsi="ISOCPEUR"/>
        </w:rPr>
      </w:pPr>
      <w:bookmarkStart w:id="93" w:name="__RefHeading___Toc6670_1471982776"/>
      <w:bookmarkStart w:id="94" w:name="_Toc185095300"/>
      <w:bookmarkEnd w:id="93"/>
      <w:r>
        <w:rPr>
          <w:rFonts w:ascii="ISOCPEUR" w:hAnsi="ISOCPEUR"/>
        </w:rPr>
        <w:t>Sposób prowadzenia instruktażu</w:t>
      </w:r>
      <w:bookmarkEnd w:id="94"/>
    </w:p>
    <w:p>
      <w:pPr>
        <w:pStyle w:val="Normal"/>
        <w:spacing w:lineRule="auto" w:line="360"/>
        <w:rPr>
          <w:rFonts w:ascii="ISOCPEUR" w:hAnsi="ISOCPEUR"/>
        </w:rPr>
      </w:pPr>
      <w:r>
        <w:rPr>
          <w:rFonts w:ascii="ISOCPEUR" w:hAnsi="ISOCPEUR"/>
        </w:rPr>
        <w:t>Brak robót niebezpiecznych. Wszystkie prace wymagają jedynie właściwej, podstawowej znajomości przepisów BHP i przeszkolenia określonego przepisami odrębnymi, dlatego należy precyzyjnie:</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opracować i uzgodnić technologię wszystkich istotnych robót</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określić wszystkie możliwe przyczyny i zakres zagrożenia</w:t>
      </w:r>
    </w:p>
    <w:p>
      <w:pPr>
        <w:pStyle w:val="Normal"/>
        <w:spacing w:lineRule="auto" w:line="360"/>
        <w:rPr>
          <w:rFonts w:ascii="ISOCPEUR" w:hAnsi="ISOCPEUR"/>
        </w:rPr>
      </w:pPr>
      <w:r>
        <w:rPr>
          <w:rFonts w:ascii="ISOCPEUR" w:hAnsi="ISOCPEUR"/>
        </w:rPr>
        <w:t>Każdy pracownik kierowany do robót szczególnie niebezpiecznych winien przejść, oprócz obowiązkowych szkoleń BHP, odpowiedni instruktaż poprzedzający przystąpienie do robót niebezpiecznych o danym profilu zagrożeń. Instruktaż związany z robotami szczególnie niebezpiecznymi powinien zapewnić wiadomości i praktyczne umiejętności z zakresu bezpiecznego wykonywania powierzonej pracy.</w:t>
      </w:r>
    </w:p>
    <w:p>
      <w:pPr>
        <w:pStyle w:val="Nagwek2"/>
        <w:spacing w:lineRule="auto" w:line="360"/>
        <w:rPr>
          <w:rFonts w:ascii="ISOCPEUR" w:hAnsi="ISOCPEUR"/>
        </w:rPr>
      </w:pPr>
      <w:bookmarkStart w:id="95" w:name="__RefHeading___Toc6672_1471982776"/>
      <w:bookmarkStart w:id="96" w:name="_Toc185095301"/>
      <w:bookmarkEnd w:id="95"/>
      <w:r>
        <w:rPr>
          <w:rFonts w:ascii="ISOCPEUR" w:hAnsi="ISOCPEUR"/>
        </w:rPr>
        <w:t>Środki techniczne i organizacyjne zapobiegające niebezpieczeństwom wynikającym z wykonania robót budowlanych</w:t>
      </w:r>
      <w:bookmarkEnd w:id="96"/>
    </w:p>
    <w:p>
      <w:pPr>
        <w:pStyle w:val="Tytu"/>
        <w:numPr>
          <w:ilvl w:val="0"/>
          <w:numId w:val="2"/>
        </w:numPr>
        <w:spacing w:lineRule="auto" w:line="360"/>
        <w:ind w:left="567" w:hanging="360"/>
        <w:rPr>
          <w:rFonts w:ascii="ISOCPEUR" w:hAnsi="ISOCPEUR"/>
        </w:rPr>
      </w:pPr>
      <w:r>
        <w:rPr>
          <w:rFonts w:ascii="ISOCPEUR" w:hAnsi="ISOCPEUR"/>
        </w:rPr>
        <w:t>stosować przepisy BHP dla budownictwa i poszczególnych rodzajów robót.</w:t>
      </w:r>
    </w:p>
    <w:p>
      <w:pPr>
        <w:pStyle w:val="Tytu"/>
        <w:numPr>
          <w:ilvl w:val="0"/>
          <w:numId w:val="2"/>
        </w:numPr>
        <w:spacing w:lineRule="auto" w:line="360"/>
        <w:ind w:left="567" w:hanging="360"/>
        <w:rPr>
          <w:rFonts w:ascii="ISOCPEUR" w:hAnsi="ISOCPEUR"/>
        </w:rPr>
      </w:pPr>
      <w:r>
        <w:rPr>
          <w:rFonts w:ascii="ISOCPEUR" w:hAnsi="ISOCPEUR"/>
        </w:rPr>
        <w:t>wykonać bariery ochronne – wydzielenie strefy robót oraz wszystkich różnic poziomów powyżej 0,5m.</w:t>
      </w:r>
    </w:p>
    <w:p>
      <w:pPr>
        <w:pStyle w:val="Tytu"/>
        <w:numPr>
          <w:ilvl w:val="0"/>
          <w:numId w:val="2"/>
        </w:numPr>
        <w:spacing w:lineRule="auto" w:line="360"/>
        <w:ind w:left="567" w:hanging="360"/>
        <w:rPr>
          <w:rFonts w:ascii="ISOCPEUR" w:hAnsi="ISOCPEUR"/>
        </w:rPr>
      </w:pPr>
      <w:r>
        <w:rPr>
          <w:rFonts w:ascii="ISOCPEUR" w:hAnsi="ISOCPEUR"/>
        </w:rPr>
        <w:t>bezwzględnie wydzielić wszystkie stanowiska pracy sprzętu zmechanizowanego z zachowaniem odpowiedniej strefy bezpieczeństwa.</w:t>
      </w:r>
    </w:p>
    <w:p>
      <w:pPr>
        <w:pStyle w:val="Tytu"/>
        <w:numPr>
          <w:ilvl w:val="0"/>
          <w:numId w:val="2"/>
        </w:numPr>
        <w:spacing w:lineRule="auto" w:line="360"/>
        <w:ind w:left="567" w:hanging="360"/>
        <w:rPr>
          <w:rFonts w:ascii="ISOCPEUR" w:hAnsi="ISOCPEUR"/>
        </w:rPr>
      </w:pPr>
      <w:r>
        <w:rPr>
          <w:rFonts w:ascii="ISOCPEUR" w:hAnsi="ISOCPEUR"/>
        </w:rPr>
        <w:t>bezwzględnie wydzielić teren robót w sposób uniemożliwiający dostęp osób postronnych.</w:t>
      </w:r>
    </w:p>
    <w:p>
      <w:pPr>
        <w:pStyle w:val="Tytu"/>
        <w:numPr>
          <w:ilvl w:val="0"/>
          <w:numId w:val="2"/>
        </w:numPr>
        <w:spacing w:lineRule="auto" w:line="360"/>
        <w:ind w:left="567" w:hanging="360"/>
        <w:rPr>
          <w:rFonts w:ascii="ISOCPEUR" w:hAnsi="ISOCPEUR"/>
        </w:rPr>
      </w:pPr>
      <w:r>
        <w:rPr>
          <w:rFonts w:ascii="ISOCPEUR" w:hAnsi="ISOCPEUR"/>
        </w:rPr>
        <w:t>stosować wyłącznie sprzęt sprawny i atestowany.</w:t>
      </w:r>
    </w:p>
    <w:p>
      <w:pPr>
        <w:pStyle w:val="Tytu"/>
        <w:numPr>
          <w:ilvl w:val="0"/>
          <w:numId w:val="2"/>
        </w:numPr>
        <w:spacing w:lineRule="auto" w:line="360"/>
        <w:ind w:left="567" w:hanging="360"/>
        <w:rPr>
          <w:rFonts w:ascii="ISOCPEUR" w:hAnsi="ISOCPEUR"/>
        </w:rPr>
      </w:pPr>
      <w:r>
        <w:rPr>
          <w:rFonts w:ascii="ISOCPEUR" w:hAnsi="ISOCPEUR"/>
        </w:rPr>
        <w:t>opracować plan organizacji robót i placu budowy; dojazdy, składowiska bezwzględnie używać sprzęt ochronny, właściwy dla danego rodzaju prac.</w:t>
      </w:r>
    </w:p>
    <w:p>
      <w:pPr>
        <w:pStyle w:val="Tytu"/>
        <w:numPr>
          <w:ilvl w:val="0"/>
          <w:numId w:val="2"/>
        </w:numPr>
        <w:spacing w:lineRule="auto" w:line="360"/>
        <w:ind w:left="567" w:hanging="360"/>
        <w:rPr>
          <w:rFonts w:ascii="ISOCPEUR" w:hAnsi="ISOCPEUR"/>
        </w:rPr>
      </w:pPr>
      <w:r>
        <w:rPr>
          <w:rFonts w:ascii="ISOCPEUR" w:hAnsi="ISOCPEUR"/>
        </w:rPr>
        <w:t>podczas prac zachować wymogi PPOŻ.</w:t>
      </w:r>
    </w:p>
    <w:p>
      <w:pPr>
        <w:pStyle w:val="Nagwek1"/>
        <w:spacing w:lineRule="auto" w:line="360"/>
        <w:rPr>
          <w:rFonts w:ascii="ISOCPEUR" w:hAnsi="ISOCPEUR"/>
        </w:rPr>
      </w:pPr>
      <w:bookmarkStart w:id="97" w:name="__RefHeading___Toc6674_1471982776"/>
      <w:bookmarkStart w:id="98" w:name="_Toc185095302"/>
      <w:bookmarkStart w:id="99" w:name="_Toc90976289"/>
      <w:bookmarkStart w:id="100" w:name="_Toc79231813"/>
      <w:bookmarkEnd w:id="86"/>
      <w:bookmarkEnd w:id="97"/>
      <w:r>
        <w:rPr>
          <w:rFonts w:ascii="ISOCPEUR" w:hAnsi="ISOCPEUR"/>
        </w:rPr>
        <w:t>UWAGI KOŃCOWE</w:t>
      </w:r>
      <w:bookmarkEnd w:id="98"/>
      <w:bookmarkEnd w:id="99"/>
      <w:bookmarkEnd w:id="100"/>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w projekcie zastosowano wyłącznie materiały budowlane posiadające aktualne krajowe lub europejskie aprobaty techniczne i świadectwa dopuszczenia, zgodnie z rozporządzeniem Ministra Spraw Wewnętrznych i Administracji z dnia 20 czerwca 2007 r. w sprawie wykazu wyrobów służących zapewnieniu bezpieczeństwa publicznego lub ochronie zdrowia i życia oraz mienia, a także zasad wydawania dopuszczenia tych wyrobów do użytkowania (Dz. U. Nr 143, poz. 1002, z późniejszymi zmianami) oraz z rozporządzeniem Ministra Infrastruktury i Budownictwa z dnia 17 listopada 2016 r. w sprawie sposobów deklarowania właściwości użytkowych  wyrobów budowlanych oraz sposobu znakowania ich znakiem budowlanym (Dz. U. 2016, poz. 196 z późniejszymi zmianami).</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wszystkie materiały użyte do wykonania robót instalacyjnych muszą posiadać aktualne atesty i świadectwa dopuszczające do użycia w budownictwie.</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zastosowane rozwiązania systemowe powinny być wykonane zgodnie z instrukcją producenta, przez firmy posiadające licencje producenta, które ponadto są przez producenta przeszkolone.</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wszystkie prace należy prowadzić zgodnie ze sztuką budowlaną w oparciu o warunki techniczne wykonania i odbioru robót budowlanych, oraz zgodnie z obowiązującymi przepisami BHP. </w:t>
      </w:r>
    </w:p>
    <w:p>
      <w:pPr>
        <w:pStyle w:val="Tytu"/>
        <w:numPr>
          <w:ilvl w:val="0"/>
          <w:numId w:val="2"/>
        </w:numPr>
        <w:tabs>
          <w:tab w:val="clear" w:pos="708"/>
          <w:tab w:val="left" w:pos="567" w:leader="none"/>
        </w:tabs>
        <w:spacing w:lineRule="auto" w:line="360"/>
        <w:ind w:left="567" w:hanging="283"/>
        <w:rPr>
          <w:rFonts w:ascii="ISOCPEUR" w:hAnsi="ISOCPEUR"/>
        </w:rPr>
      </w:pPr>
      <w:r>
        <w:rPr>
          <w:rFonts w:ascii="ISOCPEUR" w:hAnsi="ISOCPEUR"/>
        </w:rPr>
        <w:t>przy pracach montażowych należy dokonywać pomiarów wykonawczych bezpośrednio na budowie.</w:t>
      </w:r>
    </w:p>
    <w:p>
      <w:pPr>
        <w:pStyle w:val="Normal"/>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wszystkie materiały i wyroby stosowane w procesach uzdatniania i dystrybucji wody muszą posiadać odpowiednie atesty i aprobaty techniczne oraz muszą uzyskać pozytywną ocenę higieniczna Państwowego Powiatowego Inspektora Sanitarnego przed ich wbudowaniem. </w:t>
      </w:r>
    </w:p>
    <w:p>
      <w:pPr>
        <w:pStyle w:val="Normal"/>
        <w:numPr>
          <w:ilvl w:val="0"/>
          <w:numId w:val="2"/>
        </w:numPr>
        <w:tabs>
          <w:tab w:val="clear" w:pos="708"/>
          <w:tab w:val="left" w:pos="567" w:leader="none"/>
        </w:tabs>
        <w:spacing w:lineRule="auto" w:line="360"/>
        <w:ind w:left="567" w:hanging="283"/>
        <w:rPr>
          <w:rFonts w:ascii="ISOCPEUR" w:hAnsi="ISOCPEUR"/>
        </w:rPr>
      </w:pPr>
      <w:r>
        <w:rPr>
          <w:rFonts w:ascii="ISOCPEUR" w:hAnsi="ISOCPEUR"/>
        </w:rPr>
        <w:t xml:space="preserve">wszystkie punkty poboru próbek wody (studnie, woda surowa wprowadzana do SUW, woda wprowadzana do sieci) powinny mieć zamontowane krany metalowe, nierozbryzgowe, odporne na sterylizację płomieniem. </w:t>
      </w:r>
    </w:p>
    <w:p>
      <w:pPr>
        <w:pStyle w:val="Normal"/>
        <w:numPr>
          <w:ilvl w:val="0"/>
          <w:numId w:val="2"/>
        </w:numPr>
        <w:tabs>
          <w:tab w:val="clear" w:pos="708"/>
          <w:tab w:val="left" w:pos="567" w:leader="none"/>
        </w:tabs>
        <w:spacing w:lineRule="auto" w:line="360"/>
        <w:ind w:left="567" w:hanging="283"/>
        <w:rPr>
          <w:rFonts w:ascii="ISOCPEUR" w:hAnsi="ISOCPEUR"/>
        </w:rPr>
      </w:pPr>
      <w:r>
        <w:rPr>
          <w:rFonts w:ascii="ISOCPEUR" w:hAnsi="ISOCPEUR"/>
        </w:rPr>
        <w:t>zakres robót przewidzianych do wykonania nie spowoduje zmiany parametrów istotnych ze względu na aktualnie obowiązujące pozwolenie wodnoprawne - ilość ujmowanej wody.</w:t>
      </w:r>
    </w:p>
    <w:p>
      <w:pPr>
        <w:pStyle w:val="Normal"/>
        <w:spacing w:lineRule="auto" w:line="360"/>
        <w:rPr>
          <w:rFonts w:ascii="ISOCPEUR" w:hAnsi="ISOCPEUR"/>
        </w:rPr>
      </w:pPr>
      <w:r>
        <w:rPr>
          <w:rFonts w:ascii="ISOCPEUR" w:hAnsi="ISOCPEUR"/>
        </w:rPr>
      </w:r>
    </w:p>
    <w:p>
      <w:pPr>
        <w:pStyle w:val="Nagwek1"/>
        <w:spacing w:lineRule="auto" w:line="360"/>
        <w:rPr>
          <w:rFonts w:ascii="ISOCPEUR" w:hAnsi="ISOCPEUR"/>
        </w:rPr>
      </w:pPr>
      <w:bookmarkStart w:id="101" w:name="__RefHeading___Toc6676_1471982776"/>
      <w:bookmarkStart w:id="102" w:name="_Toc185095303"/>
      <w:bookmarkStart w:id="103" w:name="_Toc90976290"/>
      <w:bookmarkStart w:id="104" w:name="_Toc79231814"/>
      <w:bookmarkEnd w:id="101"/>
      <w:r>
        <w:rPr>
          <w:rFonts w:ascii="ISOCPEUR" w:hAnsi="ISOCPEUR"/>
        </w:rPr>
        <w:t>CZĘŚĆ RYSUNKOWA</w:t>
      </w:r>
      <w:bookmarkEnd w:id="102"/>
      <w:bookmarkEnd w:id="103"/>
      <w:bookmarkEnd w:id="104"/>
    </w:p>
    <w:tbl>
      <w:tblPr>
        <w:tblStyle w:val="Tabela-Siatka"/>
        <w:tblW w:w="8789"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4961"/>
        <w:gridCol w:w="2267"/>
        <w:gridCol w:w="1561"/>
      </w:tblGrid>
      <w:tr>
        <w:trPr/>
        <w:tc>
          <w:tcPr>
            <w:tcW w:w="4961" w:type="dxa"/>
            <w:tcBorders/>
            <w:shd w:color="auto" w:fill="BFBFBF" w:themeFill="background1" w:themeFillShade="bf" w:val="clear"/>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Nazwa rysunku</w:t>
            </w:r>
          </w:p>
        </w:tc>
        <w:tc>
          <w:tcPr>
            <w:tcW w:w="2267" w:type="dxa"/>
            <w:tcBorders/>
            <w:shd w:color="auto" w:fill="BFBFBF" w:themeFill="background1" w:themeFillShade="bf" w:val="clear"/>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Skala</w:t>
            </w:r>
          </w:p>
        </w:tc>
        <w:tc>
          <w:tcPr>
            <w:tcW w:w="1561" w:type="dxa"/>
            <w:tcBorders/>
            <w:shd w:color="auto" w:fill="BFBFBF" w:themeFill="background1" w:themeFillShade="bf" w:val="clear"/>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Nr rys.</w:t>
            </w:r>
          </w:p>
        </w:tc>
      </w:tr>
      <w:tr>
        <w:trPr/>
        <w:tc>
          <w:tcPr>
            <w:tcW w:w="4961" w:type="dxa"/>
            <w:tcBorders/>
            <w:vAlign w:val="center"/>
          </w:tcPr>
          <w:p>
            <w:pPr>
              <w:pStyle w:val="ListParagraph"/>
              <w:widowControl w:val="false"/>
              <w:suppressAutoHyphens w:val="true"/>
              <w:spacing w:lineRule="auto" w:line="360" w:before="60" w:after="0"/>
              <w:ind w:left="0" w:hanging="0"/>
              <w:contextualSpacing w:val="false"/>
              <w:jc w:val="left"/>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Plan zagospodarowania działki</w:t>
            </w:r>
          </w:p>
        </w:tc>
        <w:tc>
          <w:tcPr>
            <w:tcW w:w="2267" w:type="dxa"/>
            <w:tcBorders/>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1:500</w:t>
            </w:r>
          </w:p>
        </w:tc>
        <w:tc>
          <w:tcPr>
            <w:tcW w:w="1561" w:type="dxa"/>
            <w:tcBorders/>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PZD01</w:t>
            </w:r>
          </w:p>
        </w:tc>
      </w:tr>
      <w:tr>
        <w:trPr/>
        <w:tc>
          <w:tcPr>
            <w:tcW w:w="4961" w:type="dxa"/>
            <w:tcBorders/>
            <w:vAlign w:val="center"/>
          </w:tcPr>
          <w:p>
            <w:pPr>
              <w:pStyle w:val="ListParagraph"/>
              <w:widowControl w:val="false"/>
              <w:suppressAutoHyphens w:val="true"/>
              <w:spacing w:lineRule="auto" w:line="360" w:before="60" w:after="0"/>
              <w:ind w:left="0" w:hanging="0"/>
              <w:contextualSpacing w:val="false"/>
              <w:jc w:val="left"/>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Rzut parteru</w:t>
            </w:r>
          </w:p>
        </w:tc>
        <w:tc>
          <w:tcPr>
            <w:tcW w:w="2267" w:type="dxa"/>
            <w:tcBorders/>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1:50</w:t>
            </w:r>
          </w:p>
        </w:tc>
        <w:tc>
          <w:tcPr>
            <w:tcW w:w="1561" w:type="dxa"/>
            <w:tcBorders/>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kern w:val="0"/>
                <w:sz w:val="22"/>
                <w:szCs w:val="22"/>
                <w:lang w:val="pl-PL" w:eastAsia="en-US" w:bidi="ar-SA"/>
              </w:rPr>
              <w:t>S.01</w:t>
            </w:r>
          </w:p>
        </w:tc>
      </w:tr>
    </w:tbl>
    <w:tbl>
      <w:tblPr>
        <w:tblStyle w:val="Tabela-Siatka"/>
        <w:tblW w:w="8789"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4961"/>
        <w:gridCol w:w="2267"/>
        <w:gridCol w:w="1561"/>
      </w:tblGrid>
      <w:tr>
        <w:trPr/>
        <w:tc>
          <w:tcPr>
            <w:tcW w:w="4961" w:type="dxa"/>
            <w:tcBorders/>
            <w:vAlign w:val="center"/>
          </w:tcPr>
          <w:p>
            <w:pPr>
              <w:pStyle w:val="ListParagraph"/>
              <w:widowControl w:val="false"/>
              <w:suppressAutoHyphens w:val="true"/>
              <w:spacing w:lineRule="auto" w:line="360" w:before="60" w:after="0"/>
              <w:ind w:left="0" w:hanging="0"/>
              <w:contextualSpacing w:val="false"/>
              <w:jc w:val="left"/>
              <w:rPr>
                <w:rFonts w:ascii="ISOCPEUR" w:hAnsi="ISOCPEUR" w:eastAsia="" w:cs="" w:cstheme="minorBidi" w:eastAsiaTheme="minorEastAsia"/>
                <w:color w:val="auto"/>
                <w:kern w:val="0"/>
                <w:sz w:val="22"/>
                <w:szCs w:val="22"/>
                <w:lang w:val="pl-PL" w:eastAsia="en-US" w:bidi="ar-SA"/>
              </w:rPr>
            </w:pPr>
            <w:r>
              <w:rPr>
                <w:rFonts w:eastAsia="" w:cs="" w:cstheme="minorBidi" w:eastAsiaTheme="minorEastAsia" w:ascii="ISOCPEUR" w:hAnsi="ISOCPEUR"/>
                <w:color w:val="auto"/>
                <w:kern w:val="0"/>
                <w:sz w:val="22"/>
                <w:szCs w:val="22"/>
                <w:lang w:val="pl-PL" w:eastAsia="en-US" w:bidi="ar-SA"/>
              </w:rPr>
              <w:t>Schemat rozdzielni elektrycznej</w:t>
            </w:r>
          </w:p>
        </w:tc>
        <w:tc>
          <w:tcPr>
            <w:tcW w:w="2267" w:type="dxa"/>
            <w:tcBorders/>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cstheme="minorBidi" w:eastAsiaTheme="minorEastAsia"/>
                <w:color w:val="auto"/>
                <w:kern w:val="0"/>
                <w:sz w:val="22"/>
                <w:szCs w:val="22"/>
                <w:lang w:val="pl-PL" w:eastAsia="en-US" w:bidi="ar-SA"/>
              </w:rPr>
            </w:pPr>
            <w:r>
              <w:rPr>
                <w:rFonts w:eastAsia="" w:cs="" w:cstheme="minorBidi" w:eastAsiaTheme="minorEastAsia" w:ascii="ISOCPEUR" w:hAnsi="ISOCPEUR"/>
                <w:color w:val="auto"/>
                <w:kern w:val="0"/>
                <w:sz w:val="22"/>
                <w:szCs w:val="22"/>
                <w:lang w:val="pl-PL" w:eastAsia="en-US" w:bidi="ar-SA"/>
              </w:rPr>
              <w:t>bs</w:t>
            </w:r>
          </w:p>
        </w:tc>
        <w:tc>
          <w:tcPr>
            <w:tcW w:w="1561" w:type="dxa"/>
            <w:tcBorders/>
            <w:vAlign w:val="center"/>
          </w:tcPr>
          <w:p>
            <w:pPr>
              <w:pStyle w:val="ListParagraph"/>
              <w:widowControl w:val="false"/>
              <w:suppressAutoHyphens w:val="true"/>
              <w:spacing w:lineRule="auto" w:line="360" w:before="60" w:after="0"/>
              <w:ind w:left="0" w:hanging="0"/>
              <w:contextualSpacing w:val="false"/>
              <w:jc w:val="center"/>
              <w:rPr>
                <w:rFonts w:ascii="ISOCPEUR" w:hAnsi="ISOCPEUR" w:eastAsia="" w:cs=""/>
                <w:kern w:val="0"/>
                <w:sz w:val="22"/>
                <w:szCs w:val="22"/>
                <w:lang w:val="pl-PL" w:eastAsia="en-US" w:bidi="ar-SA"/>
              </w:rPr>
            </w:pPr>
            <w:r>
              <w:rPr>
                <w:rFonts w:eastAsia="" w:cs="" w:ascii="ISOCPEUR" w:hAnsi="ISOCPEUR" w:cstheme="minorBidi" w:eastAsiaTheme="minorEastAsia"/>
                <w:color w:val="auto"/>
                <w:kern w:val="0"/>
                <w:sz w:val="22"/>
                <w:szCs w:val="22"/>
                <w:lang w:val="pl-PL" w:eastAsia="en-US" w:bidi="ar-SA"/>
              </w:rPr>
              <w:t>E</w:t>
            </w:r>
            <w:r>
              <w:rPr>
                <w:rFonts w:eastAsia="" w:cs="" w:ascii="ISOCPEUR" w:hAnsi="ISOCPEUR"/>
                <w:kern w:val="0"/>
                <w:sz w:val="22"/>
                <w:szCs w:val="22"/>
                <w:lang w:val="pl-PL" w:eastAsia="en-US" w:bidi="ar-SA"/>
              </w:rPr>
              <w:t>.01</w:t>
            </w:r>
          </w:p>
        </w:tc>
      </w:tr>
    </w:tbl>
    <w:p>
      <w:pPr>
        <w:pStyle w:val="Normal"/>
        <w:spacing w:lineRule="auto" w:line="360"/>
        <w:rPr>
          <w:rFonts w:ascii="ISOCPEUR" w:hAnsi="ISOCPEUR"/>
        </w:rPr>
      </w:pPr>
      <w:r>
        <w:rPr>
          <w:rFonts w:ascii="ISOCPEUR" w:hAnsi="ISOCPEUR"/>
        </w:rPr>
      </w:r>
    </w:p>
    <w:p>
      <w:pPr>
        <w:pStyle w:val="Normal"/>
        <w:tabs>
          <w:tab w:val="clear" w:pos="708"/>
          <w:tab w:val="left" w:pos="4452" w:leader="none"/>
        </w:tabs>
        <w:spacing w:lineRule="auto" w:line="360" w:before="0" w:after="160"/>
        <w:rPr>
          <w:rFonts w:ascii="ISOCPEUR" w:hAnsi="ISOCPEUR"/>
        </w:rPr>
      </w:pPr>
      <w:r>
        <w:rPr/>
      </w:r>
    </w:p>
    <w:sectPr>
      <w:headerReference w:type="default" r:id="rId5"/>
      <w:footerReference w:type="default" r:id="rId6"/>
      <w:type w:val="nextPage"/>
      <w:pgSz w:w="11906" w:h="16838"/>
      <w:pgMar w:left="1417" w:right="1417" w:gutter="0" w:header="284" w:top="993" w:footer="284" w:bottom="1276"/>
      <w:pgNumType w:start="1"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mbria">
    <w:charset w:val="ee"/>
    <w:family w:val="roman"/>
    <w:pitch w:val="variable"/>
  </w:font>
  <w:font w:name="Tahoma">
    <w:charset w:val="ee"/>
    <w:family w:val="roman"/>
    <w:pitch w:val="variable"/>
  </w:font>
  <w:font w:name="Arial Narrow">
    <w:charset w:val="ee"/>
    <w:family w:val="roman"/>
    <w:pitch w:val="variable"/>
  </w:font>
  <w:font w:name="Times New Roman">
    <w:charset w:val="ee"/>
    <w:family w:val="roman"/>
    <w:pitch w:val="variable"/>
  </w:font>
  <w:font w:name="OpenSymbol">
    <w:altName w:val="Arial Unicode MS"/>
    <w:charset w:val="ee"/>
    <w:family w:val="roman"/>
    <w:pitch w:val="variable"/>
  </w:font>
  <w:font w:name="Liberation Sans">
    <w:altName w:val="Arial"/>
    <w:charset w:val="ee"/>
    <w:family w:val="roman"/>
    <w:pitch w:val="variable"/>
  </w:font>
  <w:font w:name="Century Gothic">
    <w:charset w:val="ee"/>
    <w:family w:val="roman"/>
    <w:pitch w:val="variable"/>
  </w:font>
  <w:font w:name="Arial">
    <w:charset w:val="ee"/>
    <w:family w:val="roman"/>
    <w:pitch w:val="variable"/>
  </w:font>
  <w:font w:name="Calibri">
    <w:charset w:val="ee"/>
    <w:family w:val="roman"/>
    <w:pitch w:val="variable"/>
  </w:font>
  <w:font w:name="ISOCPEUR">
    <w:charset w:val="01"/>
    <w:family w:val="swiss"/>
    <w:pitch w:val="variable"/>
  </w:font>
  <w:font w:name="ISOCPEUR">
    <w:charset w:val="ee"/>
    <w:family w:val="roman"/>
    <w:pitch w:val="variable"/>
  </w:font>
  <w:font w:name="Courier New">
    <w:charset w:val="01"/>
    <w:family w:val="modern"/>
    <w:pitch w:val="fixed"/>
  </w:font>
  <w:font w:name="Wingdings">
    <w:charset w:val="02"/>
    <w:family w:val="auto"/>
    <w:pitch w:val="variable"/>
  </w:font>
  <w:font w:name="Cambria">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Gallery w:val="Page Numbers (Top of Page)"/>
        <w:docPartUnique w:val="true"/>
      </w:docPartObj>
      <w:id w:val="262412716"/>
    </w:sdtPr>
    <w:sdtContent>
      <w:p>
        <w:pPr>
          <w:pStyle w:val="Stopka"/>
          <w:rPr>
            <w:rFonts w:ascii="ISOCPEUR" w:hAnsi="ISOCPEUR"/>
          </w:rPr>
        </w:pPr>
        <w:r>
          <w:rPr>
            <w:rFonts w:ascii="ISOCPEUR" w:hAnsi="ISOCPEUR"/>
          </w:rPr>
          <w:t xml:space="preserve">Strona </w:t>
        </w:r>
        <w:r>
          <w:rPr>
            <w:rFonts w:ascii="ISOCPEUR" w:hAnsi="ISOCPEUR"/>
            <w:b/>
            <w:bCs/>
            <w:sz w:val="24"/>
            <w:szCs w:val="24"/>
          </w:rPr>
          <w:fldChar w:fldCharType="begin"/>
        </w:r>
        <w:r>
          <w:rPr>
            <w:sz w:val="24"/>
            <w:b/>
            <w:szCs w:val="24"/>
            <w:bCs/>
            <w:rFonts w:ascii="ISOCPEUR" w:hAnsi="ISOCPEUR"/>
          </w:rPr>
          <w:instrText> PAGE </w:instrText>
        </w:r>
        <w:r>
          <w:rPr>
            <w:sz w:val="24"/>
            <w:b/>
            <w:szCs w:val="24"/>
            <w:bCs/>
            <w:rFonts w:ascii="ISOCPEUR" w:hAnsi="ISOCPEUR"/>
          </w:rPr>
          <w:fldChar w:fldCharType="separate"/>
        </w:r>
        <w:r>
          <w:rPr>
            <w:sz w:val="24"/>
            <w:b/>
            <w:szCs w:val="24"/>
            <w:bCs/>
            <w:rFonts w:ascii="ISOCPEUR" w:hAnsi="ISOCPEUR"/>
          </w:rPr>
          <w:t>3</w:t>
        </w:r>
        <w:r>
          <w:rPr>
            <w:sz w:val="24"/>
            <w:b/>
            <w:szCs w:val="24"/>
            <w:bCs/>
            <w:rFonts w:ascii="ISOCPEUR" w:hAnsi="ISOCPEUR"/>
          </w:rPr>
          <w:fldChar w:fldCharType="end"/>
        </w:r>
        <w:r>
          <w:rPr>
            <w:rFonts w:ascii="ISOCPEUR" w:hAnsi="ISOCPEUR"/>
          </w:rPr>
          <w:t xml:space="preserve"> z </w:t>
        </w:r>
        <w:r>
          <w:rPr>
            <w:rFonts w:ascii="ISOCPEUR" w:hAnsi="ISOCPEUR"/>
            <w:b/>
            <w:bCs/>
            <w:sz w:val="24"/>
            <w:szCs w:val="24"/>
          </w:rPr>
          <w:fldChar w:fldCharType="begin"/>
        </w:r>
        <w:r>
          <w:rPr>
            <w:sz w:val="24"/>
            <w:b/>
            <w:szCs w:val="24"/>
            <w:bCs/>
            <w:rFonts w:ascii="ISOCPEUR" w:hAnsi="ISOCPEUR"/>
          </w:rPr>
          <w:instrText> NUMPAGES </w:instrText>
        </w:r>
        <w:r>
          <w:rPr>
            <w:sz w:val="24"/>
            <w:b/>
            <w:szCs w:val="24"/>
            <w:bCs/>
            <w:rFonts w:ascii="ISOCPEUR" w:hAnsi="ISOCPEUR"/>
          </w:rPr>
          <w:fldChar w:fldCharType="separate"/>
        </w:r>
        <w:r>
          <w:rPr>
            <w:sz w:val="24"/>
            <w:b/>
            <w:szCs w:val="24"/>
            <w:bCs/>
            <w:rFonts w:ascii="ISOCPEUR" w:hAnsi="ISOCPEUR"/>
          </w:rPr>
          <w:t>9</w:t>
        </w:r>
        <w:r>
          <w:rPr>
            <w:sz w:val="24"/>
            <w:b/>
            <w:szCs w:val="24"/>
            <w:bCs/>
            <w:rFonts w:ascii="ISOCPEUR" w:hAnsi="ISOCPEUR"/>
          </w:rPr>
          <w:fldChar w:fldCharType="end"/>
        </w:r>
      </w:p>
    </w:sdtContent>
  </w:sdt>
  <w:p>
    <w:pPr>
      <w:pStyle w:val="Normal"/>
      <w:spacing w:before="0" w:after="160"/>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wka"/>
      <w:tabs>
        <w:tab w:val="clear" w:pos="4536"/>
        <w:tab w:val="clear" w:pos="9072"/>
      </w:tabs>
      <w:jc w:val="center"/>
      <w:rPr>
        <w:sz w:val="24"/>
        <w:szCs w:val="24"/>
      </w:rPr>
    </w:pPr>
    <w:r>
      <w:rPr>
        <w:sz w:val="24"/>
        <w:szCs w:val="24"/>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Nagwek1"/>
      <w:numFmt w:val="decimal"/>
      <w:lvlText w:val="%1"/>
      <w:lvlJc w:val="left"/>
      <w:pPr>
        <w:tabs>
          <w:tab w:val="num" w:pos="0"/>
        </w:tabs>
        <w:ind w:left="432" w:hanging="432"/>
      </w:pPr>
    </w:lvl>
    <w:lvl w:ilvl="1">
      <w:start w:val="1"/>
      <w:pStyle w:val="Nagwek2"/>
      <w:numFmt w:val="decimal"/>
      <w:lvlText w:val="%1.%2"/>
      <w:lvlJc w:val="left"/>
      <w:pPr>
        <w:tabs>
          <w:tab w:val="num" w:pos="0"/>
        </w:tabs>
        <w:ind w:left="576" w:hanging="576"/>
      </w:pPr>
    </w:lvl>
    <w:lvl w:ilvl="2">
      <w:start w:val="1"/>
      <w:pStyle w:val="Nagwek3"/>
      <w:numFmt w:val="decimal"/>
      <w:lvlText w:val="%1.%2.%3"/>
      <w:lvlJc w:val="left"/>
      <w:pPr>
        <w:tabs>
          <w:tab w:val="num" w:pos="0"/>
        </w:tabs>
        <w:ind w:left="720" w:hanging="720"/>
      </w:pPr>
    </w:lvl>
    <w:lvl w:ilvl="3">
      <w:start w:val="1"/>
      <w:pStyle w:val="Nagwek4"/>
      <w:numFmt w:val="decimal"/>
      <w:lvlText w:val="%1.%2.%3.%4"/>
      <w:lvlJc w:val="left"/>
      <w:pPr>
        <w:tabs>
          <w:tab w:val="num" w:pos="0"/>
        </w:tabs>
        <w:ind w:left="864" w:hanging="864"/>
      </w:pPr>
      <w:rPr>
        <w:smallCaps w:val="false"/>
        <w:caps w:val="false"/>
        <w:outline w:val="false"/>
        <w:dstrike w:val="false"/>
        <w:strike w:val="false"/>
        <w:vertAlign w:val="baseline"/>
        <w:position w:val="0"/>
        <w:sz w:val="0"/>
        <w:sz w:val="0"/>
        <w:spacing w:val="0"/>
        <w:i w:val="false"/>
        <w:shadow w:val="false"/>
        <w:u w:val="none" w:color="000000"/>
        <w:b w:val="false"/>
        <w:kern w:val="0"/>
        <w:effect w:val="none"/>
        <w:shd w:fill="000000" w:val="clear"/>
        <w:szCs w:val="0"/>
        <w:iCs w:val="false"/>
        <w:bCs w:val="false"/>
        <w:em w:val="none"/>
        <w:w w:val="100"/>
        <w:emboss w:val="false"/>
        <w:imprint w:val="false"/>
        <w:vanish w:val="false"/>
        <w:rFonts w:ascii="Times New Roman" w:hAnsi="Times New Roman" w:cs="Times New Roman"/>
        <w:color w:val="000000"/>
        <w:lang w:val="x-none" w:eastAsia="x-none" w:bidi="x-none"/>
        <w14:cntxtAlts w14:val="0"/>
        <w14:glow w14:rad="0">
          <w14:srgbClr w14:val="000000"/>
        </w14:glow>
        <w14:ligatures w14:val="none"/>
        <w14:numForm w14:val="default"/>
        <w14:numSpacing w14:val="default"/>
        <w14:props3d w14:extrusionH="0" w14:contourW="0" w14:prstMaterial="none"/>
        <w14:reflection w14:blurRad="0" w14:stA="0" w14:stPos="0" w14:endA="0" w14:endPos="0" w14:dist="0" w14:dir="0" w14:fadeDir="0" w14:sx="0" w14:sy="0" w14:kx="0" w14:ky="0" w14:algn="none"/>
        <w14:scene3d>
          <w14:camera w14:prst="orthographicFront"/>
          <w14:lightRig w14:rig="threePt" w14:dir="t">
            <w14:rot w14:lat="0" w14:lon="0" w14:rev="0"/>
          </w14:lightRig>
        </w14:scene3d>
        <w14:shadow w14:blurRad="0" w14:dist="0" w14:dir="0" w14:sx="0" w14:sy="0" w14:kx="0" w14:ky="0" w14:algn="none">
          <w14:srgbClr w14:val="000000"/>
        </w14:shadow>
        <w14:stylisticSets/>
        <w14:textOutline w14:w="0" w14:cap="rnd" w14:cmpd="sng" w14:algn="ctr">
          <w14:noFill/>
          <w14:prstDash w14:val="solid"/>
          <w14:bevel/>
        </w14:textOutline>
      </w:rPr>
    </w:lvl>
    <w:lvl w:ilvl="4">
      <w:start w:val="1"/>
      <w:pStyle w:val="Nagwek5"/>
      <w:numFmt w:val="decimal"/>
      <w:lvlText w:val="%1.%2.%3.%4.%5"/>
      <w:lvlJc w:val="left"/>
      <w:pPr>
        <w:tabs>
          <w:tab w:val="num" w:pos="0"/>
        </w:tabs>
        <w:ind w:left="1008" w:hanging="1008"/>
      </w:pPr>
    </w:lvl>
    <w:lvl w:ilvl="5">
      <w:start w:val="1"/>
      <w:pStyle w:val="Nagwek6"/>
      <w:numFmt w:val="decimal"/>
      <w:lvlText w:val="%1.%2.%3.%4.%5.%6"/>
      <w:lvlJc w:val="left"/>
      <w:pPr>
        <w:tabs>
          <w:tab w:val="num" w:pos="0"/>
        </w:tabs>
        <w:ind w:left="1152" w:hanging="1152"/>
      </w:pPr>
    </w:lvl>
    <w:lvl w:ilvl="6">
      <w:start w:val="1"/>
      <w:pStyle w:val="Nagwek7"/>
      <w:numFmt w:val="decimal"/>
      <w:lvlText w:val="%1.%2.%3.%4.%5.%6.%7"/>
      <w:lvlJc w:val="left"/>
      <w:pPr>
        <w:tabs>
          <w:tab w:val="num" w:pos="0"/>
        </w:tabs>
        <w:ind w:left="1296" w:hanging="1296"/>
      </w:pPr>
    </w:lvl>
    <w:lvl w:ilvl="7">
      <w:start w:val="1"/>
      <w:pStyle w:val="Nagwek8"/>
      <w:numFmt w:val="decimal"/>
      <w:lvlText w:val="%1.%2.%3.%4.%5.%6.%7.%8"/>
      <w:lvlJc w:val="left"/>
      <w:pPr>
        <w:tabs>
          <w:tab w:val="num" w:pos="0"/>
        </w:tabs>
        <w:ind w:left="1440" w:hanging="1440"/>
      </w:pPr>
    </w:lvl>
    <w:lvl w:ilvl="8">
      <w:start w:val="1"/>
      <w:pStyle w:val="Nagwek9"/>
      <w:numFmt w:val="decimal"/>
      <w:lvlText w:val="%1.%2.%3.%4.%5.%6.%7.%8.%9"/>
      <w:lvlJc w:val="left"/>
      <w:pPr>
        <w:tabs>
          <w:tab w:val="num" w:pos="0"/>
        </w:tabs>
        <w:ind w:left="1584" w:hanging="1584"/>
      </w:pPr>
    </w:lvl>
  </w:abstractNum>
  <w:abstractNum w:abstractNumId="2">
    <w:lvl w:ilvl="0">
      <w:start w:val="1"/>
      <w:numFmt w:val="bullet"/>
      <w:lvlText w:val=""/>
      <w:lvlJc w:val="left"/>
      <w:pPr>
        <w:tabs>
          <w:tab w:val="num" w:pos="2563"/>
        </w:tabs>
        <w:ind w:left="2563" w:hanging="360"/>
      </w:pPr>
      <w:rPr>
        <w:rFonts w:ascii="Symbol" w:hAnsi="Symbol" w:cs="Symbol" w:hint="default"/>
        <w:vertAlign w:val="baseline"/>
        <w:position w:val="0"/>
        <w:sz w:val="22"/>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1778" w:hanging="360"/>
      </w:pPr>
      <w:rPr>
        <w:rFonts w:ascii="Symbol" w:hAnsi="Symbol" w:cs="Symbol" w:hint="default"/>
      </w:rPr>
    </w:lvl>
    <w:lvl w:ilvl="1">
      <w:start w:val="0"/>
      <w:numFmt w:val="bullet"/>
      <w:lvlText w:val="•"/>
      <w:lvlJc w:val="left"/>
      <w:pPr>
        <w:tabs>
          <w:tab w:val="num" w:pos="0"/>
        </w:tabs>
        <w:ind w:left="2749" w:hanging="705"/>
      </w:pPr>
      <w:rPr>
        <w:rFonts w:ascii="Cambria" w:hAnsi="Cambria" w:cs="Cambria" w:hint="default"/>
        <w:rFonts w:cstheme="minorBidi" w:eastAsiaTheme="minorEastAsia"/>
      </w:rPr>
    </w:lvl>
    <w:lvl w:ilvl="2">
      <w:start w:val="1"/>
      <w:numFmt w:val="bullet"/>
      <w:lvlText w:val=""/>
      <w:lvlJc w:val="left"/>
      <w:pPr>
        <w:tabs>
          <w:tab w:val="num" w:pos="0"/>
        </w:tabs>
        <w:ind w:left="3124" w:hanging="360"/>
      </w:pPr>
      <w:rPr>
        <w:rFonts w:ascii="Wingdings" w:hAnsi="Wingdings" w:cs="Wingdings" w:hint="default"/>
      </w:rPr>
    </w:lvl>
    <w:lvl w:ilvl="3">
      <w:start w:val="1"/>
      <w:numFmt w:val="bullet"/>
      <w:lvlText w:val=""/>
      <w:lvlJc w:val="left"/>
      <w:pPr>
        <w:tabs>
          <w:tab w:val="num" w:pos="0"/>
        </w:tabs>
        <w:ind w:left="3844" w:hanging="360"/>
      </w:pPr>
      <w:rPr>
        <w:rFonts w:ascii="Symbol" w:hAnsi="Symbol" w:cs="Symbol" w:hint="default"/>
      </w:rPr>
    </w:lvl>
    <w:lvl w:ilvl="4">
      <w:start w:val="1"/>
      <w:numFmt w:val="bullet"/>
      <w:lvlText w:val="o"/>
      <w:lvlJc w:val="left"/>
      <w:pPr>
        <w:tabs>
          <w:tab w:val="num" w:pos="0"/>
        </w:tabs>
        <w:ind w:left="4564" w:hanging="360"/>
      </w:pPr>
      <w:rPr>
        <w:rFonts w:ascii="Courier New" w:hAnsi="Courier New" w:cs="Courier New" w:hint="default"/>
      </w:rPr>
    </w:lvl>
    <w:lvl w:ilvl="5">
      <w:start w:val="1"/>
      <w:numFmt w:val="bullet"/>
      <w:lvlText w:val=""/>
      <w:lvlJc w:val="left"/>
      <w:pPr>
        <w:tabs>
          <w:tab w:val="num" w:pos="0"/>
        </w:tabs>
        <w:ind w:left="5284" w:hanging="360"/>
      </w:pPr>
      <w:rPr>
        <w:rFonts w:ascii="Wingdings" w:hAnsi="Wingdings" w:cs="Wingdings" w:hint="default"/>
      </w:rPr>
    </w:lvl>
    <w:lvl w:ilvl="6">
      <w:start w:val="1"/>
      <w:numFmt w:val="bullet"/>
      <w:lvlText w:val=""/>
      <w:lvlJc w:val="left"/>
      <w:pPr>
        <w:tabs>
          <w:tab w:val="num" w:pos="0"/>
        </w:tabs>
        <w:ind w:left="6004" w:hanging="360"/>
      </w:pPr>
      <w:rPr>
        <w:rFonts w:ascii="Symbol" w:hAnsi="Symbol" w:cs="Symbol" w:hint="default"/>
      </w:rPr>
    </w:lvl>
    <w:lvl w:ilvl="7">
      <w:start w:val="1"/>
      <w:numFmt w:val="bullet"/>
      <w:lvlText w:val="o"/>
      <w:lvlJc w:val="left"/>
      <w:pPr>
        <w:tabs>
          <w:tab w:val="num" w:pos="0"/>
        </w:tabs>
        <w:ind w:left="6724" w:hanging="360"/>
      </w:pPr>
      <w:rPr>
        <w:rFonts w:ascii="Courier New" w:hAnsi="Courier New" w:cs="Courier New" w:hint="default"/>
      </w:rPr>
    </w:lvl>
    <w:lvl w:ilvl="8">
      <w:start w:val="1"/>
      <w:numFmt w:val="bullet"/>
      <w:lvlText w:val=""/>
      <w:lvlJc w:val="left"/>
      <w:pPr>
        <w:tabs>
          <w:tab w:val="num" w:pos="0"/>
        </w:tabs>
        <w:ind w:left="7444" w:hanging="360"/>
      </w:pPr>
      <w:rPr>
        <w:rFonts w:ascii="Wingdings" w:hAnsi="Wingdings" w:cs="Wingdings" w:hint="default"/>
      </w:rPr>
    </w:lvl>
  </w:abstractNum>
  <w:abstractNum w:abstractNumId="4">
    <w:lvl w:ilvl="0">
      <w:start w:val="1"/>
      <w:numFmt w:val="decimal"/>
      <w:lvlText w:val="%1."/>
      <w:lvlJc w:val="left"/>
      <w:pPr>
        <w:tabs>
          <w:tab w:val="num" w:pos="2563"/>
        </w:tabs>
        <w:ind w:left="2563" w:hanging="360"/>
      </w:pPr>
    </w:lvl>
    <w:lvl w:ilvl="1">
      <w:start w:val="1"/>
      <w:numFmt w:val="lowerLetter"/>
      <w:lvlText w:val="%2."/>
      <w:lvlJc w:val="left"/>
      <w:pPr>
        <w:tabs>
          <w:tab w:val="num" w:pos="3283"/>
        </w:tabs>
        <w:ind w:left="3283" w:hanging="360"/>
      </w:pPr>
    </w:lvl>
    <w:lvl w:ilvl="2">
      <w:start w:val="1"/>
      <w:numFmt w:val="lowerRoman"/>
      <w:lvlText w:val="%3."/>
      <w:lvlJc w:val="right"/>
      <w:pPr>
        <w:tabs>
          <w:tab w:val="num" w:pos="4003"/>
        </w:tabs>
        <w:ind w:left="4003" w:hanging="180"/>
      </w:pPr>
    </w:lvl>
    <w:lvl w:ilvl="3">
      <w:start w:val="1"/>
      <w:numFmt w:val="decimal"/>
      <w:lvlText w:val="%4."/>
      <w:lvlJc w:val="left"/>
      <w:pPr>
        <w:tabs>
          <w:tab w:val="num" w:pos="4723"/>
        </w:tabs>
        <w:ind w:left="4723" w:hanging="360"/>
      </w:pPr>
    </w:lvl>
    <w:lvl w:ilvl="4">
      <w:start w:val="1"/>
      <w:numFmt w:val="lowerLetter"/>
      <w:lvlText w:val="%5."/>
      <w:lvlJc w:val="left"/>
      <w:pPr>
        <w:tabs>
          <w:tab w:val="num" w:pos="5443"/>
        </w:tabs>
        <w:ind w:left="5443" w:hanging="360"/>
      </w:pPr>
    </w:lvl>
    <w:lvl w:ilvl="5">
      <w:start w:val="1"/>
      <w:numFmt w:val="lowerRoman"/>
      <w:lvlText w:val="%6."/>
      <w:lvlJc w:val="right"/>
      <w:pPr>
        <w:tabs>
          <w:tab w:val="num" w:pos="6163"/>
        </w:tabs>
        <w:ind w:left="6163" w:hanging="180"/>
      </w:pPr>
    </w:lvl>
    <w:lvl w:ilvl="6">
      <w:start w:val="1"/>
      <w:numFmt w:val="decimal"/>
      <w:lvlText w:val="%7."/>
      <w:lvlJc w:val="left"/>
      <w:pPr>
        <w:tabs>
          <w:tab w:val="num" w:pos="6883"/>
        </w:tabs>
        <w:ind w:left="6883" w:hanging="360"/>
      </w:pPr>
    </w:lvl>
    <w:lvl w:ilvl="7">
      <w:start w:val="1"/>
      <w:numFmt w:val="lowerLetter"/>
      <w:lvlText w:val="%8."/>
      <w:lvlJc w:val="left"/>
      <w:pPr>
        <w:tabs>
          <w:tab w:val="num" w:pos="7603"/>
        </w:tabs>
        <w:ind w:left="7603" w:hanging="360"/>
      </w:pPr>
    </w:lvl>
    <w:lvl w:ilvl="8">
      <w:start w:val="1"/>
      <w:numFmt w:val="lowerRoman"/>
      <w:lvlText w:val="%9."/>
      <w:lvlJc w:val="right"/>
      <w:pPr>
        <w:tabs>
          <w:tab w:val="num" w:pos="8323"/>
        </w:tabs>
        <w:ind w:left="8323" w:hanging="180"/>
      </w:p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w="http://schemas.openxmlformats.org/wordprocessingml/2006/main">
  <w:zoom w:percent="12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425"/>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mbria" w:hAnsi="Cambria" w:eastAsia="" w:cs="" w:asciiTheme="minorHAnsi" w:cstheme="minorBidi" w:eastAsiaTheme="minorEastAsia" w:hAnsiTheme="minorHAnsi"/>
        <w:sz w:val="22"/>
        <w:szCs w:val="22"/>
        <w:lang w:val="pl-PL"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45c67"/>
    <w:pPr>
      <w:widowControl/>
      <w:suppressAutoHyphens w:val="true"/>
      <w:bidi w:val="0"/>
      <w:spacing w:lineRule="auto" w:line="276" w:before="0" w:after="160"/>
      <w:jc w:val="both"/>
    </w:pPr>
    <w:rPr>
      <w:rFonts w:ascii="Cambria" w:hAnsi="Cambria" w:eastAsia="" w:cs="" w:asciiTheme="minorHAnsi" w:cstheme="minorBidi" w:eastAsiaTheme="minorEastAsia" w:hAnsiTheme="minorHAnsi"/>
      <w:color w:val="auto"/>
      <w:kern w:val="0"/>
      <w:sz w:val="22"/>
      <w:szCs w:val="22"/>
      <w:lang w:val="pl-PL" w:eastAsia="en-US" w:bidi="ar-SA"/>
    </w:rPr>
  </w:style>
  <w:style w:type="paragraph" w:styleId="Nagwek1">
    <w:name w:val="Heading 1"/>
    <w:basedOn w:val="Normal"/>
    <w:next w:val="Normal"/>
    <w:link w:val="Nagwek1Znak"/>
    <w:qFormat/>
    <w:rsid w:val="006e77bf"/>
    <w:pPr>
      <w:keepNext w:val="true"/>
      <w:keepLines/>
      <w:numPr>
        <w:ilvl w:val="0"/>
        <w:numId w:val="1"/>
      </w:numPr>
      <w:pBdr>
        <w:bottom w:val="single" w:sz="4" w:space="1" w:color="595959"/>
      </w:pBdr>
      <w:shd w:val="clear" w:color="auto" w:fill="F2F2F2" w:themeFill="background1" w:themeFillShade="f2"/>
      <w:spacing w:before="360" w:after="160"/>
      <w:outlineLvl w:val="0"/>
    </w:pPr>
    <w:rPr>
      <w:rFonts w:ascii="Cambria" w:hAnsi="Cambria" w:eastAsia="" w:cs="" w:asciiTheme="majorHAnsi" w:cstheme="majorBidi" w:eastAsiaTheme="majorEastAsia" w:hAnsiTheme="majorHAnsi"/>
      <w:b/>
      <w:bCs/>
      <w:smallCaps/>
      <w:color w:val="000000" w:themeColor="text1"/>
      <w:sz w:val="28"/>
      <w:szCs w:val="36"/>
    </w:rPr>
  </w:style>
  <w:style w:type="paragraph" w:styleId="Nagwek2">
    <w:name w:val="Heading 2"/>
    <w:basedOn w:val="Normal"/>
    <w:next w:val="Normal"/>
    <w:link w:val="Nagwek2Znak"/>
    <w:unhideWhenUsed/>
    <w:qFormat/>
    <w:rsid w:val="00425415"/>
    <w:pPr>
      <w:keepNext w:val="true"/>
      <w:keepLines/>
      <w:numPr>
        <w:ilvl w:val="1"/>
        <w:numId w:val="1"/>
      </w:numPr>
      <w:pBdr>
        <w:bottom w:val="single" w:sz="4" w:space="1" w:color="000000"/>
      </w:pBdr>
      <w:spacing w:before="360" w:after="240"/>
      <w:outlineLvl w:val="1"/>
    </w:pPr>
    <w:rPr>
      <w:rFonts w:ascii="Cambria" w:hAnsi="Cambria" w:eastAsia="" w:cs="" w:asciiTheme="majorHAnsi" w:cstheme="majorBidi" w:eastAsiaTheme="majorEastAsia" w:hAnsiTheme="majorHAnsi"/>
      <w:b/>
      <w:bCs/>
      <w:smallCaps/>
      <w:color w:val="000000" w:themeColor="text1"/>
      <w:sz w:val="24"/>
      <w:szCs w:val="28"/>
    </w:rPr>
  </w:style>
  <w:style w:type="paragraph" w:styleId="Nagwek3">
    <w:name w:val="Heading 3"/>
    <w:basedOn w:val="Normal"/>
    <w:next w:val="Normal"/>
    <w:link w:val="Nagwek3Znak"/>
    <w:unhideWhenUsed/>
    <w:qFormat/>
    <w:rsid w:val="00474dc8"/>
    <w:pPr>
      <w:keepNext w:val="true"/>
      <w:keepLines/>
      <w:numPr>
        <w:ilvl w:val="2"/>
        <w:numId w:val="1"/>
      </w:numPr>
      <w:spacing w:before="200" w:after="120"/>
      <w:outlineLvl w:val="2"/>
    </w:pPr>
    <w:rPr>
      <w:rFonts w:ascii="Cambria" w:hAnsi="Cambria" w:eastAsia="" w:cs="" w:asciiTheme="majorHAnsi" w:cstheme="majorBidi" w:eastAsiaTheme="majorEastAsia" w:hAnsiTheme="majorHAnsi"/>
      <w:b/>
      <w:bCs/>
      <w:smallCaps/>
      <w:color w:val="000000" w:themeColor="text1"/>
    </w:rPr>
  </w:style>
  <w:style w:type="paragraph" w:styleId="Nagwek4">
    <w:name w:val="Heading 4"/>
    <w:basedOn w:val="Normal"/>
    <w:next w:val="Normal"/>
    <w:link w:val="Nagwek4Znak"/>
    <w:uiPriority w:val="9"/>
    <w:unhideWhenUsed/>
    <w:qFormat/>
    <w:rsid w:val="00425415"/>
    <w:pPr>
      <w:keepNext w:val="true"/>
      <w:keepLines/>
      <w:numPr>
        <w:ilvl w:val="3"/>
        <w:numId w:val="1"/>
      </w:numPr>
      <w:spacing w:before="200" w:after="0"/>
      <w:outlineLvl w:val="3"/>
    </w:pPr>
    <w:rPr>
      <w:rFonts w:ascii="Cambria" w:hAnsi="Cambria" w:eastAsia="" w:cs="" w:asciiTheme="majorHAnsi" w:cstheme="majorBidi" w:eastAsiaTheme="majorEastAsia" w:hAnsiTheme="majorHAnsi"/>
      <w:b/>
      <w:bCs/>
      <w:iCs/>
      <w:smallCaps/>
      <w:color w:val="000000" w:themeColor="text1"/>
    </w:rPr>
  </w:style>
  <w:style w:type="paragraph" w:styleId="Nagwek5">
    <w:name w:val="Heading 5"/>
    <w:basedOn w:val="Normal"/>
    <w:next w:val="Normal"/>
    <w:link w:val="Nagwek5Znak"/>
    <w:uiPriority w:val="9"/>
    <w:unhideWhenUsed/>
    <w:qFormat/>
    <w:rsid w:val="00fa4b06"/>
    <w:pPr>
      <w:keepNext w:val="true"/>
      <w:keepLines/>
      <w:numPr>
        <w:ilvl w:val="4"/>
        <w:numId w:val="1"/>
      </w:numPr>
      <w:spacing w:before="200" w:after="0"/>
      <w:outlineLvl w:val="4"/>
    </w:pPr>
    <w:rPr>
      <w:rFonts w:ascii="Cambria" w:hAnsi="Cambria" w:eastAsia="" w:cs="" w:asciiTheme="majorHAnsi" w:cstheme="majorBidi" w:eastAsiaTheme="majorEastAsia" w:hAnsiTheme="majorHAnsi"/>
    </w:rPr>
  </w:style>
  <w:style w:type="paragraph" w:styleId="Nagwek6">
    <w:name w:val="Heading 6"/>
    <w:basedOn w:val="Normal"/>
    <w:next w:val="Normal"/>
    <w:link w:val="Nagwek6Znak"/>
    <w:uiPriority w:val="9"/>
    <w:semiHidden/>
    <w:unhideWhenUsed/>
    <w:qFormat/>
    <w:rsid w:val="006e77bf"/>
    <w:pPr>
      <w:keepNext w:val="true"/>
      <w:keepLines/>
      <w:numPr>
        <w:ilvl w:val="5"/>
        <w:numId w:val="1"/>
      </w:numPr>
      <w:spacing w:before="200" w:after="0"/>
      <w:outlineLvl w:val="5"/>
    </w:pPr>
    <w:rPr>
      <w:rFonts w:ascii="Cambria" w:hAnsi="Cambria" w:eastAsia="" w:cs="" w:asciiTheme="majorHAnsi" w:cstheme="majorBidi" w:eastAsiaTheme="majorEastAsia" w:hAnsiTheme="majorHAnsi"/>
      <w:i/>
      <w:iCs/>
      <w:color w:val="102326" w:themeColor="text2" w:themeShade="bf"/>
    </w:rPr>
  </w:style>
  <w:style w:type="paragraph" w:styleId="Nagwek7">
    <w:name w:val="Heading 7"/>
    <w:basedOn w:val="Normal"/>
    <w:next w:val="Normal"/>
    <w:link w:val="Nagwek7Znak"/>
    <w:uiPriority w:val="9"/>
    <w:semiHidden/>
    <w:unhideWhenUsed/>
    <w:qFormat/>
    <w:rsid w:val="006e77bf"/>
    <w:pPr>
      <w:keepNext w:val="true"/>
      <w:keepLines/>
      <w:numPr>
        <w:ilvl w:val="6"/>
        <w:numId w:val="1"/>
      </w:numPr>
      <w:spacing w:before="200" w:after="0"/>
      <w:ind w:left="5040" w:hanging="360"/>
      <w:outlineLvl w:val="6"/>
    </w:pPr>
    <w:rPr>
      <w:rFonts w:ascii="Cambria" w:hAnsi="Cambria" w:eastAsia="" w:cs="" w:asciiTheme="majorHAnsi" w:cstheme="majorBidi" w:eastAsiaTheme="majorEastAsia" w:hAnsiTheme="majorHAnsi"/>
      <w:i/>
      <w:iCs/>
      <w:color w:val="404040" w:themeColor="text1" w:themeTint="bf"/>
    </w:rPr>
  </w:style>
  <w:style w:type="paragraph" w:styleId="Nagwek8">
    <w:name w:val="Heading 8"/>
    <w:basedOn w:val="Normal"/>
    <w:next w:val="Normal"/>
    <w:link w:val="Nagwek8Znak"/>
    <w:uiPriority w:val="9"/>
    <w:unhideWhenUsed/>
    <w:qFormat/>
    <w:rsid w:val="006e77bf"/>
    <w:pPr>
      <w:keepNext w:val="true"/>
      <w:keepLines/>
      <w:numPr>
        <w:ilvl w:val="7"/>
        <w:numId w:val="1"/>
      </w:numPr>
      <w:spacing w:before="200" w:after="0"/>
      <w:ind w:left="5760" w:hanging="360"/>
      <w:outlineLvl w:val="7"/>
    </w:pPr>
    <w:rPr>
      <w:rFonts w:ascii="Cambria" w:hAnsi="Cambria" w:eastAsia="" w:cs="" w:asciiTheme="majorHAnsi" w:cstheme="majorBidi" w:eastAsiaTheme="majorEastAsia" w:hAnsiTheme="majorHAnsi"/>
      <w:color w:val="404040" w:themeColor="text1" w:themeTint="bf"/>
      <w:sz w:val="20"/>
      <w:szCs w:val="20"/>
    </w:rPr>
  </w:style>
  <w:style w:type="paragraph" w:styleId="Nagwek9">
    <w:name w:val="Heading 9"/>
    <w:basedOn w:val="Normal"/>
    <w:next w:val="Normal"/>
    <w:link w:val="Nagwek9Znak"/>
    <w:uiPriority w:val="9"/>
    <w:unhideWhenUsed/>
    <w:qFormat/>
    <w:rsid w:val="006e77bf"/>
    <w:pPr>
      <w:keepNext w:val="true"/>
      <w:keepLines/>
      <w:numPr>
        <w:ilvl w:val="8"/>
        <w:numId w:val="1"/>
      </w:numPr>
      <w:spacing w:before="200" w:after="0"/>
      <w:ind w:left="6480" w:hanging="360"/>
      <w:outlineLvl w:val="8"/>
    </w:pPr>
    <w:rPr>
      <w:rFonts w:ascii="Cambria" w:hAnsi="Cambria" w:eastAsia="" w:cs="" w:asciiTheme="majorHAnsi" w:cstheme="majorBidi" w:eastAsiaTheme="majorEastAsia" w:hAnsiTheme="majorHAnsi"/>
      <w:i/>
      <w:iCs/>
      <w:color w:val="404040" w:themeColor="text1" w:themeTint="bf"/>
      <w:sz w:val="20"/>
      <w:szCs w:val="20"/>
    </w:rPr>
  </w:style>
  <w:style w:type="character" w:styleId="DefaultParagraphFont" w:default="1">
    <w:name w:val="Default Paragraph Font"/>
    <w:uiPriority w:val="1"/>
    <w:unhideWhenUsed/>
    <w:qFormat/>
    <w:rPr/>
  </w:style>
  <w:style w:type="character" w:styleId="Nagwek1Znak" w:customStyle="1">
    <w:name w:val="Nagłówek 1 Znak"/>
    <w:basedOn w:val="DefaultParagraphFont"/>
    <w:link w:val="Nagwek1"/>
    <w:qFormat/>
    <w:rsid w:val="006e77bf"/>
    <w:rPr>
      <w:rFonts w:ascii="Cambria" w:hAnsi="Cambria" w:eastAsia="" w:cs="" w:asciiTheme="majorHAnsi" w:cstheme="majorBidi" w:eastAsiaTheme="majorEastAsia" w:hAnsiTheme="majorHAnsi"/>
      <w:b/>
      <w:bCs/>
      <w:smallCaps/>
      <w:color w:val="000000" w:themeColor="text1"/>
      <w:sz w:val="28"/>
      <w:szCs w:val="36"/>
      <w:shd w:fill="F2F2F2" w:val="clear"/>
    </w:rPr>
  </w:style>
  <w:style w:type="character" w:styleId="Nagwek2Znak" w:customStyle="1">
    <w:name w:val="Nagłówek 2 Znak"/>
    <w:basedOn w:val="DefaultParagraphFont"/>
    <w:link w:val="Nagwek2"/>
    <w:qFormat/>
    <w:rsid w:val="00425415"/>
    <w:rPr>
      <w:rFonts w:ascii="Cambria" w:hAnsi="Cambria" w:eastAsia="" w:cs="" w:asciiTheme="majorHAnsi" w:cstheme="majorBidi" w:eastAsiaTheme="majorEastAsia" w:hAnsiTheme="majorHAnsi"/>
      <w:b/>
      <w:bCs/>
      <w:smallCaps/>
      <w:color w:val="000000" w:themeColor="text1"/>
      <w:sz w:val="24"/>
      <w:szCs w:val="28"/>
    </w:rPr>
  </w:style>
  <w:style w:type="character" w:styleId="Nagwek3Znak" w:customStyle="1">
    <w:name w:val="Nagłówek 3 Znak"/>
    <w:basedOn w:val="DefaultParagraphFont"/>
    <w:link w:val="Nagwek3"/>
    <w:qFormat/>
    <w:rsid w:val="00474dc8"/>
    <w:rPr>
      <w:rFonts w:ascii="Cambria" w:hAnsi="Cambria" w:eastAsia="" w:cs="" w:asciiTheme="majorHAnsi" w:cstheme="majorBidi" w:eastAsiaTheme="majorEastAsia" w:hAnsiTheme="majorHAnsi"/>
      <w:b/>
      <w:bCs/>
      <w:smallCaps/>
      <w:color w:val="000000" w:themeColor="text1"/>
    </w:rPr>
  </w:style>
  <w:style w:type="character" w:styleId="Czeinternetowe">
    <w:name w:val="Łącze internetowe"/>
    <w:uiPriority w:val="99"/>
    <w:unhideWhenUsed/>
    <w:rsid w:val="00565f9b"/>
    <w:rPr>
      <w:color w:val="0000FF"/>
      <w:u w:val="single"/>
    </w:rPr>
  </w:style>
  <w:style w:type="character" w:styleId="Strong">
    <w:name w:val="Strong"/>
    <w:basedOn w:val="DefaultParagraphFont"/>
    <w:uiPriority w:val="22"/>
    <w:qFormat/>
    <w:rsid w:val="006e77bf"/>
    <w:rPr>
      <w:b/>
      <w:bCs/>
      <w:color w:val="000000" w:themeColor="text1"/>
    </w:rPr>
  </w:style>
  <w:style w:type="character" w:styleId="IntenseReference">
    <w:name w:val="Intense Reference"/>
    <w:basedOn w:val="DefaultParagraphFont"/>
    <w:uiPriority w:val="32"/>
    <w:qFormat/>
    <w:rsid w:val="006e77bf"/>
    <w:rPr>
      <w:b/>
      <w:bCs/>
      <w:smallCaps/>
      <w:u w:val="single"/>
    </w:rPr>
  </w:style>
  <w:style w:type="character" w:styleId="SubtleReference">
    <w:name w:val="Subtle Reference"/>
    <w:basedOn w:val="DefaultParagraphFont"/>
    <w:uiPriority w:val="31"/>
    <w:qFormat/>
    <w:rsid w:val="006e77bf"/>
    <w:rPr>
      <w:smallCaps/>
      <w:color w:val="404040" w:themeColor="text1" w:themeTint="bf"/>
      <w:u w:val="single" w:color="7F7F7F"/>
    </w:rPr>
  </w:style>
  <w:style w:type="character" w:styleId="StopkaZnak" w:customStyle="1">
    <w:name w:val="Stopka Znak"/>
    <w:basedOn w:val="DefaultParagraphFont"/>
    <w:link w:val="Stopka"/>
    <w:qFormat/>
    <w:rsid w:val="00565f9b"/>
    <w:rPr>
      <w:rFonts w:eastAsia="Times New Roman" w:cs="Times New Roman"/>
      <w:sz w:val="14"/>
      <w:lang w:eastAsia="pl-PL"/>
    </w:rPr>
  </w:style>
  <w:style w:type="character" w:styleId="PlaceholderText">
    <w:name w:val="Placeholder Text"/>
    <w:basedOn w:val="DefaultParagraphFont"/>
    <w:uiPriority w:val="99"/>
    <w:semiHidden/>
    <w:qFormat/>
    <w:rsid w:val="00565f9b"/>
    <w:rPr>
      <w:color w:val="808080"/>
    </w:rPr>
  </w:style>
  <w:style w:type="character" w:styleId="TekstdymkaZnak" w:customStyle="1">
    <w:name w:val="Tekst dymka Znak"/>
    <w:basedOn w:val="DefaultParagraphFont"/>
    <w:link w:val="Tekstdymka"/>
    <w:uiPriority w:val="99"/>
    <w:semiHidden/>
    <w:qFormat/>
    <w:rsid w:val="00565f9b"/>
    <w:rPr>
      <w:rFonts w:ascii="Tahoma" w:hAnsi="Tahoma" w:eastAsia="Times New Roman" w:cs="Tahoma"/>
      <w:i/>
      <w:sz w:val="16"/>
      <w:szCs w:val="16"/>
      <w:lang w:eastAsia="pl-PL"/>
    </w:rPr>
  </w:style>
  <w:style w:type="character" w:styleId="NagwekZnak" w:customStyle="1">
    <w:name w:val="Nagłówek Znak"/>
    <w:basedOn w:val="DefaultParagraphFont"/>
    <w:link w:val="Nagwek"/>
    <w:uiPriority w:val="99"/>
    <w:qFormat/>
    <w:rsid w:val="001d7f8b"/>
    <w:rPr>
      <w:rFonts w:eastAsia="Times New Roman" w:cs="Times New Roman"/>
      <w:i/>
      <w:lang w:eastAsia="pl-PL"/>
    </w:rPr>
  </w:style>
  <w:style w:type="character" w:styleId="TabelkiZnak" w:customStyle="1">
    <w:name w:val="tabelki Znak"/>
    <w:link w:val="tabelki"/>
    <w:qFormat/>
    <w:rsid w:val="0017364f"/>
    <w:rPr>
      <w:rFonts w:ascii="Tahoma" w:hAnsi="Tahoma" w:eastAsia="Times New Roman" w:cs="Times New Roman"/>
      <w:i/>
      <w:sz w:val="24"/>
      <w:szCs w:val="24"/>
      <w:lang w:eastAsia="pl-PL"/>
    </w:rPr>
  </w:style>
  <w:style w:type="character" w:styleId="Nierozpoznanawzmianka1" w:customStyle="1">
    <w:name w:val="Nierozpoznana wzmianka1"/>
    <w:basedOn w:val="DefaultParagraphFont"/>
    <w:uiPriority w:val="99"/>
    <w:semiHidden/>
    <w:unhideWhenUsed/>
    <w:qFormat/>
    <w:rsid w:val="00476900"/>
    <w:rPr>
      <w:color w:val="808080"/>
      <w:shd w:fill="E6E6E6" w:val="clear"/>
    </w:rPr>
  </w:style>
  <w:style w:type="character" w:styleId="Nagwek4Znak" w:customStyle="1">
    <w:name w:val="Nagłówek 4 Znak"/>
    <w:basedOn w:val="DefaultParagraphFont"/>
    <w:link w:val="Nagwek4"/>
    <w:uiPriority w:val="9"/>
    <w:qFormat/>
    <w:rsid w:val="00425415"/>
    <w:rPr>
      <w:rFonts w:ascii="Cambria" w:hAnsi="Cambria" w:eastAsia="" w:cs="" w:asciiTheme="majorHAnsi" w:cstheme="majorBidi" w:eastAsiaTheme="majorEastAsia" w:hAnsiTheme="majorHAnsi"/>
      <w:b/>
      <w:bCs/>
      <w:iCs/>
      <w:smallCaps/>
      <w:color w:val="000000" w:themeColor="text1"/>
    </w:rPr>
  </w:style>
  <w:style w:type="character" w:styleId="Nagwek5Znak" w:customStyle="1">
    <w:name w:val="Nagłówek 5 Znak"/>
    <w:basedOn w:val="DefaultParagraphFont"/>
    <w:link w:val="Nagwek5"/>
    <w:uiPriority w:val="9"/>
    <w:qFormat/>
    <w:rsid w:val="00fa4b06"/>
    <w:rPr>
      <w:rFonts w:ascii="Cambria" w:hAnsi="Cambria" w:eastAsia="" w:cs="" w:asciiTheme="majorHAnsi" w:cstheme="majorBidi" w:eastAsiaTheme="majorEastAsia" w:hAnsiTheme="majorHAnsi"/>
    </w:rPr>
  </w:style>
  <w:style w:type="character" w:styleId="Nierozpoznanawzmianka2" w:customStyle="1">
    <w:name w:val="Nierozpoznana wzmianka2"/>
    <w:basedOn w:val="DefaultParagraphFont"/>
    <w:uiPriority w:val="99"/>
    <w:semiHidden/>
    <w:unhideWhenUsed/>
    <w:qFormat/>
    <w:rsid w:val="00c03eb2"/>
    <w:rPr>
      <w:color w:val="605E5C"/>
      <w:shd w:fill="E1DFDD" w:val="clear"/>
    </w:rPr>
  </w:style>
  <w:style w:type="character" w:styleId="Annotationreference">
    <w:name w:val="annotation reference"/>
    <w:basedOn w:val="DefaultParagraphFont"/>
    <w:uiPriority w:val="99"/>
    <w:semiHidden/>
    <w:unhideWhenUsed/>
    <w:qFormat/>
    <w:rsid w:val="00e30944"/>
    <w:rPr>
      <w:sz w:val="16"/>
      <w:szCs w:val="16"/>
    </w:rPr>
  </w:style>
  <w:style w:type="character" w:styleId="TekstkomentarzaZnak" w:customStyle="1">
    <w:name w:val="Tekst komentarza Znak"/>
    <w:basedOn w:val="DefaultParagraphFont"/>
    <w:link w:val="Tekstkomentarza"/>
    <w:uiPriority w:val="99"/>
    <w:semiHidden/>
    <w:qFormat/>
    <w:rsid w:val="00e30944"/>
    <w:rPr>
      <w:rFonts w:ascii="Tahoma" w:hAnsi="Tahoma" w:eastAsia="Times New Roman" w:cs="Times New Roman"/>
      <w:i/>
      <w:sz w:val="20"/>
      <w:szCs w:val="20"/>
      <w:lang w:eastAsia="pl-PL"/>
    </w:rPr>
  </w:style>
  <w:style w:type="character" w:styleId="TematkomentarzaZnak" w:customStyle="1">
    <w:name w:val="Temat komentarza Znak"/>
    <w:basedOn w:val="TekstkomentarzaZnak"/>
    <w:link w:val="Tematkomentarza"/>
    <w:uiPriority w:val="99"/>
    <w:semiHidden/>
    <w:qFormat/>
    <w:rsid w:val="00e30944"/>
    <w:rPr>
      <w:rFonts w:ascii="Tahoma" w:hAnsi="Tahoma" w:eastAsia="Times New Roman" w:cs="Times New Roman"/>
      <w:b/>
      <w:bCs/>
      <w:i/>
      <w:sz w:val="20"/>
      <w:szCs w:val="20"/>
      <w:lang w:eastAsia="pl-PL"/>
    </w:rPr>
  </w:style>
  <w:style w:type="character" w:styleId="Wyrnienie">
    <w:name w:val="Wyróżnienie"/>
    <w:basedOn w:val="DefaultParagraphFont"/>
    <w:uiPriority w:val="20"/>
    <w:qFormat/>
    <w:rsid w:val="006e77bf"/>
    <w:rPr>
      <w:i/>
      <w:iCs/>
      <w:color w:val="auto"/>
    </w:rPr>
  </w:style>
  <w:style w:type="character" w:styleId="PUNKTORYZnak" w:customStyle="1">
    <w:name w:val="PUNKTORY Znak"/>
    <w:link w:val="PUNKTORY"/>
    <w:qFormat/>
    <w:rsid w:val="001c5a1f"/>
    <w:rPr>
      <w:rFonts w:cs="Tahoma"/>
    </w:rPr>
  </w:style>
  <w:style w:type="character" w:styleId="Nagwek6Znak" w:customStyle="1">
    <w:name w:val="Nagłówek 6 Znak"/>
    <w:basedOn w:val="DefaultParagraphFont"/>
    <w:link w:val="Nagwek6"/>
    <w:uiPriority w:val="9"/>
    <w:semiHidden/>
    <w:qFormat/>
    <w:rsid w:val="006e77bf"/>
    <w:rPr>
      <w:rFonts w:ascii="Cambria" w:hAnsi="Cambria" w:eastAsia="" w:cs="" w:asciiTheme="majorHAnsi" w:cstheme="majorBidi" w:eastAsiaTheme="majorEastAsia" w:hAnsiTheme="majorHAnsi"/>
      <w:i/>
      <w:iCs/>
      <w:color w:val="102326" w:themeColor="text2" w:themeShade="bf"/>
    </w:rPr>
  </w:style>
  <w:style w:type="character" w:styleId="Nagwek7Znak" w:customStyle="1">
    <w:name w:val="Nagłówek 7 Znak"/>
    <w:basedOn w:val="DefaultParagraphFont"/>
    <w:link w:val="Nagwek7"/>
    <w:uiPriority w:val="9"/>
    <w:semiHidden/>
    <w:qFormat/>
    <w:rsid w:val="006e77bf"/>
    <w:rPr>
      <w:rFonts w:ascii="Cambria" w:hAnsi="Cambria" w:eastAsia="" w:cs="" w:asciiTheme="majorHAnsi" w:cstheme="majorBidi" w:eastAsiaTheme="majorEastAsia" w:hAnsiTheme="majorHAnsi"/>
      <w:i/>
      <w:iCs/>
      <w:color w:val="404040" w:themeColor="text1" w:themeTint="bf"/>
    </w:rPr>
  </w:style>
  <w:style w:type="character" w:styleId="Nagwek8Znak" w:customStyle="1">
    <w:name w:val="Nagłówek 8 Znak"/>
    <w:basedOn w:val="DefaultParagraphFont"/>
    <w:link w:val="Nagwek8"/>
    <w:uiPriority w:val="9"/>
    <w:semiHidden/>
    <w:qFormat/>
    <w:rsid w:val="006e77bf"/>
    <w:rPr>
      <w:rFonts w:ascii="Cambria" w:hAnsi="Cambria" w:eastAsia="" w:cs="" w:asciiTheme="majorHAnsi" w:cstheme="majorBidi" w:eastAsiaTheme="majorEastAsia" w:hAnsiTheme="majorHAnsi"/>
      <w:color w:val="404040" w:themeColor="text1" w:themeTint="bf"/>
      <w:sz w:val="20"/>
      <w:szCs w:val="20"/>
    </w:rPr>
  </w:style>
  <w:style w:type="character" w:styleId="Nagwek9Znak" w:customStyle="1">
    <w:name w:val="Nagłówek 9 Znak"/>
    <w:basedOn w:val="DefaultParagraphFont"/>
    <w:link w:val="Nagwek9"/>
    <w:uiPriority w:val="9"/>
    <w:semiHidden/>
    <w:qFormat/>
    <w:rsid w:val="006e77bf"/>
    <w:rPr>
      <w:rFonts w:ascii="Cambria" w:hAnsi="Cambria" w:eastAsia="" w:cs="" w:asciiTheme="majorHAnsi" w:cstheme="majorBidi" w:eastAsiaTheme="majorEastAsia" w:hAnsiTheme="majorHAnsi"/>
      <w:i/>
      <w:iCs/>
      <w:color w:val="404040" w:themeColor="text1" w:themeTint="bf"/>
      <w:sz w:val="20"/>
      <w:szCs w:val="20"/>
    </w:rPr>
  </w:style>
  <w:style w:type="character" w:styleId="TytuZnak" w:customStyle="1">
    <w:name w:val="Tytuł Znak"/>
    <w:basedOn w:val="DefaultParagraphFont"/>
    <w:link w:val="Tytu"/>
    <w:uiPriority w:val="10"/>
    <w:qFormat/>
    <w:rsid w:val="003a06c6"/>
    <w:rPr/>
  </w:style>
  <w:style w:type="character" w:styleId="PodtytuZnak" w:customStyle="1">
    <w:name w:val="Podtytuł Znak"/>
    <w:basedOn w:val="DefaultParagraphFont"/>
    <w:link w:val="Podtytu"/>
    <w:uiPriority w:val="11"/>
    <w:qFormat/>
    <w:rsid w:val="006e77bf"/>
    <w:rPr>
      <w:color w:val="5A5A5A" w:themeColor="text1" w:themeTint="a5"/>
      <w:spacing w:val="10"/>
    </w:rPr>
  </w:style>
  <w:style w:type="character" w:styleId="CytatZnak" w:customStyle="1">
    <w:name w:val="Cytat Znak"/>
    <w:basedOn w:val="DefaultParagraphFont"/>
    <w:link w:val="Cytat"/>
    <w:uiPriority w:val="29"/>
    <w:qFormat/>
    <w:rsid w:val="006e77bf"/>
    <w:rPr>
      <w:i/>
      <w:iCs/>
      <w:color w:val="000000" w:themeColor="text1"/>
    </w:rPr>
  </w:style>
  <w:style w:type="character" w:styleId="CytatintensywnyZnak" w:customStyle="1">
    <w:name w:val="Cytat intensywny Znak"/>
    <w:basedOn w:val="DefaultParagraphFont"/>
    <w:link w:val="Cytatintensywny"/>
    <w:uiPriority w:val="30"/>
    <w:qFormat/>
    <w:rsid w:val="006e77bf"/>
    <w:rPr>
      <w:color w:val="000000" w:themeColor="text1"/>
      <w:shd w:fill="F2F2F2" w:val="clear"/>
    </w:rPr>
  </w:style>
  <w:style w:type="character" w:styleId="SubtleEmphasis">
    <w:name w:val="Subtle Emphasis"/>
    <w:basedOn w:val="DefaultParagraphFont"/>
    <w:uiPriority w:val="19"/>
    <w:qFormat/>
    <w:rsid w:val="006e77bf"/>
    <w:rPr>
      <w:i/>
      <w:iCs/>
      <w:color w:val="404040" w:themeColor="text1" w:themeTint="bf"/>
    </w:rPr>
  </w:style>
  <w:style w:type="character" w:styleId="IntenseEmphasis">
    <w:name w:val="Intense Emphasis"/>
    <w:basedOn w:val="DefaultParagraphFont"/>
    <w:uiPriority w:val="21"/>
    <w:qFormat/>
    <w:rsid w:val="006e77bf"/>
    <w:rPr>
      <w:b/>
      <w:bCs/>
      <w:i/>
      <w:iCs/>
      <w:caps/>
    </w:rPr>
  </w:style>
  <w:style w:type="character" w:styleId="BookTitle">
    <w:name w:val="Book Title"/>
    <w:basedOn w:val="DefaultParagraphFont"/>
    <w:uiPriority w:val="33"/>
    <w:qFormat/>
    <w:rsid w:val="006e77bf"/>
    <w:rPr>
      <w:b w:val="false"/>
      <w:bCs w:val="false"/>
      <w:smallCaps/>
      <w:spacing w:val="5"/>
    </w:rPr>
  </w:style>
  <w:style w:type="character" w:styleId="TekstprzypisukocowegoZnak" w:customStyle="1">
    <w:name w:val="Tekst przypisu końcowego Znak"/>
    <w:basedOn w:val="DefaultParagraphFont"/>
    <w:link w:val="Tekstprzypisukocowego"/>
    <w:uiPriority w:val="99"/>
    <w:semiHidden/>
    <w:qFormat/>
    <w:rsid w:val="00ea1cde"/>
    <w:rPr>
      <w:sz w:val="20"/>
      <w:szCs w:val="20"/>
    </w:rPr>
  </w:style>
  <w:style w:type="character" w:styleId="Zakotwiczenieprzypisukocowego">
    <w:name w:val="Zakotwiczenie przypisu końcowego"/>
    <w:rPr>
      <w:vertAlign w:val="superscript"/>
    </w:rPr>
  </w:style>
  <w:style w:type="character" w:styleId="EndnoteCharacters">
    <w:name w:val="Endnote Characters"/>
    <w:basedOn w:val="DefaultParagraphFont"/>
    <w:uiPriority w:val="99"/>
    <w:semiHidden/>
    <w:unhideWhenUsed/>
    <w:qFormat/>
    <w:rsid w:val="00ea1cde"/>
    <w:rPr>
      <w:vertAlign w:val="superscript"/>
    </w:rPr>
  </w:style>
  <w:style w:type="character" w:styleId="Tekst115Znak" w:customStyle="1">
    <w:name w:val=".Tekst 1.15 Znak"/>
    <w:link w:val="Tekst115"/>
    <w:qFormat/>
    <w:rsid w:val="00903234"/>
    <w:rPr>
      <w:rFonts w:ascii="Arial Narrow" w:hAnsi="Arial Narrow" w:eastAsia="Calibri" w:cs="Times New Roman"/>
      <w:sz w:val="24"/>
      <w:szCs w:val="24"/>
    </w:rPr>
  </w:style>
  <w:style w:type="character" w:styleId="TekstprzypisudolnegoZnak" w:customStyle="1">
    <w:name w:val="Tekst przypisu dolnego Znak"/>
    <w:basedOn w:val="DefaultParagraphFont"/>
    <w:link w:val="Tekstprzypisudolnego"/>
    <w:uiPriority w:val="99"/>
    <w:semiHidden/>
    <w:qFormat/>
    <w:rsid w:val="0040233b"/>
    <w:rPr>
      <w:sz w:val="20"/>
      <w:szCs w:val="20"/>
    </w:rPr>
  </w:style>
  <w:style w:type="character" w:styleId="Zakotwiczenieprzypisudolnego">
    <w:name w:val="Zakotwiczenie przypisu dolnego"/>
    <w:rPr>
      <w:vertAlign w:val="superscript"/>
    </w:rPr>
  </w:style>
  <w:style w:type="character" w:styleId="FootnoteCharacters">
    <w:name w:val="Footnote Characters"/>
    <w:basedOn w:val="DefaultParagraphFont"/>
    <w:qFormat/>
    <w:rsid w:val="0040233b"/>
    <w:rPr>
      <w:vertAlign w:val="superscript"/>
    </w:rPr>
  </w:style>
  <w:style w:type="character" w:styleId="Odwiedzoneczeinternetowe">
    <w:name w:val="Odwiedzone łącze internetowe"/>
    <w:basedOn w:val="DefaultParagraphFont"/>
    <w:uiPriority w:val="99"/>
    <w:semiHidden/>
    <w:unhideWhenUsed/>
    <w:rsid w:val="00f7434b"/>
    <w:rPr>
      <w:color w:val="954F72"/>
      <w:u w:val="single"/>
    </w:rPr>
  </w:style>
  <w:style w:type="character" w:styleId="UnresolvedMention">
    <w:name w:val="Unresolved Mention"/>
    <w:basedOn w:val="DefaultParagraphFont"/>
    <w:uiPriority w:val="99"/>
    <w:semiHidden/>
    <w:unhideWhenUsed/>
    <w:qFormat/>
    <w:rsid w:val="004b1586"/>
    <w:rPr>
      <w:color w:val="605E5C"/>
      <w:shd w:fill="E1DFDD" w:val="clear"/>
    </w:rPr>
  </w:style>
  <w:style w:type="character" w:styleId="TekstpodstawowyZnak" w:customStyle="1">
    <w:name w:val="Tekst podstawowy Znak"/>
    <w:basedOn w:val="DefaultParagraphFont"/>
    <w:link w:val="Tekstpodstawowy"/>
    <w:semiHidden/>
    <w:qFormat/>
    <w:rsid w:val="00fa4b06"/>
    <w:rPr>
      <w:rFonts w:ascii="Times New Roman" w:hAnsi="Times New Roman" w:eastAsia="Times New Roman" w:cs="Times New Roman"/>
      <w:kern w:val="2"/>
      <w:sz w:val="24"/>
      <w:szCs w:val="24"/>
      <w:lang w:eastAsia="ar-SA"/>
    </w:rPr>
  </w:style>
  <w:style w:type="character" w:styleId="Textcenter" w:customStyle="1">
    <w:name w:val="text-center"/>
    <w:basedOn w:val="DefaultParagraphFont"/>
    <w:qFormat/>
    <w:rsid w:val="00e154ed"/>
    <w:rPr/>
  </w:style>
  <w:style w:type="character" w:styleId="Albs" w:customStyle="1">
    <w:name w:val="a_lb-s"/>
    <w:basedOn w:val="DefaultParagraphFont"/>
    <w:qFormat/>
    <w:rsid w:val="00e154ed"/>
    <w:rPr/>
  </w:style>
  <w:style w:type="character" w:styleId="Czeindeksu">
    <w:name w:val="Łącze indeksu"/>
    <w:qFormat/>
    <w:rPr/>
  </w:style>
  <w:style w:type="character" w:styleId="Mocnewyrnione">
    <w:name w:val="Mocne wyróżnione"/>
    <w:qFormat/>
    <w:rPr>
      <w:b/>
      <w:bCs/>
    </w:rPr>
  </w:style>
  <w:style w:type="character" w:styleId="Znakiwypunktowania">
    <w:name w:val="Znaki wypunktowania"/>
    <w:qFormat/>
    <w:rPr>
      <w:rFonts w:ascii="OpenSymbol" w:hAnsi="OpenSymbol" w:eastAsia="OpenSymbol" w:cs="OpenSymbol"/>
    </w:rPr>
  </w:style>
  <w:style w:type="paragraph" w:styleId="Nagwek">
    <w:name w:val="Nagłówek"/>
    <w:basedOn w:val="Normal"/>
    <w:next w:val="Tretekstu"/>
    <w:qFormat/>
    <w:pPr>
      <w:keepNext w:val="true"/>
      <w:spacing w:before="240" w:after="120"/>
    </w:pPr>
    <w:rPr>
      <w:rFonts w:ascii="Liberation Sans" w:hAnsi="Liberation Sans" w:eastAsia="Microsoft YaHei" w:cs="Arial"/>
      <w:sz w:val="28"/>
      <w:szCs w:val="28"/>
    </w:rPr>
  </w:style>
  <w:style w:type="paragraph" w:styleId="Tretekstu">
    <w:name w:val="Body Text"/>
    <w:basedOn w:val="Normal"/>
    <w:link w:val="TekstpodstawowyZnak"/>
    <w:semiHidden/>
    <w:unhideWhenUsed/>
    <w:rsid w:val="00fa4b06"/>
    <w:pPr>
      <w:suppressAutoHyphens w:val="true"/>
      <w:spacing w:lineRule="auto" w:line="240" w:before="0" w:after="120"/>
      <w:jc w:val="left"/>
    </w:pPr>
    <w:rPr>
      <w:rFonts w:ascii="Times New Roman" w:hAnsi="Times New Roman" w:eastAsia="Times New Roman" w:cs="Times New Roman"/>
      <w:kern w:val="2"/>
      <w:sz w:val="24"/>
      <w:szCs w:val="24"/>
      <w:lang w:eastAsia="ar-SA"/>
    </w:rPr>
  </w:style>
  <w:style w:type="paragraph" w:styleId="Lista">
    <w:name w:val="List"/>
    <w:basedOn w:val="Tretekstu"/>
    <w:pPr/>
    <w:rPr>
      <w:rFonts w:cs="Arial"/>
    </w:rPr>
  </w:style>
  <w:style w:type="paragraph" w:styleId="Podpis">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pPr>
    <w:rPr>
      <w:rFonts w:cs="Arial"/>
      <w:lang w:val="zxx" w:eastAsia="zxx" w:bidi="zxx"/>
    </w:rPr>
  </w:style>
  <w:style w:type="paragraph" w:styleId="Stopkanrstrony" w:customStyle="1">
    <w:name w:val="Stopka - nr strony"/>
    <w:basedOn w:val="Normal"/>
    <w:next w:val="Normal"/>
    <w:qFormat/>
    <w:rsid w:val="00565f9b"/>
    <w:pPr>
      <w:spacing w:lineRule="auto" w:line="240"/>
      <w:jc w:val="center"/>
    </w:pPr>
    <w:rPr>
      <w:rFonts w:ascii="Times New Roman" w:hAnsi="Times New Roman"/>
      <w:sz w:val="20"/>
    </w:rPr>
  </w:style>
  <w:style w:type="paragraph" w:styleId="Wypunktowanie" w:customStyle="1">
    <w:name w:val="wypunktowanie"/>
    <w:basedOn w:val="Normal"/>
    <w:next w:val="Normal"/>
    <w:qFormat/>
    <w:rsid w:val="008968b6"/>
    <w:pPr>
      <w:numPr>
        <w:ilvl w:val="0"/>
        <w:numId w:val="2"/>
      </w:numPr>
      <w:spacing w:before="0" w:after="0"/>
    </w:pPr>
    <w:rPr/>
  </w:style>
  <w:style w:type="paragraph" w:styleId="TOCHeading">
    <w:name w:val="TOC Heading"/>
    <w:basedOn w:val="Nagwekindeksu"/>
    <w:next w:val="Normal"/>
    <w:uiPriority w:val="39"/>
    <w:unhideWhenUsed/>
    <w:qFormat/>
    <w:rsid w:val="006e77bf"/>
    <w:pPr>
      <w:numPr>
        <w:ilvl w:val="0"/>
        <w:numId w:val="0"/>
      </w:numPr>
      <w:suppressLineNumbers/>
      <w:ind w:left="0" w:hanging="0"/>
    </w:pPr>
    <w:rPr>
      <w:b/>
      <w:bCs/>
      <w:sz w:val="32"/>
      <w:szCs w:val="32"/>
    </w:rPr>
  </w:style>
  <w:style w:type="paragraph" w:styleId="Nagwekindeksu">
    <w:name w:val="Index Heading"/>
    <w:basedOn w:val="Nagwek"/>
    <w:pPr>
      <w:suppressLineNumbers/>
      <w:ind w:left="0" w:hanging="0"/>
    </w:pPr>
    <w:rPr>
      <w:b/>
      <w:bCs/>
      <w:sz w:val="32"/>
      <w:szCs w:val="32"/>
    </w:rPr>
  </w:style>
  <w:style w:type="paragraph" w:styleId="Spistreci1">
    <w:name w:val="TOC 1"/>
    <w:basedOn w:val="Normal"/>
    <w:next w:val="Normal"/>
    <w:autoRedefine/>
    <w:uiPriority w:val="39"/>
    <w:rsid w:val="00b71e3c"/>
    <w:pPr>
      <w:tabs>
        <w:tab w:val="clear" w:pos="708"/>
        <w:tab w:val="left" w:pos="142" w:leader="none"/>
        <w:tab w:val="left" w:pos="426" w:leader="none"/>
        <w:tab w:val="right" w:pos="9062" w:leader="dot"/>
      </w:tabs>
      <w:spacing w:before="0" w:after="0"/>
    </w:pPr>
    <w:rPr>
      <w:b/>
      <w:bCs/>
    </w:rPr>
  </w:style>
  <w:style w:type="paragraph" w:styleId="Spistreci2">
    <w:name w:val="TOC 2"/>
    <w:basedOn w:val="Normal"/>
    <w:next w:val="Normal"/>
    <w:autoRedefine/>
    <w:uiPriority w:val="39"/>
    <w:rsid w:val="00ca68a5"/>
    <w:pPr>
      <w:tabs>
        <w:tab w:val="clear" w:pos="708"/>
        <w:tab w:val="left" w:pos="284" w:leader="none"/>
        <w:tab w:val="left" w:pos="709" w:leader="none"/>
        <w:tab w:val="right" w:pos="9062" w:leader="dot"/>
      </w:tabs>
      <w:spacing w:before="0" w:after="0"/>
      <w:ind w:left="284" w:hanging="284"/>
    </w:pPr>
    <w:rPr>
      <w:sz w:val="20"/>
    </w:rPr>
  </w:style>
  <w:style w:type="paragraph" w:styleId="Spistreci3">
    <w:name w:val="TOC 3"/>
    <w:basedOn w:val="Normal"/>
    <w:next w:val="Normal"/>
    <w:autoRedefine/>
    <w:uiPriority w:val="39"/>
    <w:rsid w:val="00036241"/>
    <w:pPr>
      <w:tabs>
        <w:tab w:val="clear" w:pos="708"/>
        <w:tab w:val="left" w:pos="1929" w:leader="none"/>
        <w:tab w:val="right" w:pos="9062" w:leader="dot"/>
      </w:tabs>
      <w:spacing w:before="0" w:after="0"/>
      <w:ind w:left="1134" w:hanging="0"/>
    </w:pPr>
    <w:rPr>
      <w:sz w:val="18"/>
    </w:rPr>
  </w:style>
  <w:style w:type="paragraph" w:styleId="Wypunktowanie2" w:customStyle="1">
    <w:name w:val="wypunktowanie 2"/>
    <w:basedOn w:val="Wypunktowanie"/>
    <w:qFormat/>
    <w:rsid w:val="00152f50"/>
    <w:pPr>
      <w:numPr>
        <w:ilvl w:val="0"/>
        <w:numId w:val="3"/>
      </w:numPr>
    </w:pPr>
    <w:rPr/>
  </w:style>
  <w:style w:type="paragraph" w:styleId="Gwkaistopka">
    <w:name w:val="Główka i stopka"/>
    <w:basedOn w:val="Normal"/>
    <w:qFormat/>
    <w:pPr/>
    <w:rPr/>
  </w:style>
  <w:style w:type="paragraph" w:styleId="Stopka">
    <w:name w:val="Footer"/>
    <w:basedOn w:val="Normal"/>
    <w:link w:val="StopkaZnak"/>
    <w:uiPriority w:val="99"/>
    <w:rsid w:val="00565f9b"/>
    <w:pPr>
      <w:tabs>
        <w:tab w:val="clear" w:pos="708"/>
        <w:tab w:val="center" w:pos="4536" w:leader="none"/>
        <w:tab w:val="right" w:pos="9072" w:leader="none"/>
      </w:tabs>
      <w:jc w:val="center"/>
    </w:pPr>
    <w:rPr>
      <w:i/>
      <w:sz w:val="14"/>
    </w:rPr>
  </w:style>
  <w:style w:type="paragraph" w:styleId="BalloonText">
    <w:name w:val="Balloon Text"/>
    <w:basedOn w:val="Normal"/>
    <w:link w:val="TekstdymkaZnak"/>
    <w:uiPriority w:val="99"/>
    <w:semiHidden/>
    <w:unhideWhenUsed/>
    <w:qFormat/>
    <w:rsid w:val="00565f9b"/>
    <w:pPr>
      <w:spacing w:lineRule="auto" w:line="240" w:before="0" w:after="0"/>
    </w:pPr>
    <w:rPr>
      <w:rFonts w:cs="Tahoma"/>
      <w:sz w:val="16"/>
      <w:szCs w:val="16"/>
    </w:rPr>
  </w:style>
  <w:style w:type="paragraph" w:styleId="Gwka">
    <w:name w:val="Header"/>
    <w:basedOn w:val="Normal"/>
    <w:link w:val="NagwekZnak"/>
    <w:uiPriority w:val="99"/>
    <w:unhideWhenUsed/>
    <w:rsid w:val="001d7f8b"/>
    <w:pPr>
      <w:tabs>
        <w:tab w:val="clear" w:pos="708"/>
        <w:tab w:val="center" w:pos="4536" w:leader="none"/>
        <w:tab w:val="right" w:pos="9072" w:leader="none"/>
      </w:tabs>
      <w:spacing w:lineRule="auto" w:line="240" w:before="0" w:after="0"/>
    </w:pPr>
    <w:rPr/>
  </w:style>
  <w:style w:type="paragraph" w:styleId="Tabelki" w:customStyle="1">
    <w:name w:val="tabelki"/>
    <w:basedOn w:val="Normal"/>
    <w:link w:val="tabelkiZnak"/>
    <w:qFormat/>
    <w:rsid w:val="0017364f"/>
    <w:pPr>
      <w:spacing w:lineRule="auto" w:line="240" w:before="0" w:after="0"/>
    </w:pPr>
    <w:rPr>
      <w:szCs w:val="24"/>
    </w:rPr>
  </w:style>
  <w:style w:type="paragraph" w:styleId="Numerowanie" w:customStyle="1">
    <w:name w:val="Numerowanie"/>
    <w:basedOn w:val="Normal"/>
    <w:next w:val="Normal"/>
    <w:qFormat/>
    <w:rsid w:val="00fd61d0"/>
    <w:pPr>
      <w:numPr>
        <w:ilvl w:val="0"/>
        <w:numId w:val="4"/>
      </w:numPr>
      <w:tabs>
        <w:tab w:val="clear" w:pos="708"/>
        <w:tab w:val="left" w:pos="1134" w:leader="none"/>
      </w:tabs>
      <w:ind w:left="709" w:hanging="0"/>
    </w:pPr>
    <w:rPr>
      <w:rFonts w:ascii="Times New Roman" w:hAnsi="Times New Roman"/>
    </w:rPr>
  </w:style>
  <w:style w:type="paragraph" w:styleId="Normalnycytat" w:customStyle="1">
    <w:name w:val="Normalny - cytat"/>
    <w:basedOn w:val="Normal"/>
    <w:next w:val="Normal"/>
    <w:qFormat/>
    <w:rsid w:val="00fd61d0"/>
    <w:pPr/>
    <w:rPr>
      <w:rFonts w:ascii="Century Gothic" w:hAnsi="Century Gothic"/>
      <w:i/>
    </w:rPr>
  </w:style>
  <w:style w:type="paragraph" w:styleId="ListParagraph">
    <w:name w:val="List Paragraph"/>
    <w:basedOn w:val="Normal"/>
    <w:uiPriority w:val="34"/>
    <w:qFormat/>
    <w:rsid w:val="00e37f7d"/>
    <w:pPr>
      <w:spacing w:before="0" w:after="160"/>
      <w:ind w:left="720" w:hanging="0"/>
      <w:contextualSpacing/>
    </w:pPr>
    <w:rPr/>
  </w:style>
  <w:style w:type="paragraph" w:styleId="Annotationtext">
    <w:name w:val="annotation text"/>
    <w:basedOn w:val="Normal"/>
    <w:link w:val="TekstkomentarzaZnak"/>
    <w:uiPriority w:val="99"/>
    <w:semiHidden/>
    <w:unhideWhenUsed/>
    <w:qFormat/>
    <w:rsid w:val="00e30944"/>
    <w:pPr>
      <w:spacing w:lineRule="auto" w:line="240"/>
    </w:pPr>
    <w:rPr>
      <w:sz w:val="20"/>
      <w:szCs w:val="20"/>
    </w:rPr>
  </w:style>
  <w:style w:type="paragraph" w:styleId="Annotationsubject">
    <w:name w:val="annotation subject"/>
    <w:basedOn w:val="Annotationtext"/>
    <w:next w:val="Annotationtext"/>
    <w:link w:val="TematkomentarzaZnak"/>
    <w:uiPriority w:val="99"/>
    <w:semiHidden/>
    <w:unhideWhenUsed/>
    <w:qFormat/>
    <w:rsid w:val="00e30944"/>
    <w:pPr/>
    <w:rPr>
      <w:b/>
      <w:bCs/>
    </w:rPr>
  </w:style>
  <w:style w:type="paragraph" w:styleId="PUNKTORY" w:customStyle="1">
    <w:name w:val="PUNKTORY"/>
    <w:basedOn w:val="ListParagraph"/>
    <w:link w:val="PUNKTORYZnak"/>
    <w:qFormat/>
    <w:rsid w:val="001c5a1f"/>
    <w:pPr>
      <w:numPr>
        <w:ilvl w:val="0"/>
        <w:numId w:val="5"/>
      </w:numPr>
      <w:tabs>
        <w:tab w:val="clear" w:pos="708"/>
        <w:tab w:val="left" w:pos="720" w:leader="none"/>
      </w:tabs>
      <w:spacing w:before="0" w:after="0"/>
      <w:contextualSpacing/>
    </w:pPr>
    <w:rPr>
      <w:rFonts w:cs="Tahoma"/>
    </w:rPr>
  </w:style>
  <w:style w:type="paragraph" w:styleId="Caption">
    <w:name w:val="caption"/>
    <w:basedOn w:val="Normal"/>
    <w:next w:val="Normal"/>
    <w:uiPriority w:val="35"/>
    <w:semiHidden/>
    <w:unhideWhenUsed/>
    <w:qFormat/>
    <w:rsid w:val="006e77bf"/>
    <w:pPr>
      <w:spacing w:lineRule="auto" w:line="240" w:before="0" w:after="200"/>
    </w:pPr>
    <w:rPr>
      <w:i/>
      <w:iCs/>
      <w:color w:val="162F33" w:themeColor="text2"/>
      <w:sz w:val="18"/>
      <w:szCs w:val="18"/>
    </w:rPr>
  </w:style>
  <w:style w:type="paragraph" w:styleId="Tytu">
    <w:name w:val="Title"/>
    <w:basedOn w:val="Wypunktowanie"/>
    <w:next w:val="Normal"/>
    <w:link w:val="TytuZnak"/>
    <w:uiPriority w:val="10"/>
    <w:qFormat/>
    <w:rsid w:val="003a06c6"/>
    <w:pPr/>
    <w:rPr/>
  </w:style>
  <w:style w:type="paragraph" w:styleId="Podtytu">
    <w:name w:val="Subtitle"/>
    <w:basedOn w:val="Normal"/>
    <w:next w:val="Normal"/>
    <w:link w:val="PodtytuZnak"/>
    <w:uiPriority w:val="11"/>
    <w:qFormat/>
    <w:rsid w:val="006e77bf"/>
    <w:pPr/>
    <w:rPr>
      <w:color w:val="5A5A5A" w:themeColor="text1" w:themeTint="a5"/>
      <w:spacing w:val="10"/>
    </w:rPr>
  </w:style>
  <w:style w:type="paragraph" w:styleId="NoSpacing">
    <w:name w:val="No Spacing"/>
    <w:uiPriority w:val="1"/>
    <w:qFormat/>
    <w:rsid w:val="006e77bf"/>
    <w:pPr>
      <w:widowControl/>
      <w:suppressAutoHyphens w:val="true"/>
      <w:bidi w:val="0"/>
      <w:spacing w:lineRule="auto" w:line="240" w:before="0" w:after="0"/>
      <w:jc w:val="left"/>
    </w:pPr>
    <w:rPr>
      <w:rFonts w:ascii="Cambria" w:hAnsi="Cambria" w:eastAsia="" w:cs="" w:asciiTheme="minorHAnsi" w:cstheme="minorBidi" w:eastAsiaTheme="minorEastAsia" w:hAnsiTheme="minorHAnsi"/>
      <w:color w:val="auto"/>
      <w:kern w:val="0"/>
      <w:sz w:val="22"/>
      <w:szCs w:val="22"/>
      <w:lang w:val="pl-PL" w:eastAsia="en-US" w:bidi="ar-SA"/>
    </w:rPr>
  </w:style>
  <w:style w:type="paragraph" w:styleId="Quote">
    <w:name w:val="Quote"/>
    <w:basedOn w:val="Normal"/>
    <w:next w:val="Normal"/>
    <w:link w:val="CytatZnak"/>
    <w:uiPriority w:val="29"/>
    <w:qFormat/>
    <w:rsid w:val="006e77bf"/>
    <w:pPr>
      <w:spacing w:before="160" w:after="160"/>
      <w:ind w:left="720" w:right="720" w:hanging="0"/>
    </w:pPr>
    <w:rPr>
      <w:i/>
      <w:iCs/>
      <w:color w:val="000000" w:themeColor="text1"/>
    </w:rPr>
  </w:style>
  <w:style w:type="paragraph" w:styleId="IntenseQuote">
    <w:name w:val="Intense Quote"/>
    <w:basedOn w:val="Normal"/>
    <w:next w:val="Normal"/>
    <w:link w:val="CytatintensywnyZnak"/>
    <w:uiPriority w:val="30"/>
    <w:qFormat/>
    <w:rsid w:val="006e77bf"/>
    <w:pPr>
      <w:pBdr>
        <w:top w:val="single" w:sz="24" w:space="1" w:color="F2F2F2"/>
        <w:bottom w:val="single" w:sz="24" w:space="1" w:color="F2F2F2"/>
      </w:pBdr>
      <w:shd w:val="clear" w:color="auto" w:fill="F2F2F2" w:themeFill="background1" w:themeFillShade="f2"/>
      <w:spacing w:before="240" w:after="240"/>
      <w:ind w:left="936" w:right="936" w:hanging="0"/>
      <w:jc w:val="center"/>
    </w:pPr>
    <w:rPr>
      <w:color w:val="000000" w:themeColor="text1"/>
    </w:rPr>
  </w:style>
  <w:style w:type="paragraph" w:styleId="Standard" w:customStyle="1">
    <w:name w:val="Standard"/>
    <w:qFormat/>
    <w:rsid w:val="00b813a4"/>
    <w:pPr>
      <w:widowControl/>
      <w:suppressAutoHyphens w:val="true"/>
      <w:bidi w:val="0"/>
      <w:spacing w:lineRule="auto" w:line="360" w:before="120" w:after="0"/>
      <w:jc w:val="left"/>
      <w:textAlignment w:val="baseline"/>
    </w:pPr>
    <w:rPr>
      <w:rFonts w:ascii="Arial" w:hAnsi="Arial" w:eastAsia="Times New Roman" w:cs="Arial"/>
      <w:color w:val="auto"/>
      <w:kern w:val="2"/>
      <w:sz w:val="22"/>
      <w:szCs w:val="22"/>
      <w:lang w:val="pl-PL" w:eastAsia="zh-CN" w:bidi="ar-SA"/>
    </w:rPr>
  </w:style>
  <w:style w:type="paragraph" w:styleId="Normalnypierwszyakapit" w:customStyle="1">
    <w:name w:val="Normalny pierwszy akapit"/>
    <w:basedOn w:val="Standard"/>
    <w:qFormat/>
    <w:rsid w:val="00b813a4"/>
    <w:pPr/>
    <w:rPr/>
  </w:style>
  <w:style w:type="paragraph" w:styleId="Przypiskocowy">
    <w:name w:val="Endnote Text"/>
    <w:basedOn w:val="Normal"/>
    <w:link w:val="TekstprzypisukocowegoZnak"/>
    <w:uiPriority w:val="99"/>
    <w:semiHidden/>
    <w:unhideWhenUsed/>
    <w:rsid w:val="00ea1cde"/>
    <w:pPr>
      <w:spacing w:lineRule="auto" w:line="240" w:before="0" w:after="0"/>
    </w:pPr>
    <w:rPr>
      <w:sz w:val="20"/>
      <w:szCs w:val="20"/>
    </w:rPr>
  </w:style>
  <w:style w:type="paragraph" w:styleId="Tekst115" w:customStyle="1">
    <w:name w:val=".Tekst 1.15"/>
    <w:basedOn w:val="Normal"/>
    <w:link w:val="Tekst115Znak"/>
    <w:qFormat/>
    <w:rsid w:val="00903234"/>
    <w:pPr>
      <w:spacing w:before="0" w:after="0"/>
      <w:ind w:firstLine="397"/>
    </w:pPr>
    <w:rPr>
      <w:rFonts w:ascii="Arial Narrow" w:hAnsi="Arial Narrow" w:eastAsia="Calibri" w:cs="Times New Roman"/>
      <w:sz w:val="24"/>
      <w:szCs w:val="24"/>
    </w:rPr>
  </w:style>
  <w:style w:type="paragraph" w:styleId="Przypisdolny">
    <w:name w:val="Footnote Text"/>
    <w:basedOn w:val="Normal"/>
    <w:link w:val="TekstprzypisudolnegoZnak"/>
    <w:uiPriority w:val="99"/>
    <w:semiHidden/>
    <w:unhideWhenUsed/>
    <w:rsid w:val="0040233b"/>
    <w:pPr>
      <w:spacing w:lineRule="auto" w:line="240" w:before="0" w:after="0"/>
    </w:pPr>
    <w:rPr>
      <w:sz w:val="20"/>
      <w:szCs w:val="20"/>
    </w:rPr>
  </w:style>
  <w:style w:type="paragraph" w:styleId="Msonormal" w:customStyle="1">
    <w:name w:val="msonormal"/>
    <w:basedOn w:val="Normal"/>
    <w:qFormat/>
    <w:rsid w:val="00f7434b"/>
    <w:pPr>
      <w:spacing w:lineRule="auto" w:line="240" w:beforeAutospacing="1" w:afterAutospacing="1"/>
      <w:jc w:val="left"/>
    </w:pPr>
    <w:rPr>
      <w:rFonts w:ascii="Times New Roman" w:hAnsi="Times New Roman" w:eastAsia="Times New Roman" w:cs="Times New Roman"/>
      <w:sz w:val="24"/>
      <w:szCs w:val="24"/>
      <w:lang w:eastAsia="pl-PL"/>
    </w:rPr>
  </w:style>
  <w:style w:type="paragraph" w:styleId="Xl69" w:customStyle="1">
    <w:name w:val="xl69"/>
    <w:basedOn w:val="Normal"/>
    <w:qFormat/>
    <w:rsid w:val="00f7434b"/>
    <w:pPr>
      <w:pBdr>
        <w:top w:val="single" w:sz="4" w:space="0" w:color="000000"/>
        <w:left w:val="single" w:sz="4" w:space="0" w:color="000000"/>
        <w:bottom w:val="single" w:sz="4" w:space="0" w:color="000000"/>
        <w:right w:val="single" w:sz="4" w:space="0" w:color="000000"/>
      </w:pBdr>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70" w:customStyle="1">
    <w:name w:val="xl70"/>
    <w:basedOn w:val="Normal"/>
    <w:qFormat/>
    <w:rsid w:val="00f7434b"/>
    <w:pPr>
      <w:pBdr>
        <w:top w:val="single" w:sz="4" w:space="0" w:color="000000"/>
        <w:left w:val="single" w:sz="4" w:space="0" w:color="000000"/>
        <w:bottom w:val="single" w:sz="4" w:space="0" w:color="000000"/>
        <w:right w:val="single" w:sz="4" w:space="0" w:color="000000"/>
      </w:pBdr>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71" w:customStyle="1">
    <w:name w:val="xl71"/>
    <w:basedOn w:val="Normal"/>
    <w:qFormat/>
    <w:rsid w:val="00f7434b"/>
    <w:pPr>
      <w:pBdr>
        <w:top w:val="single" w:sz="4" w:space="0" w:color="000000"/>
        <w:left w:val="single" w:sz="4" w:space="0" w:color="000000"/>
        <w:bottom w:val="single" w:sz="4" w:space="0" w:color="000000"/>
        <w:right w:val="single" w:sz="4" w:space="0" w:color="000000"/>
      </w:pBdr>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72" w:customStyle="1">
    <w:name w:val="xl72"/>
    <w:basedOn w:val="Normal"/>
    <w:qFormat/>
    <w:rsid w:val="00f7434b"/>
    <w:pPr>
      <w:pBdr>
        <w:top w:val="single" w:sz="4" w:space="0" w:color="000000"/>
        <w:left w:val="single" w:sz="4" w:space="0" w:color="000000"/>
        <w:bottom w:val="single" w:sz="4" w:space="0" w:color="000000"/>
        <w:right w:val="single" w:sz="4" w:space="0" w:color="000000"/>
      </w:pBdr>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73" w:customStyle="1">
    <w:name w:val="xl73"/>
    <w:basedOn w:val="Normal"/>
    <w:qFormat/>
    <w:rsid w:val="00f7434b"/>
    <w:pPr>
      <w:pBdr>
        <w:top w:val="single" w:sz="4" w:space="0" w:color="000000"/>
        <w:left w:val="single" w:sz="4" w:space="0" w:color="000000"/>
        <w:bottom w:val="single" w:sz="4" w:space="0" w:color="000000"/>
        <w:right w:val="single" w:sz="4" w:space="0" w:color="000000"/>
      </w:pBdr>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74" w:customStyle="1">
    <w:name w:val="xl74"/>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75" w:customStyle="1">
    <w:name w:val="xl75"/>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76" w:customStyle="1">
    <w:name w:val="xl76"/>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77" w:customStyle="1">
    <w:name w:val="xl77"/>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78" w:customStyle="1">
    <w:name w:val="xl78"/>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79" w:customStyle="1">
    <w:name w:val="xl79"/>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80" w:customStyle="1">
    <w:name w:val="xl80"/>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81" w:customStyle="1">
    <w:name w:val="xl81"/>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82" w:customStyle="1">
    <w:name w:val="xl82"/>
    <w:basedOn w:val="Normal"/>
    <w:qFormat/>
    <w:rsid w:val="00f7434b"/>
    <w:pPr>
      <w:pBdr>
        <w:top w:val="single" w:sz="4" w:space="0" w:color="000000"/>
        <w:left w:val="single" w:sz="4" w:space="0" w:color="000000"/>
        <w:bottom w:val="single" w:sz="4" w:space="0" w:color="000000"/>
        <w:right w:val="single" w:sz="4" w:space="0" w:color="000000"/>
      </w:pBdr>
      <w:shd w:val="clear" w:color="FFCC99" w:fill="FFCC99"/>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83" w:customStyle="1">
    <w:name w:val="xl83"/>
    <w:basedOn w:val="Normal"/>
    <w:qFormat/>
    <w:rsid w:val="00f7434b"/>
    <w:pPr>
      <w:pBdr>
        <w:top w:val="single" w:sz="4" w:space="0" w:color="000000"/>
        <w:left w:val="single" w:sz="4" w:space="0" w:color="000000"/>
        <w:bottom w:val="single" w:sz="4" w:space="0" w:color="000000"/>
        <w:right w:val="single" w:sz="4" w:space="0" w:color="000000"/>
      </w:pBdr>
      <w:shd w:val="clear" w:color="FFCC99" w:fill="FFCC99"/>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84" w:customStyle="1">
    <w:name w:val="xl84"/>
    <w:basedOn w:val="Normal"/>
    <w:qFormat/>
    <w:rsid w:val="00f7434b"/>
    <w:pPr>
      <w:pBdr>
        <w:top w:val="single" w:sz="4" w:space="0" w:color="000000"/>
        <w:left w:val="single" w:sz="4" w:space="0" w:color="000000"/>
        <w:bottom w:val="single" w:sz="4" w:space="0" w:color="000000"/>
        <w:right w:val="single" w:sz="4" w:space="0" w:color="000000"/>
      </w:pBdr>
      <w:shd w:val="clear" w:color="FFCC99" w:fill="FFCC99"/>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85" w:customStyle="1">
    <w:name w:val="xl85"/>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86" w:customStyle="1">
    <w:name w:val="xl86"/>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87" w:customStyle="1">
    <w:name w:val="xl87"/>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88" w:customStyle="1">
    <w:name w:val="xl88"/>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89" w:customStyle="1">
    <w:name w:val="xl89"/>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90" w:customStyle="1">
    <w:name w:val="xl90"/>
    <w:basedOn w:val="Normal"/>
    <w:qFormat/>
    <w:rsid w:val="00f7434b"/>
    <w:pPr>
      <w:pBdr>
        <w:top w:val="single" w:sz="4" w:space="0" w:color="000000"/>
        <w:left w:val="single" w:sz="4" w:space="0" w:color="000000"/>
        <w:bottom w:val="single" w:sz="4" w:space="0" w:color="000000"/>
        <w:right w:val="single" w:sz="4" w:space="0" w:color="000000"/>
      </w:pBdr>
      <w:shd w:val="clear" w:color="FFFFCC" w:fill="FFFFCC"/>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91" w:customStyle="1">
    <w:name w:val="xl91"/>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92" w:customStyle="1">
    <w:name w:val="xl92"/>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93" w:customStyle="1">
    <w:name w:val="xl93"/>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94" w:customStyle="1">
    <w:name w:val="xl94"/>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95" w:customStyle="1">
    <w:name w:val="xl95"/>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96" w:customStyle="1">
    <w:name w:val="xl96"/>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97" w:customStyle="1">
    <w:name w:val="xl97"/>
    <w:basedOn w:val="Normal"/>
    <w:qFormat/>
    <w:rsid w:val="00f7434b"/>
    <w:pPr>
      <w:pBdr>
        <w:top w:val="single" w:sz="4" w:space="0" w:color="000000"/>
        <w:left w:val="single" w:sz="4" w:space="0" w:color="000000"/>
        <w:bottom w:val="single" w:sz="4" w:space="0" w:color="000000"/>
        <w:right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98" w:customStyle="1">
    <w:name w:val="xl98"/>
    <w:basedOn w:val="Normal"/>
    <w:qFormat/>
    <w:rsid w:val="00f7434b"/>
    <w:pPr>
      <w:pBdr>
        <w:top w:val="single" w:sz="4" w:space="0" w:color="000000"/>
        <w:left w:val="single" w:sz="4" w:space="0" w:color="000000"/>
        <w:bottom w:val="single" w:sz="4" w:space="0" w:color="000000"/>
        <w:right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99" w:customStyle="1">
    <w:name w:val="xl99"/>
    <w:basedOn w:val="Normal"/>
    <w:qFormat/>
    <w:rsid w:val="00f7434b"/>
    <w:pPr>
      <w:pBdr>
        <w:top w:val="single" w:sz="4" w:space="0" w:color="000000"/>
        <w:left w:val="single" w:sz="4" w:space="0" w:color="000000"/>
        <w:bottom w:val="single" w:sz="4" w:space="0" w:color="000000"/>
        <w:right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00" w:customStyle="1">
    <w:name w:val="xl100"/>
    <w:basedOn w:val="Normal"/>
    <w:qFormat/>
    <w:rsid w:val="00f7434b"/>
    <w:pPr>
      <w:pBdr>
        <w:top w:val="single" w:sz="4" w:space="0" w:color="000000"/>
        <w:left w:val="single" w:sz="4" w:space="0" w:color="000000"/>
        <w:bottom w:val="single" w:sz="4" w:space="0" w:color="000000"/>
        <w:right w:val="single" w:sz="4" w:space="0" w:color="000000"/>
      </w:pBdr>
      <w:shd w:val="clear" w:color="9BC2E6" w:fill="9BC2E6"/>
      <w:spacing w:lineRule="auto" w:line="240" w:beforeAutospacing="1" w:afterAutospacing="1"/>
      <w:jc w:val="left"/>
      <w:textAlignment w:val="center"/>
    </w:pPr>
    <w:rPr>
      <w:rFonts w:ascii="Times New Roman" w:hAnsi="Times New Roman" w:eastAsia="Times New Roman" w:cs="Times New Roman"/>
      <w:sz w:val="24"/>
      <w:szCs w:val="24"/>
      <w:lang w:eastAsia="pl-PL"/>
    </w:rPr>
  </w:style>
  <w:style w:type="paragraph" w:styleId="Xl101" w:customStyle="1">
    <w:name w:val="xl101"/>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02" w:customStyle="1">
    <w:name w:val="xl102"/>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03" w:customStyle="1">
    <w:name w:val="xl103"/>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04" w:customStyle="1">
    <w:name w:val="xl104"/>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05" w:customStyle="1">
    <w:name w:val="xl105"/>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106" w:customStyle="1">
    <w:name w:val="xl106"/>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107" w:customStyle="1">
    <w:name w:val="xl107"/>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08" w:customStyle="1">
    <w:name w:val="xl108"/>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109" w:customStyle="1">
    <w:name w:val="xl109"/>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10" w:customStyle="1">
    <w:name w:val="xl110"/>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11" w:customStyle="1">
    <w:name w:val="xl111"/>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12" w:customStyle="1">
    <w:name w:val="xl112"/>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13" w:customStyle="1">
    <w:name w:val="xl113"/>
    <w:basedOn w:val="Normal"/>
    <w:qFormat/>
    <w:rsid w:val="00f7434b"/>
    <w:pPr>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114" w:customStyle="1">
    <w:name w:val="xl114"/>
    <w:basedOn w:val="Normal"/>
    <w:qFormat/>
    <w:rsid w:val="00f7434b"/>
    <w:pPr>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115" w:customStyle="1">
    <w:name w:val="xl115"/>
    <w:basedOn w:val="Normal"/>
    <w:qFormat/>
    <w:rsid w:val="00f7434b"/>
    <w:pPr>
      <w:spacing w:lineRule="auto" w:line="240" w:beforeAutospacing="1" w:afterAutospacing="1"/>
      <w:jc w:val="center"/>
    </w:pPr>
    <w:rPr>
      <w:rFonts w:ascii="Times New Roman" w:hAnsi="Times New Roman" w:eastAsia="Times New Roman" w:cs="Times New Roman"/>
      <w:sz w:val="24"/>
      <w:szCs w:val="24"/>
      <w:lang w:eastAsia="pl-PL"/>
    </w:rPr>
  </w:style>
  <w:style w:type="paragraph" w:styleId="Xl116" w:customStyle="1">
    <w:name w:val="xl116"/>
    <w:basedOn w:val="Normal"/>
    <w:qFormat/>
    <w:rsid w:val="00f7434b"/>
    <w:pPr>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17" w:customStyle="1">
    <w:name w:val="xl117"/>
    <w:basedOn w:val="Normal"/>
    <w:qFormat/>
    <w:rsid w:val="00f7434b"/>
    <w:pPr>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18" w:customStyle="1">
    <w:name w:val="xl118"/>
    <w:basedOn w:val="Normal"/>
    <w:qFormat/>
    <w:rsid w:val="00f7434b"/>
    <w:pPr>
      <w:pBdr>
        <w:top w:val="single" w:sz="4" w:space="0" w:color="000000"/>
        <w:left w:val="single" w:sz="4" w:space="0" w:color="000000"/>
        <w:bottom w:val="single" w:sz="4" w:space="0" w:color="000000"/>
        <w:right w:val="single" w:sz="4" w:space="0" w:color="000000"/>
      </w:pBdr>
      <w:shd w:val="clear" w:color="7DC595" w:fill="7DC595"/>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19" w:customStyle="1">
    <w:name w:val="xl119"/>
    <w:basedOn w:val="Normal"/>
    <w:qFormat/>
    <w:rsid w:val="00f7434b"/>
    <w:pPr>
      <w:pBdr>
        <w:top w:val="single" w:sz="4" w:space="0" w:color="000000"/>
        <w:left w:val="single" w:sz="4" w:space="0" w:color="000000"/>
        <w:bottom w:val="single" w:sz="4" w:space="0" w:color="000000"/>
        <w:right w:val="single" w:sz="4" w:space="0" w:color="000000"/>
      </w:pBdr>
      <w:shd w:val="clear" w:color="CCFF99" w:fill="CCFF99"/>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20" w:customStyle="1">
    <w:name w:val="xl120"/>
    <w:basedOn w:val="Normal"/>
    <w:qFormat/>
    <w:rsid w:val="00f7434b"/>
    <w:pPr>
      <w:pBdr>
        <w:top w:val="single" w:sz="4" w:space="0" w:color="000000"/>
        <w:left w:val="single" w:sz="4" w:space="0" w:color="000000"/>
        <w:bottom w:val="single" w:sz="4" w:space="0" w:color="000000"/>
        <w:right w:val="single" w:sz="4" w:space="0" w:color="000000"/>
      </w:pBdr>
      <w:shd w:val="clear" w:color="53AB68" w:fill="53AB68"/>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21" w:customStyle="1">
    <w:name w:val="xl121"/>
    <w:basedOn w:val="Normal"/>
    <w:qFormat/>
    <w:rsid w:val="00f7434b"/>
    <w:pPr>
      <w:pBdr>
        <w:top w:val="single" w:sz="4" w:space="0" w:color="000000"/>
        <w:left w:val="single" w:sz="4" w:space="0" w:color="000000"/>
        <w:bottom w:val="single" w:sz="4" w:space="0" w:color="000000"/>
        <w:right w:val="single" w:sz="4" w:space="0" w:color="000000"/>
      </w:pBdr>
      <w:shd w:val="clear" w:color="7DC595" w:fill="7DC595"/>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22" w:customStyle="1">
    <w:name w:val="xl122"/>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23" w:customStyle="1">
    <w:name w:val="xl123"/>
    <w:basedOn w:val="Normal"/>
    <w:qFormat/>
    <w:rsid w:val="00f7434b"/>
    <w:pPr>
      <w:pBdr>
        <w:top w:val="single" w:sz="4" w:space="0" w:color="000000"/>
        <w:left w:val="single" w:sz="4" w:space="0" w:color="000000"/>
        <w:bottom w:val="single" w:sz="4" w:space="0" w:color="000000"/>
        <w:right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24" w:customStyle="1">
    <w:name w:val="xl124"/>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25" w:customStyle="1">
    <w:name w:val="xl125"/>
    <w:basedOn w:val="Normal"/>
    <w:qFormat/>
    <w:rsid w:val="00f7434b"/>
    <w:pPr>
      <w:pBdr>
        <w:top w:val="single" w:sz="4" w:space="0" w:color="000000"/>
        <w:left w:val="single" w:sz="4" w:space="0" w:color="000000"/>
        <w:bottom w:val="single" w:sz="4" w:space="0" w:color="000000"/>
        <w:right w:val="single" w:sz="4" w:space="0" w:color="000000"/>
      </w:pBdr>
      <w:shd w:val="clear" w:color="CCFFFF" w:fill="CCFFFF"/>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26" w:customStyle="1">
    <w:name w:val="xl126"/>
    <w:basedOn w:val="Normal"/>
    <w:qFormat/>
    <w:rsid w:val="00f7434b"/>
    <w:pPr>
      <w:pBdr>
        <w:top w:val="single" w:sz="4" w:space="0" w:color="000000"/>
        <w:left w:val="single" w:sz="4" w:space="0" w:color="000000"/>
        <w:bottom w:val="single" w:sz="4" w:space="0" w:color="000000"/>
        <w:right w:val="single" w:sz="4" w:space="0" w:color="000000"/>
      </w:pBdr>
      <w:shd w:val="clear" w:color="FFCC99" w:fill="FFCC99"/>
      <w:spacing w:lineRule="auto" w:line="240" w:beforeAutospacing="1" w:afterAutospacing="1"/>
      <w:jc w:val="center"/>
      <w:textAlignment w:val="center"/>
    </w:pPr>
    <w:rPr>
      <w:rFonts w:ascii="Times New Roman" w:hAnsi="Times New Roman" w:eastAsia="Times New Roman" w:cs="Times New Roman"/>
      <w:sz w:val="24"/>
      <w:szCs w:val="24"/>
      <w:lang w:eastAsia="pl-PL"/>
    </w:rPr>
  </w:style>
  <w:style w:type="paragraph" w:styleId="Xl127" w:customStyle="1">
    <w:name w:val="xl127"/>
    <w:basedOn w:val="Normal"/>
    <w:qFormat/>
    <w:rsid w:val="00f7434b"/>
    <w:pPr>
      <w:pBdr>
        <w:top w:val="single" w:sz="4" w:space="0" w:color="000000"/>
        <w:left w:val="single" w:sz="4" w:space="0" w:color="000000"/>
        <w:bottom w:val="single" w:sz="4" w:space="0" w:color="000000"/>
        <w:right w:val="single" w:sz="4" w:space="0" w:color="000000"/>
      </w:pBdr>
      <w:shd w:val="clear" w:color="FFCC99" w:fill="FFCC99"/>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28" w:customStyle="1">
    <w:name w:val="xl128"/>
    <w:basedOn w:val="Normal"/>
    <w:qFormat/>
    <w:rsid w:val="00f7434b"/>
    <w:pPr>
      <w:pBdr>
        <w:top w:val="single" w:sz="4" w:space="0" w:color="000000"/>
        <w:left w:val="single" w:sz="4" w:space="0" w:color="000000"/>
        <w:bottom w:val="single" w:sz="4" w:space="0" w:color="000000"/>
      </w:pBdr>
      <w:shd w:val="clear" w:color="FF9900" w:fill="FF9900"/>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29" w:customStyle="1">
    <w:name w:val="xl129"/>
    <w:basedOn w:val="Normal"/>
    <w:qFormat/>
    <w:rsid w:val="00f7434b"/>
    <w:pPr>
      <w:pBdr>
        <w:top w:val="single" w:sz="4" w:space="0" w:color="000000"/>
        <w:bottom w:val="single" w:sz="4" w:space="0" w:color="000000"/>
      </w:pBdr>
      <w:shd w:val="clear" w:color="FF9900" w:fill="FF9900"/>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0" w:customStyle="1">
    <w:name w:val="xl130"/>
    <w:basedOn w:val="Normal"/>
    <w:qFormat/>
    <w:rsid w:val="00f7434b"/>
    <w:pPr>
      <w:pBdr>
        <w:top w:val="single" w:sz="4" w:space="0" w:color="000000"/>
        <w:bottom w:val="single" w:sz="4" w:space="0" w:color="000000"/>
        <w:right w:val="single" w:sz="4" w:space="0" w:color="000000"/>
      </w:pBdr>
      <w:shd w:val="clear" w:color="FF9900" w:fill="FF9900"/>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1" w:customStyle="1">
    <w:name w:val="xl131"/>
    <w:basedOn w:val="Normal"/>
    <w:qFormat/>
    <w:rsid w:val="00f7434b"/>
    <w:pPr>
      <w:pBdr>
        <w:top w:val="single" w:sz="4" w:space="0" w:color="000000"/>
        <w:left w:val="single" w:sz="4" w:space="0" w:color="000000"/>
        <w:bottom w:val="single" w:sz="4" w:space="0" w:color="000000"/>
      </w:pBdr>
      <w:shd w:val="clear" w:color="FFD320" w:fill="FFD320"/>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2" w:customStyle="1">
    <w:name w:val="xl132"/>
    <w:basedOn w:val="Normal"/>
    <w:qFormat/>
    <w:rsid w:val="00f7434b"/>
    <w:pPr>
      <w:pBdr>
        <w:top w:val="single" w:sz="4" w:space="0" w:color="000000"/>
        <w:bottom w:val="single" w:sz="4" w:space="0" w:color="000000"/>
      </w:pBdr>
      <w:shd w:val="clear" w:color="FFD320" w:fill="FFD320"/>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3" w:customStyle="1">
    <w:name w:val="xl133"/>
    <w:basedOn w:val="Normal"/>
    <w:qFormat/>
    <w:rsid w:val="00f7434b"/>
    <w:pPr>
      <w:pBdr>
        <w:top w:val="single" w:sz="4" w:space="0" w:color="000000"/>
        <w:left w:val="single" w:sz="4" w:space="0" w:color="000000"/>
        <w:bottom w:val="single" w:sz="4" w:space="0" w:color="000000"/>
      </w:pBdr>
      <w:shd w:val="clear" w:color="C65911" w:fill="C65911"/>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4" w:customStyle="1">
    <w:name w:val="xl134"/>
    <w:basedOn w:val="Normal"/>
    <w:qFormat/>
    <w:rsid w:val="00f7434b"/>
    <w:pPr>
      <w:pBdr>
        <w:top w:val="single" w:sz="4" w:space="0" w:color="000000"/>
        <w:bottom w:val="single" w:sz="4" w:space="0" w:color="000000"/>
      </w:pBdr>
      <w:shd w:val="clear" w:color="C65911" w:fill="C65911"/>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5" w:customStyle="1">
    <w:name w:val="xl135"/>
    <w:basedOn w:val="Normal"/>
    <w:qFormat/>
    <w:rsid w:val="00f7434b"/>
    <w:pPr>
      <w:pBdr>
        <w:top w:val="single" w:sz="4" w:space="0" w:color="000000"/>
        <w:bottom w:val="single" w:sz="4" w:space="0" w:color="000000"/>
        <w:right w:val="single" w:sz="4" w:space="0" w:color="000000"/>
      </w:pBdr>
      <w:shd w:val="clear" w:color="C65911" w:fill="C65911"/>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36" w:customStyle="1">
    <w:name w:val="xl136"/>
    <w:basedOn w:val="Normal"/>
    <w:qFormat/>
    <w:rsid w:val="00f7434b"/>
    <w:pPr>
      <w:pBdr>
        <w:top w:val="single" w:sz="4" w:space="0" w:color="000000"/>
        <w:left w:val="single" w:sz="4" w:space="0" w:color="000000"/>
        <w:bottom w:val="single" w:sz="4" w:space="0" w:color="000000"/>
      </w:pBdr>
      <w:shd w:val="clear" w:color="9BC2E6" w:fill="9BC2E6"/>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37" w:customStyle="1">
    <w:name w:val="xl137"/>
    <w:basedOn w:val="Normal"/>
    <w:qFormat/>
    <w:rsid w:val="00f7434b"/>
    <w:pPr>
      <w:pBdr>
        <w:top w:val="single" w:sz="4" w:space="0" w:color="000000"/>
        <w:bottom w:val="single" w:sz="4" w:space="0" w:color="000000"/>
      </w:pBdr>
      <w:shd w:val="clear" w:color="9BC2E6" w:fill="9BC2E6"/>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38" w:customStyle="1">
    <w:name w:val="xl138"/>
    <w:basedOn w:val="Normal"/>
    <w:qFormat/>
    <w:rsid w:val="00f7434b"/>
    <w:pPr>
      <w:pBdr>
        <w:top w:val="single" w:sz="4" w:space="0" w:color="000000"/>
        <w:bottom w:val="single" w:sz="4" w:space="0" w:color="000000"/>
        <w:right w:val="single" w:sz="4" w:space="0" w:color="000000"/>
      </w:pBdr>
      <w:shd w:val="clear" w:color="9BC2E6" w:fill="9BC2E6"/>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39" w:customStyle="1">
    <w:name w:val="xl139"/>
    <w:basedOn w:val="Normal"/>
    <w:qFormat/>
    <w:rsid w:val="00f7434b"/>
    <w:pPr>
      <w:pBdr>
        <w:top w:val="single" w:sz="4" w:space="0" w:color="000000"/>
        <w:left w:val="single" w:sz="4" w:space="0" w:color="000000"/>
        <w:bottom w:val="single" w:sz="4" w:space="0" w:color="000000"/>
      </w:pBdr>
      <w:shd w:val="clear" w:color="70B5F4" w:fill="70B5F4"/>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0" w:customStyle="1">
    <w:name w:val="xl140"/>
    <w:basedOn w:val="Normal"/>
    <w:qFormat/>
    <w:rsid w:val="00f7434b"/>
    <w:pPr>
      <w:pBdr>
        <w:top w:val="single" w:sz="4" w:space="0" w:color="000000"/>
        <w:bottom w:val="single" w:sz="4" w:space="0" w:color="000000"/>
      </w:pBdr>
      <w:shd w:val="clear" w:color="70B5F4" w:fill="70B5F4"/>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1" w:customStyle="1">
    <w:name w:val="xl141"/>
    <w:basedOn w:val="Normal"/>
    <w:qFormat/>
    <w:rsid w:val="00f7434b"/>
    <w:pPr>
      <w:pBdr>
        <w:top w:val="single" w:sz="4" w:space="0" w:color="000000"/>
        <w:bottom w:val="single" w:sz="4" w:space="0" w:color="000000"/>
        <w:right w:val="single" w:sz="4" w:space="0" w:color="000000"/>
      </w:pBdr>
      <w:shd w:val="clear" w:color="70B5F4" w:fill="70B5F4"/>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2" w:customStyle="1">
    <w:name w:val="xl142"/>
    <w:basedOn w:val="Normal"/>
    <w:qFormat/>
    <w:rsid w:val="00f7434b"/>
    <w:pPr>
      <w:pBdr>
        <w:top w:val="single" w:sz="4" w:space="0" w:color="000000"/>
        <w:left w:val="single" w:sz="4" w:space="0" w:color="000000"/>
        <w:bottom w:val="single" w:sz="4" w:space="0" w:color="000000"/>
      </w:pBdr>
      <w:shd w:val="clear" w:color="669966" w:fill="669966"/>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3" w:customStyle="1">
    <w:name w:val="xl143"/>
    <w:basedOn w:val="Normal"/>
    <w:qFormat/>
    <w:rsid w:val="00f7434b"/>
    <w:pPr>
      <w:pBdr>
        <w:top w:val="single" w:sz="4" w:space="0" w:color="000000"/>
        <w:bottom w:val="single" w:sz="4" w:space="0" w:color="000000"/>
      </w:pBdr>
      <w:shd w:val="clear" w:color="669966" w:fill="669966"/>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4" w:customStyle="1">
    <w:name w:val="xl144"/>
    <w:basedOn w:val="Normal"/>
    <w:qFormat/>
    <w:rsid w:val="00f7434b"/>
    <w:pPr>
      <w:pBdr>
        <w:top w:val="single" w:sz="4" w:space="0" w:color="000000"/>
        <w:left w:val="single" w:sz="4" w:space="0" w:color="000000"/>
        <w:bottom w:val="single" w:sz="4" w:space="0" w:color="000000"/>
      </w:pBdr>
      <w:shd w:val="clear" w:color="53AB68" w:fill="53AB68"/>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5" w:customStyle="1">
    <w:name w:val="xl145"/>
    <w:basedOn w:val="Normal"/>
    <w:qFormat/>
    <w:rsid w:val="00f7434b"/>
    <w:pPr>
      <w:pBdr>
        <w:top w:val="single" w:sz="4" w:space="0" w:color="000000"/>
        <w:bottom w:val="single" w:sz="4" w:space="0" w:color="000000"/>
      </w:pBdr>
      <w:shd w:val="clear" w:color="53AB68" w:fill="53AB68"/>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46" w:customStyle="1">
    <w:name w:val="xl146"/>
    <w:basedOn w:val="Normal"/>
    <w:qFormat/>
    <w:rsid w:val="00f7434b"/>
    <w:pPr>
      <w:pBdr>
        <w:top w:val="single" w:sz="4" w:space="0" w:color="000000"/>
        <w:left w:val="single" w:sz="4" w:space="0" w:color="000000"/>
        <w:bottom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47" w:customStyle="1">
    <w:name w:val="xl147"/>
    <w:basedOn w:val="Normal"/>
    <w:qFormat/>
    <w:rsid w:val="00f7434b"/>
    <w:pPr>
      <w:pBdr>
        <w:top w:val="single" w:sz="4" w:space="0" w:color="000000"/>
        <w:bottom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48" w:customStyle="1">
    <w:name w:val="xl148"/>
    <w:basedOn w:val="Normal"/>
    <w:qFormat/>
    <w:rsid w:val="00f7434b"/>
    <w:pPr>
      <w:pBdr>
        <w:top w:val="single" w:sz="4" w:space="0" w:color="000000"/>
        <w:bottom w:val="single" w:sz="4" w:space="0" w:color="000000"/>
        <w:right w:val="single" w:sz="4" w:space="0" w:color="000000"/>
      </w:pBdr>
      <w:shd w:val="clear" w:color="9BC2E6" w:fill="9BC2E6"/>
      <w:spacing w:lineRule="auto" w:line="240" w:beforeAutospacing="1" w:afterAutospacing="1"/>
      <w:jc w:val="center"/>
      <w:textAlignment w:val="center"/>
    </w:pPr>
    <w:rPr>
      <w:rFonts w:ascii="Times New Roman" w:hAnsi="Times New Roman" w:eastAsia="Times New Roman" w:cs="Times New Roman"/>
      <w:b/>
      <w:bCs/>
      <w:sz w:val="24"/>
      <w:szCs w:val="24"/>
      <w:lang w:eastAsia="pl-PL"/>
    </w:rPr>
  </w:style>
  <w:style w:type="paragraph" w:styleId="Xl149" w:customStyle="1">
    <w:name w:val="xl149"/>
    <w:basedOn w:val="Normal"/>
    <w:qFormat/>
    <w:rsid w:val="00f7434b"/>
    <w:pPr>
      <w:pBdr>
        <w:top w:val="single" w:sz="4" w:space="0" w:color="000000"/>
        <w:left w:val="single" w:sz="4" w:space="0" w:color="000000"/>
        <w:bottom w:val="single" w:sz="4" w:space="0" w:color="000000"/>
      </w:pBdr>
      <w:shd w:val="clear" w:color="0087E2" w:fill="0087E2"/>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0" w:customStyle="1">
    <w:name w:val="xl150"/>
    <w:basedOn w:val="Normal"/>
    <w:qFormat/>
    <w:rsid w:val="00f7434b"/>
    <w:pPr>
      <w:pBdr>
        <w:top w:val="single" w:sz="4" w:space="0" w:color="000000"/>
        <w:bottom w:val="single" w:sz="4" w:space="0" w:color="000000"/>
      </w:pBdr>
      <w:shd w:val="clear" w:color="0087E2" w:fill="0087E2"/>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1" w:customStyle="1">
    <w:name w:val="xl151"/>
    <w:basedOn w:val="Normal"/>
    <w:qFormat/>
    <w:rsid w:val="00f7434b"/>
    <w:pPr>
      <w:pBdr>
        <w:top w:val="single" w:sz="4" w:space="0" w:color="000000"/>
        <w:bottom w:val="single" w:sz="4" w:space="0" w:color="000000"/>
        <w:right w:val="single" w:sz="4" w:space="0" w:color="000000"/>
      </w:pBdr>
      <w:shd w:val="clear" w:color="0087E2" w:fill="0087E2"/>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2" w:customStyle="1">
    <w:name w:val="xl152"/>
    <w:basedOn w:val="Normal"/>
    <w:qFormat/>
    <w:rsid w:val="00f7434b"/>
    <w:pPr>
      <w:pBdr>
        <w:top w:val="single" w:sz="4" w:space="0" w:color="000000"/>
        <w:left w:val="single" w:sz="4" w:space="0" w:color="000000"/>
        <w:bottom w:val="single" w:sz="4" w:space="0" w:color="000000"/>
      </w:pBdr>
      <w:shd w:val="clear" w:color="C65911" w:fill="C65911"/>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3" w:customStyle="1">
    <w:name w:val="xl153"/>
    <w:basedOn w:val="Normal"/>
    <w:qFormat/>
    <w:rsid w:val="00f7434b"/>
    <w:pPr>
      <w:pBdr>
        <w:top w:val="single" w:sz="4" w:space="0" w:color="000000"/>
        <w:bottom w:val="single" w:sz="4" w:space="0" w:color="000000"/>
      </w:pBdr>
      <w:shd w:val="clear" w:color="C65911" w:fill="C65911"/>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4" w:customStyle="1">
    <w:name w:val="xl154"/>
    <w:basedOn w:val="Normal"/>
    <w:qFormat/>
    <w:rsid w:val="00f7434b"/>
    <w:pPr>
      <w:pBdr>
        <w:top w:val="single" w:sz="4" w:space="0" w:color="000000"/>
        <w:bottom w:val="single" w:sz="4" w:space="0" w:color="000000"/>
        <w:right w:val="single" w:sz="4" w:space="0" w:color="000000"/>
      </w:pBdr>
      <w:shd w:val="clear" w:color="C65911" w:fill="C65911"/>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5" w:customStyle="1">
    <w:name w:val="xl155"/>
    <w:basedOn w:val="Normal"/>
    <w:qFormat/>
    <w:rsid w:val="00f7434b"/>
    <w:pPr>
      <w:pBdr>
        <w:top w:val="single" w:sz="4" w:space="0" w:color="000000"/>
        <w:left w:val="single" w:sz="4" w:space="0" w:color="000000"/>
        <w:bottom w:val="single" w:sz="4" w:space="0" w:color="000000"/>
      </w:pBdr>
      <w:shd w:val="clear" w:color="FF9900" w:fill="FF9900"/>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6" w:customStyle="1">
    <w:name w:val="xl156"/>
    <w:basedOn w:val="Normal"/>
    <w:qFormat/>
    <w:rsid w:val="00f7434b"/>
    <w:pPr>
      <w:pBdr>
        <w:top w:val="single" w:sz="4" w:space="0" w:color="000000"/>
        <w:bottom w:val="single" w:sz="4" w:space="0" w:color="000000"/>
      </w:pBdr>
      <w:shd w:val="clear" w:color="FF9900" w:fill="FF9900"/>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Xl157" w:customStyle="1">
    <w:name w:val="xl157"/>
    <w:basedOn w:val="Normal"/>
    <w:qFormat/>
    <w:rsid w:val="00f7434b"/>
    <w:pPr>
      <w:pBdr>
        <w:top w:val="single" w:sz="4" w:space="0" w:color="000000"/>
        <w:bottom w:val="single" w:sz="4" w:space="0" w:color="000000"/>
        <w:right w:val="single" w:sz="4" w:space="0" w:color="000000"/>
      </w:pBdr>
      <w:shd w:val="clear" w:color="FF9900" w:fill="FF9900"/>
      <w:spacing w:lineRule="auto" w:line="240" w:beforeAutospacing="1" w:afterAutospacing="1"/>
      <w:jc w:val="center"/>
    </w:pPr>
    <w:rPr>
      <w:rFonts w:ascii="Times New Roman" w:hAnsi="Times New Roman" w:eastAsia="Times New Roman" w:cs="Times New Roman"/>
      <w:b/>
      <w:bCs/>
      <w:sz w:val="24"/>
      <w:szCs w:val="24"/>
      <w:lang w:eastAsia="pl-PL"/>
    </w:rPr>
  </w:style>
  <w:style w:type="paragraph" w:styleId="Spistreci4">
    <w:name w:val="TOC 4"/>
    <w:basedOn w:val="Normal"/>
    <w:next w:val="Normal"/>
    <w:autoRedefine/>
    <w:uiPriority w:val="39"/>
    <w:unhideWhenUsed/>
    <w:rsid w:val="004b1586"/>
    <w:pPr>
      <w:spacing w:lineRule="auto" w:line="259" w:before="0" w:after="100"/>
      <w:ind w:left="660" w:hanging="0"/>
      <w:jc w:val="left"/>
    </w:pPr>
    <w:rPr>
      <w:lang w:eastAsia="pl-PL"/>
    </w:rPr>
  </w:style>
  <w:style w:type="paragraph" w:styleId="Spistreci5">
    <w:name w:val="TOC 5"/>
    <w:basedOn w:val="Normal"/>
    <w:next w:val="Normal"/>
    <w:autoRedefine/>
    <w:uiPriority w:val="39"/>
    <w:unhideWhenUsed/>
    <w:rsid w:val="004b1586"/>
    <w:pPr>
      <w:spacing w:lineRule="auto" w:line="259" w:before="0" w:after="100"/>
      <w:ind w:left="880" w:hanging="0"/>
      <w:jc w:val="left"/>
    </w:pPr>
    <w:rPr>
      <w:lang w:eastAsia="pl-PL"/>
    </w:rPr>
  </w:style>
  <w:style w:type="paragraph" w:styleId="Spistreci6">
    <w:name w:val="TOC 6"/>
    <w:basedOn w:val="Normal"/>
    <w:next w:val="Normal"/>
    <w:autoRedefine/>
    <w:uiPriority w:val="39"/>
    <w:unhideWhenUsed/>
    <w:rsid w:val="004b1586"/>
    <w:pPr>
      <w:spacing w:lineRule="auto" w:line="259" w:before="0" w:after="100"/>
      <w:ind w:left="1100" w:hanging="0"/>
      <w:jc w:val="left"/>
    </w:pPr>
    <w:rPr>
      <w:lang w:eastAsia="pl-PL"/>
    </w:rPr>
  </w:style>
  <w:style w:type="paragraph" w:styleId="Spistreci7">
    <w:name w:val="TOC 7"/>
    <w:basedOn w:val="Normal"/>
    <w:next w:val="Normal"/>
    <w:autoRedefine/>
    <w:uiPriority w:val="39"/>
    <w:unhideWhenUsed/>
    <w:rsid w:val="004b1586"/>
    <w:pPr>
      <w:spacing w:lineRule="auto" w:line="259" w:before="0" w:after="100"/>
      <w:ind w:left="1320" w:hanging="0"/>
      <w:jc w:val="left"/>
    </w:pPr>
    <w:rPr>
      <w:lang w:eastAsia="pl-PL"/>
    </w:rPr>
  </w:style>
  <w:style w:type="paragraph" w:styleId="Spistreci8">
    <w:name w:val="TOC 8"/>
    <w:basedOn w:val="Normal"/>
    <w:next w:val="Normal"/>
    <w:autoRedefine/>
    <w:uiPriority w:val="39"/>
    <w:unhideWhenUsed/>
    <w:rsid w:val="004b1586"/>
    <w:pPr>
      <w:spacing w:lineRule="auto" w:line="259" w:before="0" w:after="100"/>
      <w:ind w:left="1540" w:hanging="0"/>
      <w:jc w:val="left"/>
    </w:pPr>
    <w:rPr>
      <w:lang w:eastAsia="pl-PL"/>
    </w:rPr>
  </w:style>
  <w:style w:type="paragraph" w:styleId="Spistreci9">
    <w:name w:val="TOC 9"/>
    <w:basedOn w:val="Normal"/>
    <w:next w:val="Normal"/>
    <w:autoRedefine/>
    <w:uiPriority w:val="39"/>
    <w:unhideWhenUsed/>
    <w:rsid w:val="004b1586"/>
    <w:pPr>
      <w:spacing w:lineRule="auto" w:line="259" w:before="0" w:after="100"/>
      <w:ind w:left="1760" w:hanging="0"/>
      <w:jc w:val="left"/>
    </w:pPr>
    <w:rPr>
      <w:lang w:eastAsia="pl-PL"/>
    </w:rPr>
  </w:style>
  <w:style w:type="paragraph" w:styleId="Default" w:customStyle="1">
    <w:name w:val="Default"/>
    <w:qFormat/>
    <w:rsid w:val="00fa4b06"/>
    <w:pPr>
      <w:widowControl/>
      <w:suppressAutoHyphens w:val="true"/>
      <w:bidi w:val="0"/>
      <w:spacing w:lineRule="auto" w:line="240" w:before="0" w:after="0"/>
      <w:jc w:val="left"/>
    </w:pPr>
    <w:rPr>
      <w:rFonts w:ascii="Calibri" w:hAnsi="Calibri" w:eastAsia="Cambria" w:cs="Calibri" w:eastAsiaTheme="minorHAnsi"/>
      <w:color w:val="000000"/>
      <w:kern w:val="0"/>
      <w:sz w:val="24"/>
      <w:szCs w:val="24"/>
      <w:lang w:val="pl-PL" w:eastAsia="en-US" w:bidi="ar-SA"/>
    </w:rPr>
  </w:style>
  <w:style w:type="paragraph" w:styleId="Akapitzlist1" w:customStyle="1">
    <w:name w:val="Akapit z listą1"/>
    <w:basedOn w:val="Normal"/>
    <w:qFormat/>
    <w:rsid w:val="006d7df5"/>
    <w:pPr>
      <w:suppressAutoHyphens w:val="true"/>
      <w:spacing w:before="0" w:after="200"/>
      <w:ind w:left="720" w:hanging="0"/>
      <w:jc w:val="left"/>
    </w:pPr>
    <w:rPr>
      <w:rFonts w:ascii="Calibri" w:hAnsi="Calibri" w:eastAsia="SimSun" w:cs="Tahoma"/>
      <w:lang w:eastAsia="ar-SA"/>
    </w:rPr>
  </w:style>
  <w:style w:type="paragraph" w:styleId="Zawartotabeli">
    <w:name w:val="Zawartość tabeli"/>
    <w:basedOn w:val="Normal"/>
    <w:qFormat/>
    <w:pPr>
      <w:widowControl w:val="false"/>
      <w:suppressLineNumbers/>
    </w:pPr>
    <w:rPr/>
  </w:style>
  <w:style w:type="paragraph" w:styleId="Nagwektabeli">
    <w:name w:val="Nagłówek tabeli"/>
    <w:basedOn w:val="Zawartotabeli"/>
    <w:qFormat/>
    <w:pPr>
      <w:suppressLineNumbers/>
      <w:jc w:val="center"/>
    </w:pPr>
    <w:rPr>
      <w:b/>
      <w:bCs/>
    </w:rPr>
  </w:style>
  <w:style w:type="paragraph" w:styleId="Nagwekspisutreci">
    <w:name w:val="TOC Heading"/>
    <w:basedOn w:val="Nagwekindeksu"/>
    <w:pPr>
      <w:suppressLineNumbers/>
      <w:ind w:left="0" w:hanging="0"/>
    </w:pPr>
    <w:rPr>
      <w:b/>
      <w:bCs/>
      <w:sz w:val="32"/>
      <w:szCs w:val="32"/>
    </w:rPr>
  </w:style>
  <w:style w:type="numbering" w:styleId="NoList" w:default="1">
    <w:name w:val="No List"/>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styleId="Tabela-Siatka">
    <w:name w:val="Table Grid"/>
    <w:basedOn w:val="Standardowy"/>
    <w:uiPriority w:val="59"/>
    <w:rsid w:val="00b77e1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Zwykatabela1">
    <w:name w:val="Plain Table 1"/>
    <w:basedOn w:val="Standardowy"/>
    <w:uiPriority w:val="41"/>
    <w:rsid w:val="00c87209"/>
    <w:pPr>
      <w:spacing w:after="0" w:line="240" w:lineRule="auto"/>
    </w:pPr>
    <w:tblPr>
      <w:tblStyleRowBandSize w:val="1"/>
      <w:tblStyleColBandSize w:val="1"/>
      <w:tblBorders>
        <w:top w:val="single" w:color="BFBFBF" w:themeColor="background1" w:sz="4" w:space="0"/>
        <w:left w:val="single" w:color="BFBFBF" w:themeColor="background1" w:sz="4" w:space="0"/>
        <w:bottom w:val="single" w:color="BFBFBF" w:themeColor="background1" w:sz="4" w:space="0"/>
        <w:right w:val="single" w:color="BFBFBF" w:themeColor="background1" w:sz="4" w:space="0"/>
        <w:insideH w:val="single" w:color="BFBFBF" w:themeColor="background1" w:sz="4" w:space="0"/>
        <w:insideV w:val="single" w:color="BFBFBF" w:themeColor="background1" w:sz="4" w:space="0"/>
      </w:tblBorders>
    </w:tblPr>
    <w:tblStylePr w:type="firstRow">
      <w:rPr>
        <w:b/>
        <w:bCs/>
      </w:rPr>
      <w:tblPr/>
    </w:tblStylePr>
    <w:tblStylePr w:type="lastRow">
      <w:rPr>
        <w:b/>
        <w:bCs/>
      </w:rPr>
      <w:tblPr/>
      <w:tcPr>
        <w:tcBorders>
          <w:top w:val="double" w:color="BFBFBF" w:themeColor="background1" w:sz="4" w:space="0"/>
        </w:tcBorders>
      </w:tc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5ciemna">
    <w:name w:val="Grid Table 5 Dark"/>
    <w:basedOn w:val="Standardowy"/>
    <w:uiPriority w:val="50"/>
    <w:rsid w:val="00c87209"/>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Siatkatabelijasna">
    <w:name w:val="Grid Table Light"/>
    <w:basedOn w:val="Standardowy"/>
    <w:uiPriority w:val="40"/>
    <w:rsid w:val="00c87209"/>
    <w:pPr>
      <w:spacing w:after="0" w:line="240" w:lineRule="auto"/>
    </w:pPr>
    <w:tblPr>
      <w:tblBorders>
        <w:top w:val="single" w:color="BFBFBF" w:themeColor="background1" w:sz="4" w:space="0"/>
        <w:left w:val="single" w:color="BFBFBF" w:themeColor="background1" w:sz="4" w:space="0"/>
        <w:bottom w:val="single" w:color="BFBFBF" w:themeColor="background1" w:sz="4" w:space="0"/>
        <w:right w:val="single" w:color="BFBFBF" w:themeColor="background1" w:sz="4" w:space="0"/>
        <w:insideH w:val="single" w:color="BFBFBF" w:themeColor="background1" w:sz="4" w:space="0"/>
        <w:insideV w:val="single" w:color="BFBFBF" w:themeColor="background1"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numbering" Target="numbering.xml"/><Relationship Id="rId8" Type="http://schemas.openxmlformats.org/officeDocument/2006/relationships/fontTable" Target="fontTable.xml"/><Relationship Id="rId9" Type="http://schemas.openxmlformats.org/officeDocument/2006/relationships/settings" Target="settings.xml"/><Relationship Id="rId10" Type="http://schemas.openxmlformats.org/officeDocument/2006/relationships/theme" Target="theme/theme1.xml"/><Relationship Id="rId11" Type="http://schemas.openxmlformats.org/officeDocument/2006/relationships/customXml" Target="../customXml/item1.xml"/>
</Relationships>
</file>

<file path=word/theme/theme1.xml><?xml version="1.0" encoding="utf-8"?>
<a:theme xmlns:a="http://schemas.openxmlformats.org/drawingml/2006/main" name="Wielkomiejski">
  <a:themeElements>
    <a:clrScheme name="Wielkomiejski">
      <a:dk1>
        <a:sysClr val="windowText" lastClr="000000"/>
      </a:dk1>
      <a:lt1>
        <a:sysClr val="window" lastClr="FFFFFF"/>
      </a:lt1>
      <a:dk2>
        <a:srgbClr val="162F33"/>
      </a:dk2>
      <a:lt2>
        <a:srgbClr val="EAF0E0"/>
      </a:lt2>
      <a:accent1>
        <a:srgbClr val="50B4C8"/>
      </a:accent1>
      <a:accent2>
        <a:srgbClr val="A8B97F"/>
      </a:accent2>
      <a:accent3>
        <a:srgbClr val="9B9256"/>
      </a:accent3>
      <a:accent4>
        <a:srgbClr val="657689"/>
      </a:accent4>
      <a:accent5>
        <a:srgbClr val="7A855D"/>
      </a:accent5>
      <a:accent6>
        <a:srgbClr val="84AC9D"/>
      </a:accent6>
      <a:hlink>
        <a:srgbClr val="2370CD"/>
      </a:hlink>
      <a:folHlink>
        <a:srgbClr val="877589"/>
      </a:folHlink>
    </a:clrScheme>
    <a:fontScheme name="Cambria">
      <a:maj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Wielkomiejski">
      <a:fillStyleLst>
        <a:solidFill>
          <a:schemeClr val="phClr"/>
        </a:solidFill>
        <a:gradFill rotWithShape="1">
          <a:gsLst>
            <a:gs pos="0">
              <a:schemeClr val="phClr">
                <a:tint val="70000"/>
                <a:satMod val="100000"/>
                <a:lumMod val="110000"/>
              </a:schemeClr>
            </a:gs>
            <a:gs pos="50000">
              <a:schemeClr val="phClr">
                <a:tint val="75000"/>
                <a:satMod val="101000"/>
                <a:lumMod val="105000"/>
              </a:schemeClr>
            </a:gs>
            <a:gs pos="100000">
              <a:schemeClr val="phClr">
                <a:tint val="82000"/>
                <a:satMod val="104000"/>
                <a:lumMod val="105000"/>
              </a:schemeClr>
            </a:gs>
          </a:gsLst>
          <a:lin ang="2700000" scaled="0"/>
        </a:gradFill>
        <a:gradFill rotWithShape="1">
          <a:gsLst>
            <a:gs pos="0">
              <a:schemeClr val="phClr">
                <a:tint val="97000"/>
                <a:satMod val="100000"/>
                <a:lumMod val="102000"/>
              </a:schemeClr>
            </a:gs>
            <a:gs pos="50000">
              <a:schemeClr val="phClr">
                <a:shade val="100000"/>
                <a:satMod val="100000"/>
                <a:lumMod val="100000"/>
              </a:schemeClr>
            </a:gs>
            <a:gs pos="100000">
              <a:schemeClr val="phClr">
                <a:shade val="80000"/>
                <a:satMod val="100000"/>
                <a:lumMod val="99000"/>
              </a:schemeClr>
            </a:gs>
          </a:gsLst>
          <a:lin ang="27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solidFill>
          <a:schemeClr val="phClr">
            <a:shade val="95000"/>
            <a:satMod val="170000"/>
          </a:schemeClr>
        </a:solidFill>
      </a:bgFillStyleLst>
    </a:fmtScheme>
  </a:themeElements>
  <a:objectDefaults/>
  <a:extraClrSchemeLst/>
  <a:extLst>
    <a:ext uri="{05A4C25C-085E-4340-85A3-A5531E510DB2}">
      <thm15:themeFamily xmlns:thm15="http://schemas.microsoft.com/office/thememl/2012/main" name="Metropolitan" id="{4C5440D6-04D2-4954-96CF-F251137069B2}" vid="{79CFCA13-9412-4290-BB4B-85112F88857B}"/>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8A6532-CA9D-4C98-B313-BB54BFB38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Application>LibreOffice/7.2.2.2$Windows_X86_64 LibreOffice_project/02b2acce88a210515b4a5bb2e46cbfb63fe97d56</Application>
  <AppVersion>15.0000</AppVersion>
  <Pages>9</Pages>
  <Words>1894</Words>
  <Characters>12447</Characters>
  <CharactersWithSpaces>14130</CharactersWithSpaces>
  <Paragraphs>198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2025-01-02T07:43:00Z</dcterms:created>
  <dc:creator>OLSEN</dc:creator>
  <dc:description/>
  <dc:language>pl-PL</dc:language>
  <cp:lastModifiedBy/>
  <cp:lastPrinted>2024-06-24T08:57:00Z</cp:lastPrinted>
  <dcterms:modified xsi:type="dcterms:W3CDTF">2025-01-22T19:29:44Z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file>