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64621" w14:textId="77777777" w:rsidR="008F0E8A" w:rsidRDefault="00083C00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 do SWZ</w:t>
      </w:r>
    </w:p>
    <w:p w14:paraId="3C1D2F90" w14:textId="77777777" w:rsidR="008F0E8A" w:rsidRDefault="008F0E8A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B67D68" w14:textId="77777777" w:rsidR="008F0E8A" w:rsidRDefault="008F0E8A">
      <w:pPr>
        <w:spacing w:after="0" w:line="24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10771704" w14:textId="7D9956C0" w:rsidR="004F3CD5" w:rsidRDefault="004F3CD5" w:rsidP="004F3CD5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Zamawiający:</w:t>
      </w:r>
    </w:p>
    <w:p w14:paraId="43BABA70" w14:textId="77777777" w:rsidR="004F3CD5" w:rsidRDefault="004F3CD5" w:rsidP="004F3CD5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</w:p>
    <w:p w14:paraId="6D8F2730" w14:textId="77777777" w:rsidR="004F3CD5" w:rsidRPr="00BB1237" w:rsidRDefault="004F3CD5" w:rsidP="004F3CD5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BB1237">
        <w:rPr>
          <w:rFonts w:ascii="Cambria" w:hAnsi="Cambria"/>
          <w:b/>
          <w:bCs/>
          <w:sz w:val="20"/>
          <w:szCs w:val="20"/>
        </w:rPr>
        <w:t>Żłobek Gminny w Piekoszowie</w:t>
      </w:r>
    </w:p>
    <w:p w14:paraId="27DF47BD" w14:textId="259052A7" w:rsidR="004F3CD5" w:rsidRPr="00BB1237" w:rsidRDefault="004F3CD5" w:rsidP="004F3CD5">
      <w:pPr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 xml:space="preserve">ul. Czarnowska 54 </w:t>
      </w:r>
    </w:p>
    <w:p w14:paraId="3BCFD555" w14:textId="63B005D7" w:rsidR="004F3CD5" w:rsidRDefault="004F3CD5" w:rsidP="004F3CD5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>26-065 Piekoszów</w:t>
      </w:r>
    </w:p>
    <w:p w14:paraId="5E406016" w14:textId="77777777" w:rsidR="008C5101" w:rsidRDefault="008C5101" w:rsidP="008C5101">
      <w:pPr>
        <w:spacing w:before="120" w:after="0" w:line="276" w:lineRule="auto"/>
        <w:ind w:left="4394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66B318DC" w14:textId="77777777" w:rsidR="008F0E8A" w:rsidRDefault="008F0E8A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="Cambria" w:hAnsi="Cambria" w:cs="Tahoma"/>
          <w:b/>
          <w:bCs/>
          <w:sz w:val="20"/>
        </w:rPr>
      </w:pPr>
    </w:p>
    <w:p w14:paraId="7FCDAD33" w14:textId="77777777" w:rsidR="008F0E8A" w:rsidRDefault="008F0E8A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07A7258" w14:textId="77777777" w:rsidR="008F0E8A" w:rsidRDefault="00083C0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44815457" w14:textId="77777777" w:rsidR="008F0E8A" w:rsidRDefault="00083C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08D5430" w14:textId="77777777" w:rsidR="008F0E8A" w:rsidRDefault="00083C0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8E39353" w14:textId="77777777" w:rsidR="008F0E8A" w:rsidRDefault="00083C0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D97A17C" w14:textId="77777777" w:rsidR="008F0E8A" w:rsidRDefault="00083C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D1ACCB8" w14:textId="77777777" w:rsidR="008F0E8A" w:rsidRDefault="00083C0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82C6AEF" w14:textId="77777777" w:rsidR="008F0E8A" w:rsidRDefault="008F0E8A">
      <w:pPr>
        <w:rPr>
          <w:rFonts w:ascii="Cambria" w:hAnsi="Cambria" w:cs="Arial"/>
        </w:rPr>
      </w:pPr>
    </w:p>
    <w:p w14:paraId="3B0F4697" w14:textId="77777777" w:rsidR="008F0E8A" w:rsidRDefault="00083C0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 </w:t>
      </w:r>
    </w:p>
    <w:p w14:paraId="5413DAAF" w14:textId="77777777" w:rsidR="008F0E8A" w:rsidRDefault="00083C0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18B93E86" w14:textId="77777777" w:rsidR="008F0E8A" w:rsidRDefault="00083C0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5A05115" w14:textId="77777777" w:rsidR="008F0E8A" w:rsidRDefault="00083C0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42534129" w14:textId="77777777" w:rsidR="008F0E8A" w:rsidRDefault="008F0E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F63A4A" w14:textId="7F59BE0B" w:rsidR="00BE3E6B" w:rsidRPr="004F3CD5" w:rsidRDefault="00C70F57" w:rsidP="004F3CD5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F3CD5" w:rsidRPr="000D6024">
        <w:rPr>
          <w:rFonts w:ascii="Cambria" w:hAnsi="Cambria" w:cs="Arial"/>
          <w:b/>
          <w:bCs/>
          <w:sz w:val="20"/>
          <w:szCs w:val="20"/>
        </w:rPr>
        <w:t>Usługa cateringu – przygotowanie i dostawa wyżywienia dla dzieci w wieku od 20 tygodnia do lat 3 w roku 202</w:t>
      </w:r>
      <w:r w:rsidR="004F3CD5">
        <w:rPr>
          <w:rFonts w:ascii="Cambria" w:hAnsi="Cambria" w:cs="Arial"/>
          <w:b/>
          <w:bCs/>
          <w:sz w:val="20"/>
          <w:szCs w:val="20"/>
        </w:rPr>
        <w:t>6</w:t>
      </w:r>
      <w:r w:rsidR="004F3CD5" w:rsidRPr="000D6024">
        <w:rPr>
          <w:rFonts w:ascii="Cambria" w:hAnsi="Cambria" w:cs="Arial"/>
          <w:b/>
          <w:bCs/>
          <w:sz w:val="20"/>
          <w:szCs w:val="20"/>
        </w:rPr>
        <w:t>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632704BE" w14:textId="77777777" w:rsidR="008F0E8A" w:rsidRDefault="00083C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AEDE163" w14:textId="77777777" w:rsidR="008F0E8A" w:rsidRDefault="008F0E8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FD97B5A" w14:textId="77777777" w:rsidR="00B762C4" w:rsidRPr="002849ED" w:rsidRDefault="00B762C4" w:rsidP="00CD5E4B">
      <w:pPr>
        <w:pStyle w:val="Akapitzlist"/>
        <w:numPr>
          <w:ilvl w:val="0"/>
          <w:numId w:val="4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255DDCED" w14:textId="77777777" w:rsidR="00B762C4" w:rsidRPr="002849ED" w:rsidRDefault="00B762C4" w:rsidP="00B762C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1CF1308A" w14:textId="6FE36789" w:rsidR="00B762C4" w:rsidRPr="002849ED" w:rsidRDefault="00B762C4" w:rsidP="00B762C4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  <w:r w:rsidR="0098297C">
        <w:rPr>
          <w:rFonts w:ascii="Cambria" w:hAnsi="Cambria" w:cs="Arial"/>
          <w:sz w:val="20"/>
          <w:szCs w:val="20"/>
        </w:rPr>
        <w:t>(</w:t>
      </w:r>
      <w:r w:rsidR="0098297C" w:rsidRPr="0098297C">
        <w:rPr>
          <w:rFonts w:ascii="Cambria" w:hAnsi="Cambria" w:cs="Arial"/>
          <w:bCs/>
          <w:iCs/>
          <w:sz w:val="20"/>
          <w:szCs w:val="20"/>
          <w:lang w:bidi="pl-PL"/>
        </w:rPr>
        <w:t xml:space="preserve"> </w:t>
      </w:r>
      <w:r w:rsidR="0098297C">
        <w:rPr>
          <w:rFonts w:ascii="Cambria" w:hAnsi="Cambria" w:cs="Arial"/>
          <w:bCs/>
          <w:iCs/>
          <w:sz w:val="20"/>
          <w:szCs w:val="20"/>
          <w:lang w:bidi="pl-PL"/>
        </w:rPr>
        <w:t>art. 109 ust. 1 pkt 5; 7; 8 i 10 ustawy Pzp)</w:t>
      </w:r>
    </w:p>
    <w:p w14:paraId="6BDFD9B3" w14:textId="77777777" w:rsidR="00B762C4" w:rsidRPr="002849ED" w:rsidRDefault="00B762C4" w:rsidP="00B762C4">
      <w:pPr>
        <w:pStyle w:val="Akapitzlist"/>
        <w:numPr>
          <w:ilvl w:val="0"/>
          <w:numId w:val="4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 xml:space="preserve">W związku z art. 7 </w:t>
      </w:r>
      <w:r w:rsidRPr="002849ED">
        <w:rPr>
          <w:rFonts w:asciiTheme="majorHAnsi" w:hAnsiTheme="majorHAnsi"/>
          <w:sz w:val="20"/>
          <w:szCs w:val="20"/>
          <w:lang w:eastAsia="x-none"/>
        </w:rPr>
        <w:t>ust</w:t>
      </w:r>
      <w:r w:rsidRPr="002849ED">
        <w:rPr>
          <w:rFonts w:asciiTheme="majorHAnsi" w:hAnsiTheme="majorHAnsi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05AF9161" w14:textId="77777777" w:rsidR="00B762C4" w:rsidRPr="002849ED" w:rsidRDefault="00B762C4" w:rsidP="00B762C4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B68F8B3" w14:textId="7EF70B23" w:rsidR="00B762C4" w:rsidRDefault="00B762C4" w:rsidP="00B762C4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</w:t>
      </w:r>
      <w:r w:rsidRPr="002849ED">
        <w:rPr>
          <w:rFonts w:asciiTheme="majorHAnsi" w:hAnsiTheme="majorHAnsi"/>
          <w:sz w:val="20"/>
          <w:szCs w:val="20"/>
        </w:rPr>
        <w:lastRenderedPageBreak/>
        <w:t>wymienioną w wykazach określonych w rozporządzeniu 765/2006 i rozporządzeniu 269/2014 albo</w:t>
      </w:r>
      <w:r w:rsidR="008665DF">
        <w:rPr>
          <w:rFonts w:asciiTheme="majorHAnsi" w:hAnsiTheme="majorHAnsi"/>
          <w:sz w:val="20"/>
          <w:szCs w:val="20"/>
        </w:rPr>
        <w:t xml:space="preserve"> </w:t>
      </w:r>
      <w:bookmarkStart w:id="0" w:name="_GoBack"/>
      <w:bookmarkEnd w:id="0"/>
      <w:r w:rsidRPr="002849ED">
        <w:rPr>
          <w:rFonts w:asciiTheme="majorHAnsi" w:hAnsiTheme="majorHAnsi"/>
          <w:sz w:val="20"/>
          <w:szCs w:val="20"/>
        </w:rPr>
        <w:t xml:space="preserve">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138E720" w14:textId="77777777" w:rsidR="008665DF" w:rsidRPr="002849ED" w:rsidRDefault="008665DF" w:rsidP="00B762C4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</w:p>
    <w:p w14:paraId="4519C94A" w14:textId="77777777" w:rsidR="00B762C4" w:rsidRPr="002849ED" w:rsidRDefault="00B762C4" w:rsidP="00B762C4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94BE2B2" w14:textId="77777777" w:rsidR="00B762C4" w:rsidRDefault="00B762C4" w:rsidP="00B762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446CBA" w14:textId="77777777" w:rsidR="00B762C4" w:rsidRPr="00A37911" w:rsidRDefault="00B762C4" w:rsidP="00B762C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0BFFE6" w14:textId="77777777" w:rsidR="00B762C4" w:rsidRDefault="00B762C4" w:rsidP="00B762C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A64FCB6" w14:textId="77777777" w:rsidR="00B762C4" w:rsidRPr="00A37911" w:rsidRDefault="00B762C4" w:rsidP="00B762C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3FAA03" w14:textId="77777777" w:rsidR="00B762C4" w:rsidRDefault="00B762C4" w:rsidP="00B762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69EB09" w14:textId="77777777" w:rsidR="00B762C4" w:rsidRPr="00A37911" w:rsidRDefault="00B762C4" w:rsidP="00B762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6AB014" w14:textId="77777777" w:rsidR="00B762C4" w:rsidRPr="00A37911" w:rsidRDefault="00B762C4" w:rsidP="00B762C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6D0F4F" w14:textId="77777777" w:rsidR="00B762C4" w:rsidRDefault="00B762C4" w:rsidP="00B762C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E2D339" w14:textId="6FA78A2F" w:rsidR="00B762C4" w:rsidRDefault="00B762C4" w:rsidP="00B762C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1F1DA1E" w14:textId="77777777" w:rsidR="00B762C4" w:rsidRPr="00A37911" w:rsidRDefault="00B762C4" w:rsidP="00B762C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32FDC1" w14:textId="77777777"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53DD77B" w14:textId="77777777" w:rsidR="008F0E8A" w:rsidRDefault="00083C0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080567D" w14:textId="77777777" w:rsidR="008F0E8A" w:rsidRDefault="008F0E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682B3DA" w14:textId="77777777" w:rsidR="008F0E8A" w:rsidRDefault="008F0E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393196" w14:textId="77777777"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8F0E8A" w:rsidSect="008665DF">
      <w:headerReference w:type="default" r:id="rId7"/>
      <w:footerReference w:type="default" r:id="rId8"/>
      <w:pgSz w:w="11906" w:h="16838"/>
      <w:pgMar w:top="21" w:right="1417" w:bottom="993" w:left="851" w:header="11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40F5D" w14:textId="77777777" w:rsidR="00AE1534" w:rsidRDefault="00AE1534">
      <w:pPr>
        <w:spacing w:after="0" w:line="240" w:lineRule="auto"/>
      </w:pPr>
      <w:r>
        <w:separator/>
      </w:r>
    </w:p>
  </w:endnote>
  <w:endnote w:type="continuationSeparator" w:id="0">
    <w:p w14:paraId="28C01F72" w14:textId="77777777" w:rsidR="00AE1534" w:rsidRDefault="00AE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0217A" w14:textId="164FBBE5" w:rsidR="008F0E8A" w:rsidRDefault="00083C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8665DF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68F11305" w14:textId="77777777" w:rsidR="008F0E8A" w:rsidRDefault="008F0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CC686" w14:textId="77777777" w:rsidR="00AE1534" w:rsidRDefault="00AE1534">
      <w:pPr>
        <w:spacing w:after="0" w:line="240" w:lineRule="auto"/>
      </w:pPr>
      <w:r>
        <w:separator/>
      </w:r>
    </w:p>
  </w:footnote>
  <w:footnote w:type="continuationSeparator" w:id="0">
    <w:p w14:paraId="53486DCC" w14:textId="77777777" w:rsidR="00AE1534" w:rsidRDefault="00AE1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BDA64" w14:textId="77777777" w:rsidR="00083C00" w:rsidRDefault="00083C00" w:rsidP="00BE3E6B">
    <w:pPr>
      <w:pStyle w:val="Nagwek"/>
      <w:ind w:left="-284"/>
      <w:jc w:val="center"/>
      <w:rPr>
        <w:highlight w:val="yellow"/>
      </w:rPr>
    </w:pPr>
  </w:p>
  <w:tbl>
    <w:tblPr>
      <w:tblW w:w="1038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04"/>
      <w:gridCol w:w="734"/>
      <w:gridCol w:w="72"/>
      <w:gridCol w:w="9070"/>
    </w:tblGrid>
    <w:tr w:rsidR="00083C00" w14:paraId="56BE47CA" w14:textId="77777777" w:rsidTr="00BE3E6B">
      <w:trPr>
        <w:trHeight w:val="426"/>
      </w:trPr>
      <w:tc>
        <w:tcPr>
          <w:tcW w:w="5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B061B0D" w14:textId="77777777" w:rsidR="00083C00" w:rsidRDefault="00083C00" w:rsidP="00BE3E6B">
          <w:pPr>
            <w:tabs>
              <w:tab w:val="center" w:pos="4536"/>
              <w:tab w:val="right" w:pos="9072"/>
            </w:tabs>
            <w:jc w:val="center"/>
          </w:pPr>
          <w:bookmarkStart w:id="1" w:name="_Hlk90465858"/>
        </w:p>
      </w:tc>
      <w:tc>
        <w:tcPr>
          <w:tcW w:w="73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4488AB4" w14:textId="77777777"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7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DFDF216" w14:textId="77777777"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907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23CEF89" w14:textId="67996220"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</w:tr>
  </w:tbl>
  <w:p w14:paraId="1373B90D" w14:textId="655CBC2F" w:rsidR="007F38BC" w:rsidRDefault="00BE3E6B" w:rsidP="007F38BC">
    <w:pPr>
      <w:pStyle w:val="Nagwek"/>
      <w:rPr>
        <w:sz w:val="24"/>
        <w:szCs w:val="24"/>
        <w:lang w:eastAsia="zh-CN"/>
      </w:rPr>
    </w:pPr>
    <w:bookmarkStart w:id="2" w:name="_Hlk90465773"/>
    <w:r>
      <w:rPr>
        <w:rFonts w:ascii="Cambria" w:hAnsi="Cambria" w:cs="Cambria"/>
        <w:b/>
        <w:sz w:val="20"/>
        <w:szCs w:val="20"/>
      </w:rPr>
      <w:t xml:space="preserve">    </w:t>
    </w:r>
    <w:bookmarkEnd w:id="1"/>
    <w:bookmarkEnd w:id="2"/>
    <w:r w:rsidR="007F38BC">
      <w:rPr>
        <w:rFonts w:ascii="Cambria" w:hAnsi="Cambria" w:cs="Cambria"/>
        <w:b/>
        <w:sz w:val="20"/>
        <w:szCs w:val="20"/>
      </w:rPr>
      <w:t xml:space="preserve">Numer referencyjny: </w:t>
    </w:r>
    <w:r w:rsidR="004F3CD5">
      <w:rPr>
        <w:rFonts w:ascii="Cambria" w:hAnsi="Cambria" w:cs="Cambria"/>
        <w:b/>
        <w:sz w:val="20"/>
        <w:szCs w:val="20"/>
      </w:rPr>
      <w:t>1</w:t>
    </w:r>
    <w:r w:rsidR="00C866D1">
      <w:rPr>
        <w:rFonts w:ascii="Cambria" w:hAnsi="Cambria" w:cs="Cambria"/>
        <w:b/>
        <w:sz w:val="20"/>
        <w:szCs w:val="20"/>
      </w:rPr>
      <w:t>/</w:t>
    </w:r>
    <w:r w:rsidR="004F3CD5">
      <w:rPr>
        <w:rFonts w:ascii="Cambria" w:hAnsi="Cambria" w:cs="Cambria"/>
        <w:b/>
        <w:sz w:val="20"/>
        <w:szCs w:val="20"/>
      </w:rPr>
      <w:t>ZP</w:t>
    </w:r>
    <w:r w:rsidR="00276A47" w:rsidRPr="00276A47">
      <w:rPr>
        <w:rFonts w:ascii="Cambria" w:hAnsi="Cambria" w:cs="Cambria"/>
        <w:b/>
        <w:sz w:val="20"/>
        <w:szCs w:val="20"/>
      </w:rPr>
      <w:t>/2025</w:t>
    </w:r>
  </w:p>
  <w:p w14:paraId="70D0EB5E" w14:textId="70EEC7CB" w:rsidR="008F0E8A" w:rsidRDefault="008F0E8A" w:rsidP="00815BF1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color w:val="000000"/>
        <w:sz w:val="20"/>
        <w:szCs w:val="20"/>
      </w:rPr>
    </w:pPr>
  </w:p>
  <w:p w14:paraId="1F01B6D1" w14:textId="77777777" w:rsidR="00794B4E" w:rsidRDefault="00794B4E" w:rsidP="00815BF1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color w:val="000000"/>
        <w:sz w:val="20"/>
        <w:szCs w:val="20"/>
      </w:rPr>
    </w:pPr>
  </w:p>
  <w:p w14:paraId="19E2568F" w14:textId="77777777" w:rsidR="00047E51" w:rsidRPr="00083C00" w:rsidRDefault="00047E51" w:rsidP="00815BF1">
    <w:pPr>
      <w:pStyle w:val="Style1"/>
      <w:widowControl/>
      <w:spacing w:line="274" w:lineRule="exact"/>
      <w:ind w:left="-49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6216F"/>
    <w:multiLevelType w:val="multilevel"/>
    <w:tmpl w:val="BB762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F5541"/>
    <w:multiLevelType w:val="multilevel"/>
    <w:tmpl w:val="B3AA1A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E8A"/>
    <w:rsid w:val="00047E51"/>
    <w:rsid w:val="00083C00"/>
    <w:rsid w:val="001F2653"/>
    <w:rsid w:val="00276A47"/>
    <w:rsid w:val="003D6107"/>
    <w:rsid w:val="004F3CD5"/>
    <w:rsid w:val="005F07A2"/>
    <w:rsid w:val="00794B4E"/>
    <w:rsid w:val="00797238"/>
    <w:rsid w:val="007F38BC"/>
    <w:rsid w:val="00815BF1"/>
    <w:rsid w:val="008665DF"/>
    <w:rsid w:val="008731CE"/>
    <w:rsid w:val="008C5101"/>
    <w:rsid w:val="008F0E8A"/>
    <w:rsid w:val="0098297C"/>
    <w:rsid w:val="00AE1534"/>
    <w:rsid w:val="00B25E01"/>
    <w:rsid w:val="00B762C4"/>
    <w:rsid w:val="00BE3E6B"/>
    <w:rsid w:val="00C45D13"/>
    <w:rsid w:val="00C70F57"/>
    <w:rsid w:val="00C866D1"/>
    <w:rsid w:val="00CD5E4B"/>
    <w:rsid w:val="00D005AF"/>
    <w:rsid w:val="00D6317F"/>
    <w:rsid w:val="00EB7F4A"/>
    <w:rsid w:val="00EF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4E4299"/>
  <w15:docId w15:val="{B622F8D1-579F-4CF7-85A1-6A410843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9F6EC7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551C2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083C0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B762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525</Words>
  <Characters>3155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33</cp:revision>
  <dcterms:created xsi:type="dcterms:W3CDTF">2021-12-15T13:00:00Z</dcterms:created>
  <dcterms:modified xsi:type="dcterms:W3CDTF">2025-11-04T08:35:00Z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