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F10AF" w14:textId="5DD40202" w:rsidR="00921BA2" w:rsidRPr="00D32FA0" w:rsidRDefault="00921BA2" w:rsidP="00921BA2">
      <w:pPr>
        <w:pStyle w:val="xxmsonormal"/>
        <w:spacing w:before="0" w:beforeAutospacing="0" w:after="0" w:afterAutospacing="0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</w:rPr>
        <w:t>............................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Pr="00D32FA0">
        <w:rPr>
          <w:rFonts w:ascii="Calibri" w:hAnsi="Calibri" w:cs="Calibri"/>
          <w:b/>
          <w:sz w:val="22"/>
          <w:szCs w:val="22"/>
        </w:rPr>
        <w:tab/>
      </w:r>
      <w:r w:rsidR="00D32FA0">
        <w:rPr>
          <w:rFonts w:ascii="Calibri" w:hAnsi="Calibri" w:cs="Calibri"/>
          <w:b/>
          <w:sz w:val="22"/>
          <w:szCs w:val="22"/>
        </w:rPr>
        <w:tab/>
      </w:r>
      <w:r w:rsidRPr="00D32FA0">
        <w:rPr>
          <w:rFonts w:ascii="Calibri" w:hAnsi="Calibri" w:cs="Calibri"/>
          <w:b/>
          <w:sz w:val="20"/>
          <w:szCs w:val="20"/>
        </w:rPr>
        <w:t>dotyczy Umowy nr: ....................................................</w:t>
      </w:r>
    </w:p>
    <w:p w14:paraId="27CF4529" w14:textId="0E1FC898" w:rsidR="00921BA2" w:rsidRPr="00D32FA0" w:rsidRDefault="00921BA2" w:rsidP="00921BA2">
      <w:pPr>
        <w:pStyle w:val="xxmsonormal"/>
        <w:spacing w:before="0" w:beforeAutospacing="0" w:after="0" w:afterAutospacing="0"/>
        <w:rPr>
          <w:rFonts w:ascii="Calibri" w:hAnsi="Calibri" w:cs="Calibri"/>
          <w:bCs/>
          <w:i/>
          <w:iCs/>
          <w:sz w:val="20"/>
          <w:szCs w:val="20"/>
        </w:rPr>
      </w:pPr>
      <w:r w:rsidRPr="00D32FA0">
        <w:rPr>
          <w:rFonts w:ascii="Calibri" w:hAnsi="Calibri" w:cs="Calibri"/>
          <w:bCs/>
          <w:i/>
          <w:iCs/>
          <w:sz w:val="20"/>
          <w:szCs w:val="20"/>
        </w:rPr>
        <w:t>Nazwa Wykonawcy</w:t>
      </w:r>
    </w:p>
    <w:p w14:paraId="745F197A" w14:textId="7D6C3FB8" w:rsidR="00921BA2" w:rsidRPr="00D32FA0" w:rsidRDefault="00D32FA0" w:rsidP="00921BA2">
      <w:pPr>
        <w:pStyle w:val="xxmsonormal"/>
        <w:spacing w:before="0" w:beforeAutospacing="0" w:after="0" w:afterAutospacing="0"/>
        <w:rPr>
          <w:rFonts w:ascii="Calibri" w:hAnsi="Calibri" w:cs="Calibri"/>
          <w:bCs/>
          <w:i/>
          <w:iCs/>
          <w:sz w:val="20"/>
          <w:szCs w:val="20"/>
        </w:rPr>
      </w:pPr>
      <w:r>
        <w:rPr>
          <w:rFonts w:ascii="Calibri" w:hAnsi="Calibri" w:cs="Calibri"/>
          <w:bCs/>
          <w:i/>
          <w:iCs/>
          <w:sz w:val="20"/>
          <w:szCs w:val="20"/>
        </w:rPr>
        <w:t xml:space="preserve">        </w:t>
      </w:r>
      <w:r w:rsidR="00921BA2" w:rsidRPr="00D32FA0">
        <w:rPr>
          <w:rFonts w:ascii="Calibri" w:hAnsi="Calibri" w:cs="Calibri"/>
          <w:bCs/>
          <w:i/>
          <w:iCs/>
          <w:sz w:val="20"/>
          <w:szCs w:val="20"/>
        </w:rPr>
        <w:t>(pieczęć)</w:t>
      </w:r>
    </w:p>
    <w:p w14:paraId="04661D00" w14:textId="77777777" w:rsidR="00921BA2" w:rsidRDefault="00921BA2" w:rsidP="005A640C">
      <w:pPr>
        <w:pStyle w:val="xxmsonormal"/>
        <w:spacing w:before="0" w:beforeAutospacing="0" w:after="0" w:afterAutospacing="0"/>
        <w:jc w:val="center"/>
        <w:rPr>
          <w:rFonts w:ascii="Calibri" w:hAnsi="Calibri" w:cs="Calibri"/>
          <w:b/>
        </w:rPr>
      </w:pPr>
    </w:p>
    <w:p w14:paraId="652912B0" w14:textId="77777777" w:rsidR="000B4E64" w:rsidRPr="00D32FA0" w:rsidRDefault="000B4E64" w:rsidP="00D32FA0">
      <w:pPr>
        <w:pStyle w:val="xxmsonormal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32FA0">
        <w:rPr>
          <w:rFonts w:asciiTheme="minorHAnsi" w:hAnsiTheme="minorHAnsi" w:cstheme="minorHAnsi"/>
          <w:b/>
          <w:sz w:val="20"/>
          <w:szCs w:val="20"/>
        </w:rPr>
        <w:t>Oświadczenia Wykonawcy potwierdzające zgodność z zasadą DNSH</w:t>
      </w:r>
    </w:p>
    <w:p w14:paraId="282574FA" w14:textId="2B415B09" w:rsidR="000B4E64" w:rsidRPr="00D32FA0" w:rsidRDefault="000B4E64" w:rsidP="00D32FA0">
      <w:pPr>
        <w:pStyle w:val="xxmsonormal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40056393" w14:textId="77777777" w:rsidR="000B4E64" w:rsidRPr="00D32FA0" w:rsidRDefault="000B4E64" w:rsidP="00D32FA0">
      <w:pPr>
        <w:pStyle w:val="xxmsonormal"/>
        <w:spacing w:before="0" w:beforeAutospacing="0" w:after="0" w:afterAutospacing="0" w:line="276" w:lineRule="auto"/>
        <w:rPr>
          <w:rFonts w:asciiTheme="minorHAnsi" w:hAnsiTheme="minorHAnsi" w:cstheme="minorHAnsi"/>
          <w:sz w:val="20"/>
          <w:szCs w:val="20"/>
        </w:rPr>
      </w:pPr>
      <w:r w:rsidRPr="00D32FA0">
        <w:rPr>
          <w:rFonts w:asciiTheme="minorHAnsi" w:hAnsiTheme="minorHAnsi" w:cstheme="minorHAnsi"/>
          <w:b/>
          <w:sz w:val="20"/>
          <w:szCs w:val="20"/>
        </w:rPr>
        <w:t>Wykonawca oświadcza</w:t>
      </w:r>
      <w:r w:rsidRPr="00D32FA0">
        <w:rPr>
          <w:rFonts w:asciiTheme="minorHAnsi" w:hAnsiTheme="minorHAnsi" w:cstheme="minorHAnsi"/>
          <w:sz w:val="20"/>
          <w:szCs w:val="20"/>
        </w:rPr>
        <w:t xml:space="preserve">, że realizacja zamówienia odbywać się będzie bez wyrządzania poważnych szkód (jest zgodna z zasadą DNSH „do no </w:t>
      </w:r>
      <w:proofErr w:type="spellStart"/>
      <w:r w:rsidRPr="00D32FA0">
        <w:rPr>
          <w:rFonts w:asciiTheme="minorHAnsi" w:hAnsiTheme="minorHAnsi" w:cstheme="minorHAnsi"/>
          <w:sz w:val="20"/>
          <w:szCs w:val="20"/>
        </w:rPr>
        <w:t>significant</w:t>
      </w:r>
      <w:proofErr w:type="spellEnd"/>
      <w:r w:rsidRPr="00D32FA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32FA0">
        <w:rPr>
          <w:rFonts w:asciiTheme="minorHAnsi" w:hAnsiTheme="minorHAnsi" w:cstheme="minorHAnsi"/>
          <w:sz w:val="20"/>
          <w:szCs w:val="20"/>
        </w:rPr>
        <w:t>harm</w:t>
      </w:r>
      <w:proofErr w:type="spellEnd"/>
      <w:r w:rsidRPr="00D32FA0">
        <w:rPr>
          <w:rFonts w:asciiTheme="minorHAnsi" w:hAnsiTheme="minorHAnsi" w:cstheme="minorHAnsi"/>
          <w:sz w:val="20"/>
          <w:szCs w:val="20"/>
        </w:rPr>
        <w:t xml:space="preserve">”, czyli „nie czyń poważnych szkód”) dla żadnego z celów środowiskowych określonych w art. 9 zgodnie z art. 17 rozporządzenia Parlamentu Europejskiego i Rady (UE) 2020/852 z dnia 18 czerwca 2020 r. w sprawie ustanowienia ram ułatwiających zrównoważone inwestycje, zmieniające rozporządzenie (UE) 2019/2088.      </w:t>
      </w:r>
    </w:p>
    <w:p w14:paraId="29C9E68E" w14:textId="77777777" w:rsidR="000B4E64" w:rsidRPr="00D32FA0" w:rsidRDefault="000B4E64" w:rsidP="00D32FA0">
      <w:pPr>
        <w:pStyle w:val="xxmsonormal"/>
        <w:spacing w:before="0" w:beforeAutospacing="0" w:after="0" w:afterAutospacing="0" w:line="276" w:lineRule="auto"/>
        <w:rPr>
          <w:rFonts w:asciiTheme="minorHAnsi" w:hAnsiTheme="minorHAnsi" w:cstheme="minorHAnsi"/>
          <w:sz w:val="20"/>
          <w:szCs w:val="20"/>
        </w:rPr>
      </w:pPr>
      <w:r w:rsidRPr="00D32FA0">
        <w:rPr>
          <w:rFonts w:asciiTheme="minorHAnsi" w:hAnsiTheme="minorHAnsi" w:cstheme="minorHAnsi"/>
          <w:sz w:val="20"/>
          <w:szCs w:val="20"/>
        </w:rPr>
        <w:t>Potwierdzeniem zachowania zasady DNSH, jest fakt, że realizacja zamówienia, z uwzględnieniem cyklu życia produktów dostarczanych i świadczonych usług (szczególnie z uwzględnieniem wytwarzania, użytkowania i zakończenia cyklu życia tych produktów i usług) - nie wyrządza poważnych szkód:</w:t>
      </w:r>
    </w:p>
    <w:p w14:paraId="419E9B7F" w14:textId="77777777" w:rsidR="000B4E64" w:rsidRPr="00D32FA0" w:rsidRDefault="000B4E64" w:rsidP="00D32FA0">
      <w:pPr>
        <w:pStyle w:val="xxmsonormal"/>
        <w:numPr>
          <w:ilvl w:val="0"/>
          <w:numId w:val="3"/>
        </w:numPr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D32FA0">
        <w:rPr>
          <w:rFonts w:asciiTheme="minorHAnsi" w:hAnsiTheme="minorHAnsi" w:cstheme="minorHAnsi"/>
          <w:sz w:val="20"/>
          <w:szCs w:val="20"/>
        </w:rPr>
        <w:t xml:space="preserve">łagodzeniu zmian klimatu, ponieważ nie prowadzi do znaczących emisji gazów cieplarnianych; </w:t>
      </w:r>
    </w:p>
    <w:p w14:paraId="7CC01CAB" w14:textId="77777777" w:rsidR="000B4E64" w:rsidRPr="00D32FA0" w:rsidRDefault="000B4E64" w:rsidP="00D32FA0">
      <w:pPr>
        <w:pStyle w:val="xxmsonormal"/>
        <w:numPr>
          <w:ilvl w:val="0"/>
          <w:numId w:val="3"/>
        </w:numPr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D32FA0">
        <w:rPr>
          <w:rFonts w:asciiTheme="minorHAnsi" w:hAnsiTheme="minorHAnsi" w:cstheme="minorHAnsi"/>
          <w:sz w:val="20"/>
          <w:szCs w:val="20"/>
        </w:rPr>
        <w:t>adaptacji do zmian klimatu, ponieważ nie prowadzi do nasilenia niekorzystnych skutków obecnych i oczekiwanych, przyszłych warunków klimatycznych, wywieranych na tę działalność lub na ludzi, przyrodę lub aktywa;</w:t>
      </w:r>
    </w:p>
    <w:p w14:paraId="7118BB89" w14:textId="77777777" w:rsidR="000B4E64" w:rsidRPr="00D32FA0" w:rsidRDefault="000B4E64" w:rsidP="00D32FA0">
      <w:pPr>
        <w:pStyle w:val="xxmsonormal"/>
        <w:numPr>
          <w:ilvl w:val="0"/>
          <w:numId w:val="3"/>
        </w:numPr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i/>
          <w:sz w:val="20"/>
          <w:szCs w:val="20"/>
        </w:rPr>
      </w:pPr>
      <w:r w:rsidRPr="00D32FA0">
        <w:rPr>
          <w:rFonts w:asciiTheme="minorHAnsi" w:hAnsiTheme="minorHAnsi" w:cstheme="minorHAnsi"/>
          <w:sz w:val="20"/>
          <w:szCs w:val="20"/>
        </w:rPr>
        <w:t xml:space="preserve">zrównoważonemu wykorzystywaniu i ochronie zasobów wodnych i morskich, ponieważ nie szkodzi: dobremu stanowi lub dobremu  potencjałowi ekologicznemu jednolitych części wód, </w:t>
      </w:r>
      <w:r w:rsidRPr="00D32FA0">
        <w:rPr>
          <w:rFonts w:asciiTheme="minorHAnsi" w:hAnsiTheme="minorHAnsi" w:cstheme="minorHAnsi"/>
          <w:sz w:val="20"/>
          <w:szCs w:val="20"/>
        </w:rPr>
        <w:br/>
        <w:t>w tym wód powierzchniowych i wód podziemnych; lub dobremu stanowi środowiska wód morskich;</w:t>
      </w:r>
    </w:p>
    <w:p w14:paraId="5CDF7ADE" w14:textId="77777777" w:rsidR="000B4E64" w:rsidRPr="00D32FA0" w:rsidRDefault="000B4E64" w:rsidP="00D32FA0">
      <w:pPr>
        <w:pStyle w:val="xxmsonormal"/>
        <w:numPr>
          <w:ilvl w:val="0"/>
          <w:numId w:val="3"/>
        </w:numPr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D32FA0">
        <w:rPr>
          <w:rFonts w:asciiTheme="minorHAnsi" w:hAnsiTheme="minorHAnsi" w:cstheme="minorHAnsi"/>
          <w:sz w:val="20"/>
          <w:szCs w:val="20"/>
        </w:rPr>
        <w:t xml:space="preserve">gospodarce o obiegu zamkniętym, w tym zapobieganiu powstawaniu odpadów i recyklingowi, ponieważ: działalność ta nie prowadzi do znaczącego braku efektywności w wykorzystywaniu materiałów lub w bezpośrednim lub pośrednim wykorzystywaniu zasobów naturalnych, takich jak nieodnawialne źródła energii, surowce, woda i grunty, na co najmniej jednym z etapów cyklu życia produktów, w t </w:t>
      </w:r>
      <w:proofErr w:type="spellStart"/>
      <w:r w:rsidRPr="00D32FA0">
        <w:rPr>
          <w:rFonts w:asciiTheme="minorHAnsi" w:hAnsiTheme="minorHAnsi" w:cstheme="minorHAnsi"/>
          <w:sz w:val="20"/>
          <w:szCs w:val="20"/>
        </w:rPr>
        <w:t>ym</w:t>
      </w:r>
      <w:proofErr w:type="spellEnd"/>
      <w:r w:rsidRPr="00D32FA0">
        <w:rPr>
          <w:rFonts w:asciiTheme="minorHAnsi" w:hAnsiTheme="minorHAnsi" w:cstheme="minorHAnsi"/>
          <w:sz w:val="20"/>
          <w:szCs w:val="20"/>
        </w:rPr>
        <w:t xml:space="preserve"> pod względem trwałości  produktów, a także możliwości ich naprawy, ulepszenia, ponownego użycia lub recyklingu; działalność ta nie prowadzi do znacznego zwiększenia wytwarzania, spalania lub unieszkodliwiania odpadów, z wyjątkiem spalania odpadów  niebezpiecznych nienadających się do recyklingu; lub długotrwałe składowanie odpadów nie wyrządza poważnych i długoterminowych szkód dla środowiska;</w:t>
      </w:r>
    </w:p>
    <w:p w14:paraId="0479797C" w14:textId="77777777" w:rsidR="000B4E64" w:rsidRPr="00D32FA0" w:rsidRDefault="000B4E64" w:rsidP="00D32FA0">
      <w:pPr>
        <w:pStyle w:val="xxmsonormal"/>
        <w:numPr>
          <w:ilvl w:val="0"/>
          <w:numId w:val="3"/>
        </w:numPr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i/>
          <w:sz w:val="20"/>
          <w:szCs w:val="20"/>
        </w:rPr>
      </w:pPr>
      <w:r w:rsidRPr="00D32FA0">
        <w:rPr>
          <w:rFonts w:asciiTheme="minorHAnsi" w:hAnsiTheme="minorHAnsi" w:cstheme="minorHAnsi"/>
          <w:sz w:val="20"/>
          <w:szCs w:val="20"/>
        </w:rPr>
        <w:t>zapobieganiu zanieczyszczeniu i jego kontroli, ponieważ działalność ta nie prowadzi do znaczącego wzrostu emisji zanieczyszczeń do powietrza, wody lub ziemi w porównaniu z sytuacją sprzed rozpoczęcia tej działalności;</w:t>
      </w:r>
    </w:p>
    <w:p w14:paraId="45406407" w14:textId="03614F76" w:rsidR="000B4E64" w:rsidRPr="00D32FA0" w:rsidRDefault="000B4E64" w:rsidP="00D32FA0">
      <w:pPr>
        <w:pStyle w:val="xxmsonormal"/>
        <w:numPr>
          <w:ilvl w:val="0"/>
          <w:numId w:val="3"/>
        </w:numPr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D32FA0">
        <w:rPr>
          <w:rFonts w:asciiTheme="minorHAnsi" w:hAnsiTheme="minorHAnsi" w:cstheme="minorHAnsi"/>
          <w:sz w:val="20"/>
          <w:szCs w:val="20"/>
        </w:rPr>
        <w:t>ochronie i odbudowie bioróżnorodności i ekosystemów, ponieważ działalność ta: w znacznym stopniu nie szkodzi dobremu stanowi i odporności ekosystemów; lub nie jest szkodliwa dla stanu zachowania siedlisk i gatunków, w tym siedlisk i gatunków objętych zakresem zainteresowania Unii.</w:t>
      </w:r>
      <w:bookmarkStart w:id="0" w:name="_GoBack"/>
      <w:bookmarkEnd w:id="0"/>
    </w:p>
    <w:p w14:paraId="73275DCE" w14:textId="77777777" w:rsidR="00D32FA0" w:rsidRPr="00D32FA0" w:rsidRDefault="00D32FA0" w:rsidP="00D32FA0">
      <w:pPr>
        <w:tabs>
          <w:tab w:val="left" w:pos="3585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24A4193" w14:textId="77777777" w:rsidR="000B4E64" w:rsidRPr="00D32FA0" w:rsidRDefault="000B4E64" w:rsidP="00D32FA0">
      <w:pPr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D32FA0">
        <w:rPr>
          <w:rFonts w:asciiTheme="minorHAnsi" w:hAnsiTheme="minorHAnsi" w:cstheme="minorHAnsi"/>
          <w:sz w:val="20"/>
          <w:szCs w:val="20"/>
        </w:rPr>
        <w:lastRenderedPageBreak/>
        <w:t>……………………………………….</w:t>
      </w:r>
    </w:p>
    <w:p w14:paraId="12BC7353" w14:textId="0E2275A7" w:rsidR="000B4E64" w:rsidRPr="00D32FA0" w:rsidRDefault="000B4E64" w:rsidP="00D32FA0">
      <w:pPr>
        <w:spacing w:line="276" w:lineRule="auto"/>
        <w:ind w:left="5664" w:firstLine="708"/>
        <w:jc w:val="center"/>
        <w:rPr>
          <w:rFonts w:asciiTheme="minorHAnsi" w:hAnsiTheme="minorHAnsi" w:cstheme="minorHAnsi"/>
          <w:sz w:val="20"/>
          <w:szCs w:val="20"/>
        </w:rPr>
      </w:pPr>
      <w:r w:rsidRPr="00D32FA0">
        <w:rPr>
          <w:rFonts w:asciiTheme="minorHAnsi" w:hAnsiTheme="minorHAnsi" w:cstheme="minorHAnsi"/>
          <w:sz w:val="20"/>
          <w:szCs w:val="20"/>
        </w:rPr>
        <w:t>Podpis</w:t>
      </w:r>
    </w:p>
    <w:p w14:paraId="62A102FA" w14:textId="77777777" w:rsidR="000B4E64" w:rsidRPr="00D32FA0" w:rsidRDefault="000B4E64" w:rsidP="00D32FA0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32FA0">
        <w:rPr>
          <w:rFonts w:asciiTheme="minorHAnsi" w:hAnsiTheme="minorHAnsi" w:cstheme="minorHAnsi"/>
          <w:sz w:val="20"/>
          <w:szCs w:val="20"/>
        </w:rPr>
        <w:t>Wraz z oświadczeniem należy złożyć dokumenty potwierdzające zgodność z zasadami DNSH:</w:t>
      </w:r>
    </w:p>
    <w:p w14:paraId="55FC2A21" w14:textId="77777777" w:rsidR="000B4E64" w:rsidRPr="00D32FA0" w:rsidRDefault="000B4E64" w:rsidP="00D32FA0">
      <w:pPr>
        <w:pStyle w:val="Akapitzlist"/>
        <w:numPr>
          <w:ilvl w:val="0"/>
          <w:numId w:val="4"/>
        </w:numPr>
        <w:spacing w:line="276" w:lineRule="auto"/>
        <w:rPr>
          <w:rStyle w:val="Pogrubienie"/>
          <w:rFonts w:asciiTheme="minorHAnsi" w:hAnsiTheme="minorHAnsi" w:cstheme="minorHAnsi"/>
          <w:b w:val="0"/>
          <w:bCs w:val="0"/>
          <w:sz w:val="20"/>
          <w:szCs w:val="20"/>
        </w:rPr>
      </w:pPr>
      <w:r w:rsidRPr="00D32FA0">
        <w:rPr>
          <w:rFonts w:asciiTheme="minorHAnsi" w:hAnsiTheme="minorHAnsi" w:cstheme="minorHAnsi"/>
          <w:sz w:val="20"/>
          <w:szCs w:val="20"/>
        </w:rPr>
        <w:t xml:space="preserve">Certyfikat </w:t>
      </w:r>
      <w:r w:rsidRPr="00D32FA0">
        <w:rPr>
          <w:rStyle w:val="Pogrubienie"/>
          <w:rFonts w:asciiTheme="minorHAnsi" w:hAnsiTheme="minorHAnsi" w:cstheme="minorHAnsi"/>
          <w:sz w:val="20"/>
          <w:szCs w:val="20"/>
        </w:rPr>
        <w:t>CE</w:t>
      </w:r>
    </w:p>
    <w:p w14:paraId="45E910C0" w14:textId="77777777" w:rsidR="000B4E64" w:rsidRPr="00D32FA0" w:rsidRDefault="000B4E64" w:rsidP="00D32FA0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32FA0">
        <w:rPr>
          <w:rFonts w:asciiTheme="minorHAnsi" w:hAnsiTheme="minorHAnsi" w:cstheme="minorHAnsi"/>
          <w:sz w:val="20"/>
          <w:szCs w:val="20"/>
        </w:rPr>
        <w:t>Karty techniczne/specyfikacje urządzeń</w:t>
      </w:r>
    </w:p>
    <w:p w14:paraId="19346AA5" w14:textId="77777777" w:rsidR="000B4E64" w:rsidRPr="00D32FA0" w:rsidRDefault="000B4E64" w:rsidP="00D32FA0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32FA0">
        <w:rPr>
          <w:rFonts w:asciiTheme="minorHAnsi" w:hAnsiTheme="minorHAnsi" w:cstheme="minorHAnsi"/>
          <w:sz w:val="20"/>
          <w:szCs w:val="20"/>
        </w:rPr>
        <w:t>Certyfikaty/deklaracja środowiskowa produktu (jeśli dotyczy)</w:t>
      </w:r>
    </w:p>
    <w:p w14:paraId="20EB3A6E" w14:textId="44073FD8" w:rsidR="00E666B2" w:rsidRPr="006C269B" w:rsidRDefault="00E666B2" w:rsidP="000B4E64">
      <w:pPr>
        <w:pStyle w:val="xxmsonormal"/>
        <w:spacing w:before="0" w:beforeAutospacing="0" w:after="0" w:afterAutospacing="0"/>
        <w:jc w:val="center"/>
        <w:rPr>
          <w:rFonts w:asciiTheme="minorHAnsi" w:hAnsiTheme="minorHAnsi" w:cstheme="minorHAnsi"/>
        </w:rPr>
      </w:pPr>
    </w:p>
    <w:sectPr w:rsidR="00E666B2" w:rsidRPr="006C269B" w:rsidSect="00D32FA0">
      <w:headerReference w:type="default" r:id="rId8"/>
      <w:footerReference w:type="default" r:id="rId9"/>
      <w:pgSz w:w="11906" w:h="16838"/>
      <w:pgMar w:top="1417" w:right="1417" w:bottom="1417" w:left="1417" w:header="568" w:footer="4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08460" w14:textId="77777777" w:rsidR="00C77D54" w:rsidRDefault="00C77D54" w:rsidP="00F4364D">
      <w:r>
        <w:separator/>
      </w:r>
    </w:p>
  </w:endnote>
  <w:endnote w:type="continuationSeparator" w:id="0">
    <w:p w14:paraId="05B833E7" w14:textId="77777777" w:rsidR="00C77D54" w:rsidRDefault="00C77D54" w:rsidP="00F43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E2E86" w14:textId="77777777" w:rsidR="00883B62" w:rsidRPr="0029524A" w:rsidRDefault="00883B62" w:rsidP="00883B62">
    <w:pPr>
      <w:pStyle w:val="NormalnyWeb"/>
      <w:spacing w:before="0" w:beforeAutospacing="0" w:after="0" w:afterAutospacing="0"/>
      <w:rPr>
        <w:sz w:val="20"/>
        <w:szCs w:val="20"/>
      </w:rPr>
    </w:pPr>
    <w:r w:rsidRPr="0029524A">
      <w:rPr>
        <w:sz w:val="20"/>
        <w:szCs w:val="20"/>
      </w:rPr>
      <w:t xml:space="preserve">Zamówienie realizowane jest w ramach projektu </w:t>
    </w:r>
    <w:r w:rsidRPr="0029524A">
      <w:rPr>
        <w:rStyle w:val="object"/>
        <w:sz w:val="20"/>
        <w:szCs w:val="20"/>
      </w:rPr>
      <w:t>pn</w:t>
    </w:r>
    <w:r w:rsidRPr="0029524A">
      <w:rPr>
        <w:sz w:val="20"/>
        <w:szCs w:val="20"/>
      </w:rPr>
      <w:t>.:</w:t>
    </w:r>
    <w:r w:rsidRPr="0029524A">
      <w:rPr>
        <w:sz w:val="20"/>
        <w:szCs w:val="20"/>
      </w:rPr>
      <w:br/>
    </w:r>
    <w:r w:rsidRPr="0029524A">
      <w:rPr>
        <w:rStyle w:val="Pogrubienie"/>
        <w:sz w:val="20"/>
        <w:szCs w:val="20"/>
      </w:rPr>
      <w:t>„Modernizacja i doposażenie bazy dydaktycznej pod potrzeby centrum nauk przedklinicznych Uniwersytetu Zielonogórskiego”</w:t>
    </w:r>
    <w:r w:rsidRPr="0029524A">
      <w:rPr>
        <w:sz w:val="20"/>
        <w:szCs w:val="20"/>
      </w:rPr>
      <w:t xml:space="preserve">, Umowa nr KPOD.07.05-IP.10-0005/25/KPO/2157/2025/222, współfinansowanego ze środków </w:t>
    </w:r>
    <w:r w:rsidRPr="0029524A">
      <w:rPr>
        <w:rStyle w:val="Pogrubienie"/>
        <w:sz w:val="20"/>
        <w:szCs w:val="20"/>
      </w:rPr>
      <w:t xml:space="preserve">Krajowego Planu Odbudowy i Zwiększania Odporności (KPO) </w:t>
    </w:r>
    <w:r w:rsidRPr="0029524A">
      <w:rPr>
        <w:sz w:val="20"/>
        <w:szCs w:val="20"/>
      </w:rPr>
      <w:t xml:space="preserve">w ramach inwestycji </w:t>
    </w:r>
    <w:r w:rsidRPr="0029524A">
      <w:rPr>
        <w:rStyle w:val="Pogrubienie"/>
        <w:sz w:val="20"/>
        <w:szCs w:val="20"/>
      </w:rPr>
      <w:t>D2.1.1 – Inwestycje związane z modernizacją i doposażeniem obiektów dydaktycznych w związku ze zwiększeniem limitów przyjęć na studia medyczne</w:t>
    </w:r>
    <w:r w:rsidRPr="0029524A">
      <w:rPr>
        <w:sz w:val="20"/>
        <w:szCs w:val="20"/>
      </w:rPr>
      <w:t>.</w:t>
    </w:r>
  </w:p>
  <w:p w14:paraId="732BBF91" w14:textId="20212A13" w:rsidR="00883B62" w:rsidRDefault="00883B62" w:rsidP="00883B62">
    <w:pPr>
      <w:pStyle w:val="NormalnyWeb"/>
      <w:spacing w:before="0" w:beforeAutospacing="0" w:after="0" w:afterAutospacing="0"/>
      <w:rPr>
        <w:sz w:val="20"/>
        <w:szCs w:val="20"/>
      </w:rPr>
    </w:pPr>
    <w:r w:rsidRPr="0029524A">
      <w:rPr>
        <w:sz w:val="20"/>
        <w:szCs w:val="20"/>
      </w:rPr>
      <w:t xml:space="preserve">Celem zamówienia jest realizacja działań przyczyniających się do osiągnięcia wskaźnika </w:t>
    </w:r>
    <w:r w:rsidRPr="0029524A">
      <w:rPr>
        <w:rStyle w:val="Pogrubienie"/>
        <w:sz w:val="20"/>
        <w:szCs w:val="20"/>
      </w:rPr>
      <w:t xml:space="preserve">D31G </w:t>
    </w:r>
  </w:p>
  <w:p w14:paraId="27A68B0E" w14:textId="39B68501" w:rsidR="00070CD2" w:rsidRDefault="00883B62" w:rsidP="00883B62">
    <w:pPr>
      <w:pStyle w:val="Stopka"/>
      <w:jc w:val="right"/>
    </w:pPr>
    <w:r w:rsidRPr="003525F5">
      <w:rPr>
        <w:rStyle w:val="Numerstrony"/>
        <w:sz w:val="20"/>
        <w:szCs w:val="20"/>
      </w:rPr>
      <w:t xml:space="preserve">Strona </w:t>
    </w:r>
    <w:r w:rsidRPr="003525F5">
      <w:rPr>
        <w:rStyle w:val="Numerstrony"/>
        <w:rFonts w:ascii="Georgia" w:hAnsi="Georgia"/>
        <w:sz w:val="20"/>
        <w:szCs w:val="20"/>
      </w:rPr>
      <w:fldChar w:fldCharType="begin"/>
    </w:r>
    <w:r w:rsidRPr="003525F5">
      <w:rPr>
        <w:rStyle w:val="Numerstrony"/>
        <w:rFonts w:ascii="Georgia" w:hAnsi="Georgia"/>
        <w:sz w:val="20"/>
        <w:szCs w:val="20"/>
      </w:rPr>
      <w:instrText xml:space="preserve"> PAGE </w:instrText>
    </w:r>
    <w:r w:rsidRPr="003525F5">
      <w:rPr>
        <w:rStyle w:val="Numerstrony"/>
        <w:rFonts w:ascii="Georgia" w:hAnsi="Georgia"/>
        <w:sz w:val="20"/>
        <w:szCs w:val="20"/>
      </w:rPr>
      <w:fldChar w:fldCharType="separate"/>
    </w:r>
    <w:r w:rsidR="00D32FA0">
      <w:rPr>
        <w:rStyle w:val="Numerstrony"/>
        <w:rFonts w:ascii="Georgia" w:hAnsi="Georgia"/>
        <w:noProof/>
        <w:sz w:val="20"/>
        <w:szCs w:val="20"/>
      </w:rPr>
      <w:t>1</w:t>
    </w:r>
    <w:r w:rsidRPr="003525F5">
      <w:rPr>
        <w:rStyle w:val="Numerstrony"/>
        <w:rFonts w:ascii="Georgia" w:hAnsi="Georgia"/>
        <w:sz w:val="20"/>
        <w:szCs w:val="20"/>
      </w:rPr>
      <w:fldChar w:fldCharType="end"/>
    </w:r>
    <w:r w:rsidRPr="003525F5">
      <w:rPr>
        <w:rStyle w:val="Numerstrony"/>
        <w:rFonts w:ascii="Georgia" w:hAnsi="Georgia"/>
        <w:sz w:val="20"/>
        <w:szCs w:val="20"/>
      </w:rPr>
      <w:t xml:space="preserve"> z </w:t>
    </w:r>
    <w:r w:rsidRPr="003525F5">
      <w:rPr>
        <w:rStyle w:val="Numerstrony"/>
        <w:rFonts w:ascii="Georgia" w:hAnsi="Georgia"/>
        <w:sz w:val="20"/>
        <w:szCs w:val="20"/>
      </w:rPr>
      <w:fldChar w:fldCharType="begin"/>
    </w:r>
    <w:r w:rsidRPr="003525F5">
      <w:rPr>
        <w:rStyle w:val="Numerstrony"/>
        <w:rFonts w:ascii="Georgia" w:hAnsi="Georgia"/>
        <w:sz w:val="20"/>
        <w:szCs w:val="20"/>
      </w:rPr>
      <w:instrText xml:space="preserve"> NUMPAGES </w:instrText>
    </w:r>
    <w:r w:rsidRPr="003525F5">
      <w:rPr>
        <w:rStyle w:val="Numerstrony"/>
        <w:rFonts w:ascii="Georgia" w:hAnsi="Georgia"/>
        <w:sz w:val="20"/>
        <w:szCs w:val="20"/>
      </w:rPr>
      <w:fldChar w:fldCharType="separate"/>
    </w:r>
    <w:r w:rsidR="00D32FA0">
      <w:rPr>
        <w:rStyle w:val="Numerstrony"/>
        <w:rFonts w:ascii="Georgia" w:hAnsi="Georgia"/>
        <w:noProof/>
        <w:sz w:val="20"/>
        <w:szCs w:val="20"/>
      </w:rPr>
      <w:t>1</w:t>
    </w:r>
    <w:r w:rsidRPr="003525F5">
      <w:rPr>
        <w:rStyle w:val="Numerstrony"/>
        <w:rFonts w:ascii="Georgia" w:hAnsi="Georg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D6300" w14:textId="77777777" w:rsidR="00C77D54" w:rsidRDefault="00C77D54" w:rsidP="00F4364D">
      <w:r>
        <w:separator/>
      </w:r>
    </w:p>
  </w:footnote>
  <w:footnote w:type="continuationSeparator" w:id="0">
    <w:p w14:paraId="7375ECFA" w14:textId="77777777" w:rsidR="00C77D54" w:rsidRDefault="00C77D54" w:rsidP="00F43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Look w:val="04A0" w:firstRow="1" w:lastRow="0" w:firstColumn="1" w:lastColumn="0" w:noHBand="0" w:noVBand="1"/>
    </w:tblPr>
    <w:tblGrid>
      <w:gridCol w:w="8850"/>
      <w:gridCol w:w="222"/>
    </w:tblGrid>
    <w:tr w:rsidR="00070CD2" w:rsidRPr="00A25A03" w14:paraId="582975D5" w14:textId="77777777" w:rsidTr="00070CD2">
      <w:trPr>
        <w:trHeight w:val="176"/>
      </w:trPr>
      <w:tc>
        <w:tcPr>
          <w:tcW w:w="8850" w:type="dxa"/>
          <w:shd w:val="clear" w:color="auto" w:fill="auto"/>
        </w:tcPr>
        <w:p w14:paraId="2F0C8304" w14:textId="57ECD9B3" w:rsidR="00070CD2" w:rsidRPr="000B0597" w:rsidRDefault="00D32FA0" w:rsidP="00070CD2">
          <w:pPr>
            <w:tabs>
              <w:tab w:val="left" w:pos="6248"/>
            </w:tabs>
            <w:rPr>
              <w:b/>
              <w:sz w:val="18"/>
              <w:szCs w:val="20"/>
            </w:rPr>
          </w:pPr>
          <w:r>
            <w:rPr>
              <w:noProof/>
            </w:rPr>
            <w:pict w14:anchorId="1CF0AB6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7" type="#_x0000_t75" style="width:454.5pt;height:45.75pt;mso-position-horizontal-relative:char;mso-position-vertical-relative:line">
                <v:imagedata r:id="rId1" o:title=""/>
              </v:shape>
            </w:pict>
          </w:r>
        </w:p>
      </w:tc>
      <w:tc>
        <w:tcPr>
          <w:tcW w:w="222" w:type="dxa"/>
          <w:shd w:val="clear" w:color="auto" w:fill="auto"/>
        </w:tcPr>
        <w:p w14:paraId="0E0B0773" w14:textId="3007B5F5" w:rsidR="00070CD2" w:rsidRPr="000B0597" w:rsidRDefault="00070CD2" w:rsidP="00070CD2">
          <w:pPr>
            <w:tabs>
              <w:tab w:val="left" w:pos="6248"/>
            </w:tabs>
            <w:jc w:val="right"/>
            <w:rPr>
              <w:b/>
              <w:sz w:val="18"/>
              <w:szCs w:val="20"/>
            </w:rPr>
          </w:pPr>
        </w:p>
      </w:tc>
    </w:tr>
    <w:tr w:rsidR="00070CD2" w:rsidRPr="00A25A03" w14:paraId="6E0783F5" w14:textId="77777777" w:rsidTr="00070CD2">
      <w:trPr>
        <w:trHeight w:val="176"/>
      </w:trPr>
      <w:tc>
        <w:tcPr>
          <w:tcW w:w="8850" w:type="dxa"/>
          <w:shd w:val="clear" w:color="auto" w:fill="auto"/>
        </w:tcPr>
        <w:p w14:paraId="37A8D9C1" w14:textId="77777777" w:rsidR="00070CD2" w:rsidRPr="00E70B76" w:rsidRDefault="00070CD2" w:rsidP="00070CD2">
          <w:pPr>
            <w:tabs>
              <w:tab w:val="left" w:pos="6248"/>
            </w:tabs>
            <w:rPr>
              <w:noProof/>
            </w:rPr>
          </w:pPr>
        </w:p>
      </w:tc>
      <w:tc>
        <w:tcPr>
          <w:tcW w:w="222" w:type="dxa"/>
          <w:shd w:val="clear" w:color="auto" w:fill="auto"/>
        </w:tcPr>
        <w:p w14:paraId="63B691E2" w14:textId="77777777" w:rsidR="00070CD2" w:rsidRPr="000B0597" w:rsidRDefault="00070CD2" w:rsidP="00070CD2">
          <w:pPr>
            <w:tabs>
              <w:tab w:val="left" w:pos="6248"/>
            </w:tabs>
            <w:jc w:val="right"/>
            <w:rPr>
              <w:b/>
              <w:sz w:val="18"/>
              <w:szCs w:val="20"/>
            </w:rPr>
          </w:pPr>
        </w:p>
      </w:tc>
    </w:tr>
    <w:tr w:rsidR="00070CD2" w:rsidRPr="00A25A03" w14:paraId="57BB0906" w14:textId="77777777" w:rsidTr="00070CD2">
      <w:trPr>
        <w:trHeight w:val="74"/>
      </w:trPr>
      <w:tc>
        <w:tcPr>
          <w:tcW w:w="8850" w:type="dxa"/>
          <w:shd w:val="clear" w:color="auto" w:fill="auto"/>
        </w:tcPr>
        <w:p w14:paraId="2177894F" w14:textId="4C831C7D" w:rsidR="00070CD2" w:rsidRPr="000B0597" w:rsidRDefault="00070CD2" w:rsidP="00070CD2">
          <w:pPr>
            <w:tabs>
              <w:tab w:val="left" w:pos="6248"/>
            </w:tabs>
            <w:rPr>
              <w:b/>
              <w:sz w:val="18"/>
              <w:szCs w:val="20"/>
            </w:rPr>
          </w:pPr>
          <w:r w:rsidRPr="00070CD2">
            <w:rPr>
              <w:b/>
              <w:sz w:val="18"/>
              <w:szCs w:val="20"/>
            </w:rPr>
            <w:t>Znak  sprawy: RA-ZP.2610.36.2025</w:t>
          </w:r>
          <w:r>
            <w:t xml:space="preserve">                                                              </w:t>
          </w:r>
          <w:r>
            <w:rPr>
              <w:b/>
              <w:sz w:val="18"/>
              <w:szCs w:val="20"/>
            </w:rPr>
            <w:t>załącznik nr 8</w:t>
          </w:r>
          <w:r w:rsidRPr="00070CD2">
            <w:rPr>
              <w:b/>
              <w:sz w:val="18"/>
              <w:szCs w:val="20"/>
            </w:rPr>
            <w:t xml:space="preserve"> do SWZ</w:t>
          </w:r>
        </w:p>
      </w:tc>
      <w:tc>
        <w:tcPr>
          <w:tcW w:w="222" w:type="dxa"/>
          <w:shd w:val="clear" w:color="auto" w:fill="auto"/>
        </w:tcPr>
        <w:p w14:paraId="01DB5E3D" w14:textId="1680BD84" w:rsidR="00070CD2" w:rsidRPr="000B0597" w:rsidRDefault="00070CD2" w:rsidP="00070CD2">
          <w:pPr>
            <w:tabs>
              <w:tab w:val="left" w:pos="6248"/>
            </w:tabs>
            <w:rPr>
              <w:b/>
              <w:sz w:val="18"/>
              <w:szCs w:val="20"/>
            </w:rPr>
          </w:pPr>
        </w:p>
      </w:tc>
    </w:tr>
  </w:tbl>
  <w:p w14:paraId="5B2673B3" w14:textId="46F727E1" w:rsidR="00921BA2" w:rsidRDefault="00921BA2" w:rsidP="00070CD2">
    <w:pPr>
      <w:pStyle w:val="Nagwek"/>
      <w:tabs>
        <w:tab w:val="clear" w:pos="4536"/>
        <w:tab w:val="clear" w:pos="9072"/>
        <w:tab w:val="left" w:pos="26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82D92"/>
    <w:multiLevelType w:val="hybridMultilevel"/>
    <w:tmpl w:val="47AA9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75725"/>
    <w:multiLevelType w:val="hybridMultilevel"/>
    <w:tmpl w:val="DB0CDC10"/>
    <w:lvl w:ilvl="0" w:tplc="44CA54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44548"/>
    <w:multiLevelType w:val="multilevel"/>
    <w:tmpl w:val="320AF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8A234E"/>
    <w:multiLevelType w:val="hybridMultilevel"/>
    <w:tmpl w:val="30465C8A"/>
    <w:lvl w:ilvl="0" w:tplc="04150011">
      <w:start w:val="1"/>
      <w:numFmt w:val="decimal"/>
      <w:lvlText w:val="%1)"/>
      <w:lvlJc w:val="left"/>
      <w:pPr>
        <w:ind w:left="64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176" w:hanging="360"/>
      </w:pPr>
    </w:lvl>
    <w:lvl w:ilvl="2" w:tplc="0415001B" w:tentative="1">
      <w:start w:val="1"/>
      <w:numFmt w:val="lowerRoman"/>
      <w:lvlText w:val="%3."/>
      <w:lvlJc w:val="right"/>
      <w:pPr>
        <w:ind w:left="7896" w:hanging="180"/>
      </w:pPr>
    </w:lvl>
    <w:lvl w:ilvl="3" w:tplc="0415000F" w:tentative="1">
      <w:start w:val="1"/>
      <w:numFmt w:val="decimal"/>
      <w:lvlText w:val="%4."/>
      <w:lvlJc w:val="left"/>
      <w:pPr>
        <w:ind w:left="8616" w:hanging="360"/>
      </w:pPr>
    </w:lvl>
    <w:lvl w:ilvl="4" w:tplc="04150019" w:tentative="1">
      <w:start w:val="1"/>
      <w:numFmt w:val="lowerLetter"/>
      <w:lvlText w:val="%5."/>
      <w:lvlJc w:val="left"/>
      <w:pPr>
        <w:ind w:left="9336" w:hanging="360"/>
      </w:pPr>
    </w:lvl>
    <w:lvl w:ilvl="5" w:tplc="0415001B" w:tentative="1">
      <w:start w:val="1"/>
      <w:numFmt w:val="lowerRoman"/>
      <w:lvlText w:val="%6."/>
      <w:lvlJc w:val="right"/>
      <w:pPr>
        <w:ind w:left="10056" w:hanging="180"/>
      </w:pPr>
    </w:lvl>
    <w:lvl w:ilvl="6" w:tplc="0415000F" w:tentative="1">
      <w:start w:val="1"/>
      <w:numFmt w:val="decimal"/>
      <w:lvlText w:val="%7."/>
      <w:lvlJc w:val="left"/>
      <w:pPr>
        <w:ind w:left="10776" w:hanging="360"/>
      </w:pPr>
    </w:lvl>
    <w:lvl w:ilvl="7" w:tplc="04150019" w:tentative="1">
      <w:start w:val="1"/>
      <w:numFmt w:val="lowerLetter"/>
      <w:lvlText w:val="%8."/>
      <w:lvlJc w:val="left"/>
      <w:pPr>
        <w:ind w:left="11496" w:hanging="360"/>
      </w:pPr>
    </w:lvl>
    <w:lvl w:ilvl="8" w:tplc="0415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4" w15:restartNumberingAfterBreak="0">
    <w:nsid w:val="3F0321FB"/>
    <w:multiLevelType w:val="hybridMultilevel"/>
    <w:tmpl w:val="9DE60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853FC"/>
    <w:multiLevelType w:val="hybridMultilevel"/>
    <w:tmpl w:val="631CAB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C5664"/>
    <w:multiLevelType w:val="hybridMultilevel"/>
    <w:tmpl w:val="137850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40C"/>
    <w:rsid w:val="00055975"/>
    <w:rsid w:val="00070CD2"/>
    <w:rsid w:val="000B4E64"/>
    <w:rsid w:val="003C28C0"/>
    <w:rsid w:val="003D3D61"/>
    <w:rsid w:val="005A640C"/>
    <w:rsid w:val="006C269B"/>
    <w:rsid w:val="007A2620"/>
    <w:rsid w:val="00883B62"/>
    <w:rsid w:val="00921BA2"/>
    <w:rsid w:val="00C77D54"/>
    <w:rsid w:val="00D32FA0"/>
    <w:rsid w:val="00D91CF9"/>
    <w:rsid w:val="00E666B2"/>
    <w:rsid w:val="00F4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18C0B30B"/>
  <w15:chartTrackingRefBased/>
  <w15:docId w15:val="{B6D5BCC2-6AE1-4075-A0B5-C56796523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5A640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xmsonormal">
    <w:name w:val="x_x_msonormal"/>
    <w:basedOn w:val="Normalny"/>
    <w:rsid w:val="005A640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A640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A640C"/>
    <w:rPr>
      <w:b/>
      <w:bCs/>
    </w:rPr>
  </w:style>
  <w:style w:type="paragraph" w:styleId="NormalnyWeb">
    <w:name w:val="Normal (Web)"/>
    <w:basedOn w:val="Normalny"/>
    <w:uiPriority w:val="99"/>
    <w:unhideWhenUsed/>
    <w:rsid w:val="00E666B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36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364D"/>
    <w:rPr>
      <w:rFonts w:ascii="Arial" w:eastAsia="Arial" w:hAnsi="Arial" w:cs="Arial"/>
    </w:rPr>
  </w:style>
  <w:style w:type="paragraph" w:styleId="Stopka">
    <w:name w:val="footer"/>
    <w:basedOn w:val="Normalny"/>
    <w:link w:val="StopkaZnak"/>
    <w:unhideWhenUsed/>
    <w:rsid w:val="00F436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64D"/>
    <w:rPr>
      <w:rFonts w:ascii="Arial" w:eastAsia="Arial" w:hAnsi="Arial" w:cs="Arial"/>
    </w:rPr>
  </w:style>
  <w:style w:type="character" w:styleId="Numerstrony">
    <w:name w:val="page number"/>
    <w:basedOn w:val="Domylnaczcionkaakapitu"/>
    <w:rsid w:val="00883B62"/>
  </w:style>
  <w:style w:type="character" w:customStyle="1" w:styleId="object">
    <w:name w:val="object"/>
    <w:rsid w:val="00883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F812D-4A34-4751-ACB4-DFFD17E60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Lewandowska</dc:creator>
  <cp:keywords/>
  <dc:description/>
  <cp:lastModifiedBy>Aleksandra Strzelczyk</cp:lastModifiedBy>
  <cp:revision>3</cp:revision>
  <cp:lastPrinted>2025-09-10T07:31:00Z</cp:lastPrinted>
  <dcterms:created xsi:type="dcterms:W3CDTF">2025-09-12T06:04:00Z</dcterms:created>
  <dcterms:modified xsi:type="dcterms:W3CDTF">2025-09-12T06:07:00Z</dcterms:modified>
</cp:coreProperties>
</file>