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4C" w:rsidRDefault="004D4C75" w:rsidP="00B4394C">
      <w:pPr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4</w:t>
      </w:r>
      <w:r w:rsidR="00B4394C">
        <w:rPr>
          <w:rFonts w:ascii="Verdana" w:hAnsi="Verdana"/>
          <w:sz w:val="18"/>
          <w:szCs w:val="18"/>
        </w:rPr>
        <w:t>.1 do SWZ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Wykonawca: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Default="00B4394C" w:rsidP="00B4394C">
      <w:pPr>
        <w:jc w:val="right"/>
        <w:rPr>
          <w:rFonts w:ascii="Verdana" w:hAnsi="Verdana"/>
          <w:sz w:val="18"/>
          <w:szCs w:val="18"/>
        </w:rPr>
      </w:pPr>
    </w:p>
    <w:p w:rsidR="00B4394C" w:rsidRPr="00B4394C" w:rsidRDefault="00B4394C" w:rsidP="00B4394C">
      <w:pPr>
        <w:jc w:val="center"/>
        <w:rPr>
          <w:rFonts w:ascii="Verdana" w:hAnsi="Verdana"/>
          <w:b/>
          <w:sz w:val="20"/>
          <w:szCs w:val="18"/>
        </w:rPr>
      </w:pPr>
      <w:r w:rsidRPr="00B4394C">
        <w:rPr>
          <w:rFonts w:ascii="Verdana" w:hAnsi="Verdana"/>
          <w:b/>
          <w:sz w:val="20"/>
          <w:szCs w:val="18"/>
        </w:rPr>
        <w:t xml:space="preserve">PRZEDMIOTOWE ŚRODKI DOWODOWE DLA CZĘŚCI 1 – </w:t>
      </w:r>
      <w:r w:rsidRPr="00B4394C">
        <w:rPr>
          <w:rFonts w:ascii="Verdana" w:hAnsi="Verdana"/>
          <w:b/>
          <w:sz w:val="20"/>
          <w:szCs w:val="18"/>
          <w:u w:val="single"/>
        </w:rPr>
        <w:t>SKŁADANE WRAZ Z OFERTĄ</w:t>
      </w:r>
    </w:p>
    <w:tbl>
      <w:tblPr>
        <w:tblW w:w="14540" w:type="dxa"/>
        <w:tblCellMar>
          <w:left w:w="10" w:type="dxa"/>
          <w:right w:w="10" w:type="dxa"/>
        </w:tblCellMar>
        <w:tblLook w:val="0000"/>
      </w:tblPr>
      <w:tblGrid>
        <w:gridCol w:w="1140"/>
        <w:gridCol w:w="4220"/>
        <w:gridCol w:w="2880"/>
        <w:gridCol w:w="960"/>
        <w:gridCol w:w="1480"/>
        <w:gridCol w:w="1780"/>
        <w:gridCol w:w="2080"/>
      </w:tblGrid>
      <w:tr w:rsidR="00B4394C" w:rsidRPr="00B4394C" w:rsidTr="00214961">
        <w:trPr>
          <w:trHeight w:val="151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Nr części</w:t>
            </w:r>
          </w:p>
        </w:tc>
        <w:tc>
          <w:tcPr>
            <w:tcW w:w="4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Nazwa elementu</w:t>
            </w:r>
          </w:p>
        </w:tc>
        <w:tc>
          <w:tcPr>
            <w:tcW w:w="2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9D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Pełna nazwa handlowa oferowanego urządzenia, oprogramowania (producent, model, symbol)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1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9D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całkowita netto</w:t>
            </w:r>
          </w:p>
        </w:tc>
        <w:tc>
          <w:tcPr>
            <w:tcW w:w="2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9D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całkowita brutto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Aktualizacja licencji dla posiadanych UTM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66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Zakup urządzeń UTM wraz z licencjami oraz wsparciem i gwarancją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Zasilacz awaryjny </w:t>
            </w:r>
            <w:proofErr w:type="spellStart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Zasilacz awaryjny </w:t>
            </w:r>
            <w:proofErr w:type="spellStart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lastRenderedPageBreak/>
              <w:t>5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Serwer NAS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Dyski HDD SATA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Oprogramowanie do tworzenia kopii bezpieczeństwa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Automatyczny przełącznik zasilania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Zakup licencji na system wirtualizacji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Przełącznik </w:t>
            </w:r>
            <w:proofErr w:type="spellStart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zarządzalny</w:t>
            </w:r>
            <w:proofErr w:type="spellEnd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Zarządzalny</w:t>
            </w:r>
            <w:proofErr w:type="spellEnd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przełącznik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Punkt dostępowy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Serwer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17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  <w:tc>
          <w:tcPr>
            <w:tcW w:w="2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</w:tr>
      <w:tr w:rsidR="00B4394C" w:rsidRPr="00B4394C" w:rsidTr="00214961">
        <w:trPr>
          <w:trHeight w:val="1519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Nr części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Nazwa elementu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8EA9D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Pełna nazwa handlowa oferowanego urządzenia, oprogramowania (producent, model, symbol)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8EA9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8EA9D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całkowita netto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8EA9D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całkowita brutto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Serwer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Serwerowy system operacyjny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Serwer NAS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66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Zarządzalny</w:t>
            </w:r>
            <w:proofErr w:type="spellEnd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przełącznik </w:t>
            </w:r>
            <w:proofErr w:type="spellStart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PoE</w:t>
            </w:r>
            <w:proofErr w:type="spellEnd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645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Sprzętowy kontroler nadzoru urządzeń sieciowych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Zasilacz awaryjny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Zarządzalny</w:t>
            </w:r>
            <w:proofErr w:type="spellEnd"/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przełącznik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Punkt dostępowy 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4394C" w:rsidRPr="00B4394C" w:rsidTr="00214961">
        <w:trPr>
          <w:trHeight w:val="4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Klucz sprzętowy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4394C" w:rsidRPr="00B4394C" w:rsidRDefault="00B4394C" w:rsidP="00214961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B4394C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B4394C" w:rsidRDefault="00B4394C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Dodatkowe koszty związane z realizacją dostawy</w:t>
      </w:r>
      <w:r w:rsidR="00645FBE">
        <w:rPr>
          <w:rFonts w:ascii="Verdana" w:hAnsi="Verdana"/>
          <w:sz w:val="18"/>
          <w:szCs w:val="18"/>
        </w:rPr>
        <w:t xml:space="preserve"> (jeżeli występują – czego dotyczą)</w:t>
      </w:r>
      <w:r>
        <w:rPr>
          <w:rFonts w:ascii="Verdana" w:hAnsi="Verdana"/>
          <w:sz w:val="18"/>
          <w:szCs w:val="18"/>
        </w:rPr>
        <w:t>:  ……………………………zł netto, …………………………………….zł brutto</w:t>
      </w:r>
    </w:p>
    <w:p w:rsidR="005C0821" w:rsidRDefault="005C0821" w:rsidP="00B4394C">
      <w:pPr>
        <w:rPr>
          <w:rFonts w:ascii="Verdana" w:hAnsi="Verdana"/>
          <w:sz w:val="18"/>
          <w:szCs w:val="18"/>
        </w:rPr>
      </w:pPr>
    </w:p>
    <w:p w:rsidR="005C0821" w:rsidRDefault="005C0821" w:rsidP="00B4394C">
      <w:pPr>
        <w:rPr>
          <w:rFonts w:ascii="Verdana" w:hAnsi="Verdana"/>
          <w:sz w:val="18"/>
          <w:szCs w:val="18"/>
        </w:rPr>
      </w:pPr>
    </w:p>
    <w:p w:rsidR="005C0821" w:rsidRDefault="005C0821" w:rsidP="00B4394C">
      <w:pPr>
        <w:rPr>
          <w:rFonts w:ascii="Verdana" w:hAnsi="Verdana"/>
          <w:sz w:val="18"/>
          <w:szCs w:val="18"/>
        </w:rPr>
      </w:pPr>
    </w:p>
    <w:p w:rsidR="005C0821" w:rsidRPr="00B4394C" w:rsidRDefault="005C0821" w:rsidP="00B4394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tbl>
      <w:tblPr>
        <w:tblW w:w="9923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8080"/>
        <w:gridCol w:w="1843"/>
      </w:tblGrid>
      <w:tr w:rsidR="005C0821" w:rsidRPr="00A0027F" w:rsidTr="00C02430">
        <w:trPr>
          <w:trHeight w:val="109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lang w:eastAsia="pl-PL"/>
              </w:rPr>
            </w:pPr>
            <w:r w:rsidRPr="00A0027F">
              <w:rPr>
                <w:rFonts w:ascii="Verdana" w:hAnsi="Verdana" w:cs="Calibri"/>
                <w:b/>
                <w:bCs/>
                <w:color w:val="FFFFFF"/>
                <w:lang w:eastAsia="pl-PL"/>
              </w:rPr>
              <w:lastRenderedPageBreak/>
              <w:t>Tabela 1</w:t>
            </w:r>
            <w:r>
              <w:rPr>
                <w:rFonts w:ascii="Verdana" w:hAnsi="Verdana" w:cs="Calibri"/>
                <w:b/>
                <w:bCs/>
                <w:color w:val="FFFFFF"/>
                <w:lang w:eastAsia="pl-PL"/>
              </w:rPr>
              <w:t xml:space="preserve"> – Część 1</w:t>
            </w:r>
            <w:r w:rsidRPr="00A0027F">
              <w:rPr>
                <w:rFonts w:ascii="Verdana" w:hAnsi="Verdana" w:cs="Calibri"/>
                <w:b/>
                <w:bCs/>
                <w:color w:val="FFFFFF"/>
                <w:lang w:eastAsia="pl-PL"/>
              </w:rPr>
              <w:t>. Wypełnić w przypadku oferowania produktu równoważnego  w stosunku do pozycji - serwer, element  "Licencja serwerowy system operacyjny"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A0027F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Specyfikacja funkcjonalności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A0027F">
              <w:rPr>
                <w:rFonts w:ascii="Verdana" w:hAnsi="Verdana" w:cs="Calibri"/>
                <w:b/>
                <w:bCs/>
                <w:color w:val="FFFFFF"/>
                <w:sz w:val="20"/>
                <w:szCs w:val="20"/>
                <w:lang w:eastAsia="pl-PL"/>
              </w:rPr>
              <w:t>Oferowane</w:t>
            </w:r>
          </w:p>
        </w:tc>
      </w:tr>
      <w:tr w:rsidR="005C0821" w:rsidRPr="00A0027F" w:rsidTr="00C02430">
        <w:trPr>
          <w:trHeight w:val="11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sz w:val="18"/>
                <w:szCs w:val="18"/>
                <w:lang w:eastAsia="pl-PL"/>
              </w:rPr>
              <w:t>W ofercie wymagane jest podanie pełnej nazwy handlowej (producent, symbol) oferowanego oprogramowania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sz w:val="20"/>
                <w:szCs w:val="20"/>
                <w:lang w:eastAsia="pl-PL"/>
              </w:rPr>
            </w:pPr>
            <w:r w:rsidRPr="00A0027F">
              <w:rPr>
                <w:rFonts w:ascii="Verdana" w:hAnsi="Verdana" w:cs="Calibri"/>
                <w:sz w:val="20"/>
                <w:szCs w:val="20"/>
                <w:lang w:eastAsia="pl-PL"/>
              </w:rPr>
              <w:t> </w:t>
            </w:r>
          </w:p>
        </w:tc>
      </w:tr>
      <w:tr w:rsidR="005C0821" w:rsidRPr="00A0027F" w:rsidTr="00C02430">
        <w:trPr>
          <w:trHeight w:val="13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 przypadku zaoferowania przez Wykonawcę licencji systemu równoważnego do systemu Microsoft Windows Server 2025 , Zamawiający wymaga dostarczenia odpowiedniej ilości licencji  dla serwera fizycznego oraz serwerów wirtualnych, oraz instalację i migrację obecnego środowiska. Zamawiający wymaga aby produkt równoważny spełniał niżej wymienione wymagania: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C0821" w:rsidRPr="00A0027F" w:rsidTr="00C02430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Współpraca z procesorami o architekturze x86 – 64bit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54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Instalacja i użytkowanie aplikacji 32-bit. i 64-bit. na dostarczonym systemie operacyjnym.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Możliwość budowania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klastrów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składających się z 64 węzłów.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Licencja/licencje muszą obsłużyć serwer fizyczny wyposażony w zaproponowane procesory / fizyczne rdzenie.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Praca w roli klienta domeny Microsoft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Active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Directory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Możliwość uruchomienia roli kontrolera domeny Microsoft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Active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Directory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na poziomie funkcjonalności Microsoft Windows Server 2025.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lastRenderedPageBreak/>
              <w:t xml:space="preserve">Możliwość federowania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klastrów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typu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failover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w zespół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klastrów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Cluster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Set) z możliwością przenoszenia maszyn wirtualnych wewnątrz zespołu.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uruchomienia roli klienta i serwera czasu (NTP).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Możliwość uruchomienia roli serwera plików z uwierzytelnieniem i autoryzacją dostępu w domenie Microsoft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Active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Directory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Możliwość uruchomienia roli serwera wydruku z uwierzytelnieniem i autoryzacją dostępu w domenie Microsoft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Active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Directory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uruchomienia roli serwera stron WWW.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W ramach dostarczonej licencji zawarte prawo do użytkowania i dostęp do oprogramowania oferowanego przez producenta systemu operacyjnego umożliwiającego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wirtualizowanie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zasobów sprzętowych serwera.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5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 ramach dostarczonej licencji zawarte prawo do pobierania poprawek systemu operacyjnego.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Wszystkie wymienione parametry, role, funkcje, itp. systemu operacyjnego objęte są dostarczoną licencją (licencjami) i zawarte w dostarczonej wersji oprogramowania (nie wymagają ponoszenia przez Zamawiającego dodatkowych kosztów).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Automatyczna weryfikacja cyfrowych sygnatur sterowników w celu sprawdzenia czy sterownik przeszedł testy jakości przeprowadzone przez producenta systemu operacyjnego.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dynamicznego obniżania poboru energii przez rdzenie procesorów niewykorzystywane w bieżącej pracy.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9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lastRenderedPageBreak/>
              <w:t>Wbudowane wsparcie instalacji i pracy na wolumenach, które: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a) pozwalają na zmianę rozmiaru w czasie pracy systemu,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b) umożliwiają tworzenie w czasie pracy systemu migawek, dających użytkownikom końcowym (lokalnym i sieciowym) prosty wgląd w poprzednie wersje plików i folderów,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c) umożliwiają kompresję "w locie" dla wybranych plików i/lub folderów,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d) umożliwiają zdefiniowanie list kontroli dostępu (ACL).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Wbudowany mechanizm klasyfikowania i indeksowania plików (dokumentów) w oparciu o ich zawartość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Wbudowane szyfrowanie dysków przy pomocy mechanizmów posiadających certyfikat FIPS 140-2 lub równoważny wydany przez NIST lub inną agendę rządową zajmującą się bezpieczeństwem informacji.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uruchamiania aplikacji internetowych wykorzystujących technologię ASP.NET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dystrybucji ruchu sieciowego HTTP pomiędzy kilka serwerów.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Wbudowana zapora internetowa (firewall) z obsługą definiowanych reguł dla ochrony połączeń internetowych i intranetowych.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Zlokalizowane w języku polskim, co najmniej następujące elementy: menu, przeglądarka internetowa, pomoc, komunikaty systemowe.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zmiany języka interfejsu po zainstalowaniu systemu, dla co najmniej 10 języków poprzez wybór z listy dostępnych lokalizacji.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11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Mechanizmy logowania w oparciu o: a) login i hasło,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a) karty z certyfikatami (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smartcard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),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b) wirtualne karty (logowanie w oparciu o certyfikat chroniony poprzez moduł TPM).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18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lastRenderedPageBreak/>
              <w:t>Możliwość wymuszania wieloelementowej dynamicznej kontroli dostępu dla: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a) określonych grup użytkowników,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b) zastosowanej klasyfikacji danych,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c) centralnych polityk dostępu w sieci,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d) centralnych polityk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audytowych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oraz narzuconych dla grup użytkowników praw do wykorzystywania szyfrowanych danych.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Plug&amp;Play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zdalnej konfiguracji, administrowania oraz aktualizowania systemu.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Dostępność bezpłatnych narzędzi producenta systemu umożliwiających badanie i wdrażanie zdefiniowanego zestawu polityk bezpieczeństwa.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Dostępny, pochodzący od producenta systemu serwis zarządzania polityką dostępu do informacji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w dokumentach (Digital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Rights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Management).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Wsparcie dla środowisk Java i .NET Framework 4.x i wyższych – możliwość uruchomienia aplikacji działających we wskazanych środowiskach.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implementacji następujących funkcjonalności bez potrzeby instalowania dodatkowych produktów (oprogramowania) innych producentów wymagających dodatkowych licencji: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a) podstawowe usługi sieciowe: DHCP oraz DNS wspierający DNSSEC.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86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lastRenderedPageBreak/>
              <w:t>b)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• podłączenie do domeny w trybie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offline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– bez dostępnego połączenia sieciowego z domeną,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• ustanawianie praw dostępu do zasobów domeny na bazie sposobu logowania użytkownika – na przykład typu certyfikatu użytego do logowania,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• odzyskiwanie przypadkowo skasowanych obiektów usługi katalogowej z mechanizmu kosza,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• bezpieczny mechanizm dołączania do domeny uprawnionych użytkowników prywatnych urządzeń mobilnych opartych o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iOS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i Windows 8.1.,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c) zdalna dystrybucja oprogramowania na stacje robocze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6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d) praca zdalna na serwerze z wykorzystaniem terminala (cienkiego klienta) lub odpowiednio skonfigurowanej stacji roboczej z możliwością dostępu minimum 65 tys. Użytkowników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134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e) Centrum Certyfikatów (CA), obsługa klucza publicznego i prywatnego) umożliwiające: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• Dystrybucję certyfikatów poprzez http,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• Konsolidację CA dla wielu lasów domeny,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• Automatyczne rejestrowania certyfikatów pomiędzy różnymi lasami domen,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• Automatyczne występowanie i używanie (wystawianie) certyfikatów PKI X.509.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31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f) szyfrowanie plików i folderów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g) szyfrowanie połączeń sieciowych pomiędzy serwerami oraz serwerami i stacjami roboczymi (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IPSec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h) szyfrowanie sieci wirtualnych pomiędzy maszynami wirtualnymi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i) możliwość tworzenia systemów wysokiej dostępności (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klastry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typu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fail-over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) oraz rozłożenia obciążenia serwerów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3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lastRenderedPageBreak/>
              <w:t>j) serwis udostępniania stron WWW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3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k) wsparcie dla protokołu IP w wersji 6 (IPv6)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l) wbudowane usługi VPN pozwalające na zestawienie nielimitowanej liczby równoczesnych połączeń i niewymagające instalacji dodatkowego oprogramowania na komputerach z systemem Windows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m) wbudowane mechanizmy wirtualizacji (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Hypervisor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) pozwalające na uruchamianie uruchomienie nieograniczonej liczby aktywnych środowisk wirtualnych systemów operacyjnych (liczba ograniczona parametrami fizycznymi serwera)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n) możliwość migracji maszyn wirtualnych między fizycznymi serwerami z uruchomionym mechanizmem wirtualizacji (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hypervisor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) przez sieć Ethernet, bez konieczności stosowania dodatkowych mechanizmów współdzielenia pamięci.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o) możliwość przenoszenia maszyn wirtualnych pomiędzy serwerami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klastra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typu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failover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z jednoczesnym zachowaniem pozostałej funkcjonalności.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p) mechanizmy wirtualizacji mające wsparcie dla: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• dynamicznego podłączania zasobów dyskowych typu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hot-plug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do maszyn wirtualnych,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• obsługi ramek typu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jumbo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frames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dla maszyn wirtualnych.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• obsługi 4-KB sektorów dysków,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• nielimitowanej liczby jednocześnie przenoszonych maszyn wirtualnych pomiędzy węzłami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klastra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,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• możliwość tworzenia wirtualnych maszyn chronionych, separowanych od środowiska systemu operacyjnego.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q) możliwość uruchamiania kontenerów bazujących na Windows i Linux na tym samym hoście kontenerów.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r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) wsparcie dla rozwiązania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Kubernetes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123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lastRenderedPageBreak/>
              <w:t>s) możliwość automatycznej aktualizacji w oparciu o poprawki publikowane przez producenta wraz</w:t>
            </w: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br/>
              <w:t>z dostępnością bezpłatnego rozwiązania producenta serwerowego systemu operacyjnego umożliwiającego lokalną dystrybucję poprawek zatwierdzonych przez administratora, bez połączenia z siecią Internet.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2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t) wsparcie dostępu do zasobu dyskowego poprzez wiele ścieżek (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Multipath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u) mechanizmy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deduplikacji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i kompresji na wolumenach.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v) mechanizmy zdalnej administracji oraz mechanizmy (również działające zdalnie) administracji przez skrypty.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w) mechanizm konfiguracji połączenia VPN do platformy </w:t>
            </w:r>
            <w:proofErr w:type="spellStart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Azure</w:t>
            </w:r>
            <w:proofErr w:type="spellEnd"/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x) wbudowany mechanizm wykrywania ataków na poziomie pamięci RAM i jądra systemu.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y) mechanizmy pozwalające na blokadę dostępu nieznanych procesów do chronionych katalogów.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  <w:tr w:rsidR="005C0821" w:rsidRPr="00A0027F" w:rsidTr="00C02430">
        <w:trPr>
          <w:trHeight w:val="45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z) możliwość instalacji i poprawnej pracy Systemu Bazodanowego (Microsoft SQL )Server Standard).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821" w:rsidRPr="00A0027F" w:rsidRDefault="005C0821" w:rsidP="00C02430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A0027F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TAK / NIE</w:t>
            </w:r>
          </w:p>
        </w:tc>
      </w:tr>
    </w:tbl>
    <w:p w:rsidR="005C0821" w:rsidRDefault="005C0821" w:rsidP="005C0821">
      <w:pPr>
        <w:rPr>
          <w:rFonts w:cstheme="minorHAnsi"/>
          <w:sz w:val="28"/>
          <w:szCs w:val="28"/>
        </w:rPr>
      </w:pPr>
    </w:p>
    <w:p w:rsidR="005C0821" w:rsidRPr="00F93588" w:rsidRDefault="005C0821" w:rsidP="005C0821"/>
    <w:p w:rsidR="005C0821" w:rsidRPr="00B4394C" w:rsidRDefault="005C0821" w:rsidP="00B4394C">
      <w:pPr>
        <w:rPr>
          <w:rFonts w:ascii="Verdana" w:hAnsi="Verdana"/>
          <w:sz w:val="18"/>
          <w:szCs w:val="18"/>
        </w:rPr>
      </w:pP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lastRenderedPageBreak/>
        <w:t xml:space="preserve"> </w:t>
      </w:r>
      <w:r>
        <w:rPr>
          <w:rFonts w:ascii="Verdana" w:hAnsi="Verdana"/>
          <w:sz w:val="18"/>
          <w:szCs w:val="18"/>
        </w:rPr>
        <w:t>P</w:t>
      </w:r>
      <w:r w:rsidRPr="00B4394C">
        <w:rPr>
          <w:rFonts w:ascii="Verdana" w:hAnsi="Verdana"/>
          <w:sz w:val="18"/>
          <w:szCs w:val="18"/>
        </w:rPr>
        <w:t>otwierdza</w:t>
      </w:r>
      <w:r>
        <w:rPr>
          <w:rFonts w:ascii="Verdana" w:hAnsi="Verdana"/>
          <w:sz w:val="18"/>
          <w:szCs w:val="18"/>
        </w:rPr>
        <w:t>m</w:t>
      </w:r>
      <w:r w:rsidRPr="00B4394C">
        <w:rPr>
          <w:rFonts w:ascii="Verdana" w:hAnsi="Verdana"/>
          <w:sz w:val="18"/>
          <w:szCs w:val="18"/>
        </w:rPr>
        <w:t>, że oferowane urządzenia, oprogramowanie spełnia</w:t>
      </w:r>
      <w:r>
        <w:rPr>
          <w:rFonts w:ascii="Verdana" w:hAnsi="Verdana"/>
          <w:sz w:val="18"/>
          <w:szCs w:val="18"/>
        </w:rPr>
        <w:t>ją wszystkie parametry i realizują funkcjonalności zawarte w Opisie Przedmiotu Zamówienia stanowiące załącznik nr 6 do SWZ</w:t>
      </w:r>
      <w:r w:rsidRPr="00B4394C">
        <w:rPr>
          <w:rFonts w:ascii="Verdana" w:hAnsi="Verdana"/>
          <w:sz w:val="18"/>
          <w:szCs w:val="18"/>
        </w:rPr>
        <w:t xml:space="preserve"> </w:t>
      </w:r>
    </w:p>
    <w:p w:rsidR="00B4394C" w:rsidRPr="00B4394C" w:rsidRDefault="00B4394C" w:rsidP="00B4394C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 w:rsidRPr="00B4394C">
        <w:rPr>
          <w:rFonts w:ascii="Verdana" w:hAnsi="Verdana"/>
          <w:sz w:val="18"/>
          <w:szCs w:val="18"/>
        </w:rPr>
        <w:t>………………………………………………..</w:t>
      </w:r>
    </w:p>
    <w:p w:rsidR="00B4394C" w:rsidRPr="00B4394C" w:rsidRDefault="00B4394C" w:rsidP="00B4394C">
      <w:pPr>
        <w:ind w:left="9204"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(podpis Wykonawcy)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4394C" w:rsidRPr="001135B4" w:rsidRDefault="00B4394C" w:rsidP="00B4394C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834F4" w:rsidRPr="00B4394C" w:rsidRDefault="00A834F4" w:rsidP="00B4394C"/>
    <w:sectPr w:rsidR="00A834F4" w:rsidRPr="00B4394C" w:rsidSect="00B4394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A5C" w:rsidRDefault="00C71A5C">
      <w:r>
        <w:separator/>
      </w:r>
    </w:p>
  </w:endnote>
  <w:endnote w:type="continuationSeparator" w:id="0">
    <w:p w:rsidR="00C71A5C" w:rsidRDefault="00C71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545BC8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0990" w:rsidRDefault="007609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45BC8" w:rsidRPr="00545BC8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45BC8" w:rsidRPr="00545BC8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A5C" w:rsidRDefault="00C71A5C">
      <w:r>
        <w:separator/>
      </w:r>
    </w:p>
  </w:footnote>
  <w:footnote w:type="continuationSeparator" w:id="0">
    <w:p w:rsidR="00C71A5C" w:rsidRDefault="00C71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4394C">
          <w:t>nr referencyjny postępowania: IW-ZA.271.4.2025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formatting="1" w:enforcement="0"/>
  <w:defaultTabStop w:val="709"/>
  <w:hyphenationZone w:val="425"/>
  <w:drawingGridHorizontalSpacing w:val="120"/>
  <w:drawingGridVerticalSpacing w:val="6"/>
  <w:displayHorizontalDrawingGridEvery w:val="2"/>
  <w:doNotShadeFormData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B28C1"/>
    <w:rsid w:val="002D66BB"/>
    <w:rsid w:val="002E6BDD"/>
    <w:rsid w:val="002F66E8"/>
    <w:rsid w:val="00310274"/>
    <w:rsid w:val="003134FE"/>
    <w:rsid w:val="003816DA"/>
    <w:rsid w:val="00385FFB"/>
    <w:rsid w:val="00412555"/>
    <w:rsid w:val="00460FC6"/>
    <w:rsid w:val="00482EA3"/>
    <w:rsid w:val="004844AD"/>
    <w:rsid w:val="004D4C75"/>
    <w:rsid w:val="004E62F6"/>
    <w:rsid w:val="005115C2"/>
    <w:rsid w:val="00545BC8"/>
    <w:rsid w:val="005A056A"/>
    <w:rsid w:val="005B7917"/>
    <w:rsid w:val="005C0821"/>
    <w:rsid w:val="005E22E2"/>
    <w:rsid w:val="00645FBE"/>
    <w:rsid w:val="0066359C"/>
    <w:rsid w:val="006760F1"/>
    <w:rsid w:val="006B2548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1222D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4394C"/>
    <w:rsid w:val="00B546E9"/>
    <w:rsid w:val="00B619ED"/>
    <w:rsid w:val="00B82EF6"/>
    <w:rsid w:val="00BC79CC"/>
    <w:rsid w:val="00C06AC7"/>
    <w:rsid w:val="00C0733F"/>
    <w:rsid w:val="00C13E38"/>
    <w:rsid w:val="00C14A13"/>
    <w:rsid w:val="00C24F21"/>
    <w:rsid w:val="00C3461A"/>
    <w:rsid w:val="00C71A5C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9B69B-8473-4959-9175-042059B3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1658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17</cp:revision>
  <cp:lastPrinted>2018-03-26T09:55:00Z</cp:lastPrinted>
  <dcterms:created xsi:type="dcterms:W3CDTF">2024-02-09T09:14:00Z</dcterms:created>
  <dcterms:modified xsi:type="dcterms:W3CDTF">2025-06-26T10:40:00Z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