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8B22" w14:textId="76B0A10E" w:rsidR="00AD6BA8" w:rsidRPr="00AD6BA8" w:rsidRDefault="00AD6BA8" w:rsidP="00AD6BA8">
      <w:pPr>
        <w:pStyle w:val="Standard"/>
        <w:spacing w:after="0" w:line="276" w:lineRule="auto"/>
        <w:jc w:val="right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AD6BA8">
        <w:rPr>
          <w:rFonts w:ascii="Cambria" w:hAnsi="Cambria" w:cs="Calibri"/>
          <w:b/>
          <w:bCs/>
          <w:color w:val="000000"/>
          <w:sz w:val="22"/>
          <w:szCs w:val="22"/>
        </w:rPr>
        <w:t>Załącznik nr 1.</w:t>
      </w:r>
      <w:r w:rsidRPr="00AD6BA8">
        <w:rPr>
          <w:rFonts w:ascii="Cambria" w:hAnsi="Cambria" w:cs="Calibri"/>
          <w:b/>
          <w:bCs/>
          <w:color w:val="000000"/>
          <w:sz w:val="22"/>
          <w:szCs w:val="22"/>
        </w:rPr>
        <w:t>7</w:t>
      </w:r>
      <w:r w:rsidRPr="00AD6BA8">
        <w:rPr>
          <w:rFonts w:ascii="Cambria" w:hAnsi="Cambria" w:cs="Calibri"/>
          <w:b/>
          <w:bCs/>
          <w:color w:val="000000"/>
          <w:sz w:val="22"/>
          <w:szCs w:val="22"/>
        </w:rPr>
        <w:t xml:space="preserve"> do SWZ</w:t>
      </w:r>
    </w:p>
    <w:p w14:paraId="0D623CAF" w14:textId="77777777" w:rsidR="00AD6BA8" w:rsidRPr="00AD6BA8" w:rsidRDefault="00AD6BA8" w:rsidP="00E0641D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2A87425E" w14:textId="1AD14FA9" w:rsidR="00E0641D" w:rsidRPr="00AD6BA8" w:rsidRDefault="00E0641D" w:rsidP="00AD6BA8">
      <w:pPr>
        <w:pStyle w:val="Standard"/>
        <w:spacing w:after="0" w:line="276" w:lineRule="auto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AD6BA8">
        <w:rPr>
          <w:rFonts w:ascii="Cambria" w:hAnsi="Cambria" w:cs="Calibri"/>
          <w:b/>
          <w:bCs/>
          <w:color w:val="000000"/>
          <w:sz w:val="22"/>
          <w:szCs w:val="22"/>
        </w:rPr>
        <w:t xml:space="preserve">SPECYFIKACJA - </w:t>
      </w:r>
      <w:r w:rsidRPr="00AD6BA8">
        <w:rPr>
          <w:rFonts w:ascii="Cambria" w:hAnsi="Cambria"/>
          <w:b/>
          <w:bCs/>
          <w:sz w:val="22"/>
          <w:szCs w:val="22"/>
        </w:rPr>
        <w:t>PRZEŁĄCZNIKI DO USTAWIENIA STOSU</w:t>
      </w:r>
      <w:r w:rsidR="006B6ABE" w:rsidRPr="00AD6BA8">
        <w:rPr>
          <w:rFonts w:ascii="Cambria" w:hAnsi="Cambria"/>
          <w:b/>
          <w:bCs/>
          <w:sz w:val="22"/>
          <w:szCs w:val="22"/>
        </w:rPr>
        <w:t xml:space="preserve"> – 4 szt.</w:t>
      </w:r>
    </w:p>
    <w:p w14:paraId="33D97140" w14:textId="6DB0966A" w:rsidR="00626708" w:rsidRPr="00AD6BA8" w:rsidRDefault="00626708" w:rsidP="00626708">
      <w:pPr>
        <w:widowControl/>
        <w:suppressAutoHyphens w:val="0"/>
        <w:spacing w:before="100" w:beforeAutospacing="1" w:after="100" w:afterAutospacing="1"/>
        <w:outlineLvl w:val="2"/>
        <w:rPr>
          <w:rFonts w:ascii="Cambria" w:hAnsi="Cambria"/>
          <w:kern w:val="0"/>
          <w:sz w:val="22"/>
          <w:szCs w:val="22"/>
          <w:lang w:eastAsia="pl-PL"/>
        </w:rPr>
      </w:pPr>
      <w:r w:rsidRPr="00AD6BA8">
        <w:rPr>
          <w:rFonts w:ascii="Cambria" w:hAnsi="Cambria"/>
          <w:b/>
          <w:bCs/>
          <w:kern w:val="0"/>
          <w:sz w:val="22"/>
          <w:szCs w:val="22"/>
          <w:lang w:eastAsia="pl-PL"/>
        </w:rPr>
        <w:t>Dane identyfikacyjne (wypełnia Wykonawca):</w:t>
      </w:r>
      <w:r w:rsidRPr="00AD6BA8">
        <w:rPr>
          <w:rFonts w:ascii="Cambria" w:hAnsi="Cambria"/>
          <w:kern w:val="0"/>
          <w:sz w:val="22"/>
          <w:szCs w:val="22"/>
          <w:lang w:eastAsia="pl-PL"/>
        </w:rPr>
        <w:br/>
        <w:t>• Nazwa: …</w:t>
      </w:r>
      <w:r w:rsidRPr="00AD6BA8">
        <w:rPr>
          <w:rFonts w:ascii="Cambria" w:hAnsi="Cambria"/>
          <w:kern w:val="0"/>
          <w:sz w:val="22"/>
          <w:szCs w:val="22"/>
          <w:lang w:eastAsia="pl-PL"/>
        </w:rPr>
        <w:br/>
        <w:t>• Typ/model/nr katalogowy: …</w:t>
      </w:r>
      <w:r w:rsidRPr="00AD6BA8">
        <w:rPr>
          <w:rFonts w:ascii="Cambria" w:hAnsi="Cambria"/>
          <w:kern w:val="0"/>
          <w:sz w:val="22"/>
          <w:szCs w:val="22"/>
          <w:lang w:eastAsia="pl-PL"/>
        </w:rPr>
        <w:br/>
        <w:t>• Producent / kraj pochodzenia: …</w:t>
      </w:r>
      <w:r w:rsidRPr="00AD6BA8">
        <w:rPr>
          <w:rFonts w:ascii="Cambria" w:hAnsi="Cambria"/>
          <w:kern w:val="0"/>
          <w:sz w:val="22"/>
          <w:szCs w:val="22"/>
          <w:lang w:eastAsia="pl-PL"/>
        </w:rPr>
        <w:br/>
        <w:t>• Rok produkcji: …</w:t>
      </w:r>
    </w:p>
    <w:p w14:paraId="3EB2191A" w14:textId="02EC071C" w:rsidR="00626708" w:rsidRPr="00AD6BA8" w:rsidRDefault="00626708" w:rsidP="00626708">
      <w:pPr>
        <w:widowControl/>
        <w:suppressAutoHyphens w:val="0"/>
        <w:spacing w:before="100" w:beforeAutospacing="1" w:after="100" w:afterAutospacing="1"/>
        <w:outlineLvl w:val="2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AD6BA8">
        <w:rPr>
          <w:rFonts w:ascii="Cambria" w:hAnsi="Cambria"/>
          <w:kern w:val="0"/>
          <w:sz w:val="22"/>
          <w:szCs w:val="22"/>
          <w:lang w:eastAsia="pl-PL"/>
        </w:rPr>
        <w:br/>
      </w:r>
      <w:r w:rsidRPr="00AD6BA8">
        <w:rPr>
          <w:rFonts w:ascii="Cambria" w:hAnsi="Cambria"/>
          <w:b/>
          <w:bCs/>
          <w:kern w:val="0"/>
          <w:sz w:val="22"/>
          <w:szCs w:val="22"/>
          <w:lang w:eastAsia="pl-PL"/>
        </w:rPr>
        <w:t>Tabela wymagań technicznych</w:t>
      </w:r>
    </w:p>
    <w:tbl>
      <w:tblPr>
        <w:tblW w:w="9640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3402"/>
        <w:gridCol w:w="3402"/>
      </w:tblGrid>
      <w:tr w:rsidR="00626708" w:rsidRPr="00AD6BA8" w14:paraId="20B0B7C2" w14:textId="77777777" w:rsidTr="00AD6BA8">
        <w:trPr>
          <w:tblHeader/>
          <w:tblCellSpacing w:w="15" w:type="dxa"/>
        </w:trPr>
        <w:tc>
          <w:tcPr>
            <w:tcW w:w="523" w:type="dxa"/>
            <w:vAlign w:val="center"/>
            <w:hideMark/>
          </w:tcPr>
          <w:p w14:paraId="5179CB71" w14:textId="77777777" w:rsidR="00626708" w:rsidRPr="00AD6BA8" w:rsidRDefault="00626708" w:rsidP="0062670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238" w:type="dxa"/>
            <w:vAlign w:val="center"/>
            <w:hideMark/>
          </w:tcPr>
          <w:p w14:paraId="487E9574" w14:textId="77777777" w:rsidR="00626708" w:rsidRPr="00AD6BA8" w:rsidRDefault="00626708" w:rsidP="0062670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Nazwa komponentu</w:t>
            </w:r>
          </w:p>
        </w:tc>
        <w:tc>
          <w:tcPr>
            <w:tcW w:w="3372" w:type="dxa"/>
            <w:vAlign w:val="center"/>
            <w:hideMark/>
          </w:tcPr>
          <w:p w14:paraId="3B385018" w14:textId="77777777" w:rsidR="00626708" w:rsidRPr="00AD6BA8" w:rsidRDefault="00626708" w:rsidP="0062670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Wymagane minimalne parametry techniczne</w:t>
            </w:r>
          </w:p>
        </w:tc>
        <w:tc>
          <w:tcPr>
            <w:tcW w:w="3357" w:type="dxa"/>
            <w:vAlign w:val="center"/>
            <w:hideMark/>
          </w:tcPr>
          <w:p w14:paraId="38827DDF" w14:textId="77777777" w:rsidR="00AD6BA8" w:rsidRPr="00AD6BA8" w:rsidRDefault="00AD6BA8" w:rsidP="00AD6BA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Parametry oferowanego sprzętu</w:t>
            </w:r>
          </w:p>
          <w:p w14:paraId="7A657119" w14:textId="0123A384" w:rsidR="00626708" w:rsidRPr="00AD6BA8" w:rsidRDefault="00AD6BA8" w:rsidP="00AD6BA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PODAĆ</w:t>
            </w:r>
          </w:p>
        </w:tc>
      </w:tr>
      <w:tr w:rsidR="00626708" w:rsidRPr="00AD6BA8" w14:paraId="62D9EB97" w14:textId="77777777" w:rsidTr="00AD6BA8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368641B4" w14:textId="77777777" w:rsidR="00626708" w:rsidRPr="00AD6BA8" w:rsidRDefault="00626708" w:rsidP="00626708">
            <w:pPr>
              <w:widowControl/>
              <w:suppressAutoHyphens w:val="0"/>
              <w:rPr>
                <w:rFonts w:ascii="Cambria" w:hAnsi="Cambria"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38" w:type="dxa"/>
            <w:vAlign w:val="center"/>
            <w:hideMark/>
          </w:tcPr>
          <w:p w14:paraId="57936105" w14:textId="2D9AE194" w:rsidR="00626708" w:rsidRPr="00AD6BA8" w:rsidRDefault="006B6ABE" w:rsidP="00626708">
            <w:pPr>
              <w:widowControl/>
              <w:suppressAutoHyphens w:val="0"/>
              <w:rPr>
                <w:rFonts w:ascii="Cambria" w:hAnsi="Cambria"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Wymagania minimalne sprzętowe i funkcjonalne:</w:t>
            </w:r>
            <w:r w:rsidR="00626708"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</w:r>
          </w:p>
        </w:tc>
        <w:tc>
          <w:tcPr>
            <w:tcW w:w="3372" w:type="dxa"/>
            <w:vAlign w:val="center"/>
            <w:hideMark/>
          </w:tcPr>
          <w:p w14:paraId="4BFDD35C" w14:textId="1D2004D5" w:rsidR="00626708" w:rsidRPr="00AD6BA8" w:rsidRDefault="00626708" w:rsidP="00626708">
            <w:pPr>
              <w:widowControl/>
              <w:suppressAutoHyphens w:val="0"/>
              <w:rPr>
                <w:rFonts w:ascii="Cambria" w:hAnsi="Cambria"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• Min. 48 portów 10/100/1000Base-T RJ45 z obsługą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PoE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/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PoE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+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Min. 6 portów 1/10GBase-X SFP+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Port konsolowy: RJ45 (RS-232)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Port zarządzania: RJ45 (10/100Base-T)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Min. 1 port USB 2.0 lub wyższy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Przełączanie: ≥216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Gb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/s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Przepustowość: ≥161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Mpps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(dla pakietów 64B)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Bufor pakietów: ≥2 MB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Ramki Jumbo: ≥12 KB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Tablica MAC: ≥32k wpisów, Multicast MAC ≥2k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Tablica ACL: ≥3k, VLAN: ≥4k, Routing (IPv4/IPv6): ≥1k wpisów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CPU: min. 1 GHz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Flash: ≥32 MB + 128MB NAND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RAM: ≥1 GB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Zakres pracy: 0–50°C, wilgotność 5–95% (bez kondensacji)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Obsługa IEEE 802.3af (15,4W), 802.3at (30W); budżet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PoE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min. 740W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Zasilanie: wewnętrzny zasilacz 230V AC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Max. pobór mocy: 840W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Ochrona przepięciowa: min. 4kV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Wymiary (max): 440x44x380 mm (szer./wys./gł.)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Certyfikaty: CE,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RoHS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Tryb pracy: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Store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and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Forward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Obsługa VLAN: pełna (m.in. Voice,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Private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QinQ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, GVRP)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DHCP: klient, serwer,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relay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lastRenderedPageBreak/>
              <w:t>snooping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(IPv4/IPv6)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STP, RSTP, MSTP, BPDU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guard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, Root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Guard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Ring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protection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: ITU-T G.8032,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Loopback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Detection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, Fast Link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Routing: statyczny, OSPFv2/v3, BGP, VRRP, RIP, GRE, PIM-SM, ISIS, itp.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LACP: min. 128 grup po 8 portów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Bezpieczeństwo: Port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security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, ACL, 802.1x, TACACS+, RADIUS, ARP/ND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snooping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Storm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Control itp.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Multicast: IGMP v1/v2/v3, MLD, PIM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QoS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: min. 8 kolejek/port, DSCP, 802.1p, SP/WRR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• ACL: standardowe i rozszerzone, z obsługą statystyk i przekierowań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Diagnostyka: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sFlow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, RSPAN, VCT, Ping,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Trace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Route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Dying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GASP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Zarządzanie: CLI, Web, Telnet, SSH, SNMP, TFTP/FTP, RMON,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Syslog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, LLDP, OAM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Stackowanie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: obsługa VSF (4 jednostki) – sprzętowe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PoE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: pełna obsługa IEEE 802.3at, wykrywanie awarii, harmonogramy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Firmware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: bezterminowo dostępny przez cały cykl życia urządzenia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Gwarancja: Limited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Lifetime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z min. 1 rokiem po EOL; nie krócej niż 6 lat od zakupu (jeśli EOL wcześniej niż po 5 latach)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• Wyposażenie dodatkowe: 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– Min. 2x DAC SFP+ do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stackowania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/szt.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– Min. 2x wkładka SFP+ MM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– Min. 2x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patchcord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światłowodowy MM LC-LC ≥2m/szt.</w:t>
            </w:r>
          </w:p>
        </w:tc>
        <w:tc>
          <w:tcPr>
            <w:tcW w:w="3357" w:type="dxa"/>
            <w:vAlign w:val="center"/>
            <w:hideMark/>
          </w:tcPr>
          <w:p w14:paraId="63A24264" w14:textId="77777777" w:rsidR="00626708" w:rsidRPr="00AD6BA8" w:rsidRDefault="00626708" w:rsidP="00626708">
            <w:pPr>
              <w:widowControl/>
              <w:suppressAutoHyphens w:val="0"/>
              <w:rPr>
                <w:rFonts w:ascii="Cambria" w:hAnsi="Cambria"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lastRenderedPageBreak/>
              <w:t>…</w:t>
            </w:r>
          </w:p>
        </w:tc>
      </w:tr>
    </w:tbl>
    <w:p w14:paraId="0B223977" w14:textId="77777777" w:rsidR="00626708" w:rsidRPr="00AD6BA8" w:rsidRDefault="00626708" w:rsidP="006124D0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0540C77E" w14:textId="77777777" w:rsidR="00626708" w:rsidRDefault="00626708" w:rsidP="006124D0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45EF8199" w14:textId="77777777" w:rsidR="00422E04" w:rsidRDefault="00422E04" w:rsidP="006124D0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43C122D5" w14:textId="77777777" w:rsidR="00422E04" w:rsidRDefault="00422E04" w:rsidP="006124D0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45C1DF9C" w14:textId="77777777" w:rsidR="00422E04" w:rsidRPr="00AD6BA8" w:rsidRDefault="00422E04" w:rsidP="006124D0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7C2BAE5E" w14:textId="77777777" w:rsidR="00626708" w:rsidRPr="00AD6BA8" w:rsidRDefault="00626708" w:rsidP="00626708">
      <w:pPr>
        <w:widowControl/>
        <w:suppressAutoHyphens w:val="0"/>
        <w:spacing w:before="100" w:beforeAutospacing="1" w:after="100" w:afterAutospacing="1"/>
        <w:outlineLvl w:val="2"/>
        <w:rPr>
          <w:rFonts w:ascii="Cambria" w:hAnsi="Cambria"/>
          <w:b/>
          <w:bCs/>
          <w:kern w:val="0"/>
          <w:sz w:val="22"/>
          <w:szCs w:val="22"/>
          <w:lang w:eastAsia="pl-PL"/>
        </w:rPr>
      </w:pPr>
      <w:r w:rsidRPr="00AD6BA8">
        <w:rPr>
          <w:rFonts w:ascii="Cambria" w:hAnsi="Cambria"/>
          <w:b/>
          <w:bCs/>
          <w:kern w:val="0"/>
          <w:sz w:val="22"/>
          <w:szCs w:val="22"/>
          <w:lang w:eastAsia="pl-PL"/>
        </w:rPr>
        <w:lastRenderedPageBreak/>
        <w:t>Tabela wymagań instalacyjnych i konfiguracyjnych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1956"/>
        <w:gridCol w:w="5670"/>
        <w:gridCol w:w="1033"/>
      </w:tblGrid>
      <w:tr w:rsidR="00626708" w:rsidRPr="00AD6BA8" w14:paraId="2E638D79" w14:textId="77777777" w:rsidTr="00E0641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2CD5485" w14:textId="77777777" w:rsidR="00626708" w:rsidRPr="00AD6BA8" w:rsidRDefault="00626708" w:rsidP="0062670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926" w:type="dxa"/>
            <w:vAlign w:val="center"/>
            <w:hideMark/>
          </w:tcPr>
          <w:p w14:paraId="0A303C46" w14:textId="77777777" w:rsidR="00626708" w:rsidRPr="00AD6BA8" w:rsidRDefault="00626708" w:rsidP="0062670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Nazwa komponentu</w:t>
            </w:r>
          </w:p>
        </w:tc>
        <w:tc>
          <w:tcPr>
            <w:tcW w:w="5640" w:type="dxa"/>
            <w:vAlign w:val="center"/>
            <w:hideMark/>
          </w:tcPr>
          <w:p w14:paraId="7785079E" w14:textId="77777777" w:rsidR="00626708" w:rsidRPr="00AD6BA8" w:rsidRDefault="00626708" w:rsidP="0062670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Wymagane czynności instalacyjne i konfiguracyjne</w:t>
            </w:r>
          </w:p>
        </w:tc>
        <w:tc>
          <w:tcPr>
            <w:tcW w:w="942" w:type="dxa"/>
            <w:vAlign w:val="center"/>
            <w:hideMark/>
          </w:tcPr>
          <w:p w14:paraId="45822F76" w14:textId="77777777" w:rsidR="00626708" w:rsidRPr="00AD6BA8" w:rsidRDefault="00626708" w:rsidP="00626708">
            <w:pPr>
              <w:widowControl/>
              <w:suppressAutoHyphens w:val="0"/>
              <w:jc w:val="center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Spełnia (tak/nie)</w:t>
            </w:r>
          </w:p>
        </w:tc>
      </w:tr>
      <w:tr w:rsidR="00626708" w:rsidRPr="00AD6BA8" w14:paraId="040C5F6D" w14:textId="77777777" w:rsidTr="00E0641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371900" w14:textId="77777777" w:rsidR="00626708" w:rsidRPr="00AD6BA8" w:rsidRDefault="00626708" w:rsidP="00626708">
            <w:pPr>
              <w:widowControl/>
              <w:suppressAutoHyphens w:val="0"/>
              <w:rPr>
                <w:rFonts w:ascii="Cambria" w:hAnsi="Cambria"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926" w:type="dxa"/>
            <w:vAlign w:val="center"/>
            <w:hideMark/>
          </w:tcPr>
          <w:p w14:paraId="28C6D7C3" w14:textId="77777777" w:rsidR="00626708" w:rsidRPr="00AD6BA8" w:rsidRDefault="00626708" w:rsidP="00626708">
            <w:pPr>
              <w:widowControl/>
              <w:suppressAutoHyphens w:val="0"/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Instalacja i konfiguracja środowiska IT</w:t>
            </w:r>
          </w:p>
        </w:tc>
        <w:tc>
          <w:tcPr>
            <w:tcW w:w="5640" w:type="dxa"/>
            <w:vAlign w:val="center"/>
            <w:hideMark/>
          </w:tcPr>
          <w:p w14:paraId="6F50279B" w14:textId="77777777" w:rsidR="00626708" w:rsidRPr="00AD6BA8" w:rsidRDefault="00626708" w:rsidP="00626708">
            <w:pPr>
              <w:widowControl/>
              <w:suppressAutoHyphens w:val="0"/>
              <w:rPr>
                <w:rFonts w:ascii="Cambria" w:hAnsi="Cambria"/>
                <w:kern w:val="0"/>
                <w:sz w:val="22"/>
                <w:szCs w:val="22"/>
                <w:lang w:eastAsia="pl-PL"/>
              </w:rPr>
            </w:pPr>
            <w:r w:rsidRPr="00AD6BA8">
              <w:rPr>
                <w:rFonts w:ascii="Cambria" w:hAnsi="Cambria"/>
                <w:b/>
                <w:bCs/>
                <w:kern w:val="0"/>
                <w:sz w:val="22"/>
                <w:szCs w:val="22"/>
                <w:lang w:eastAsia="pl-PL"/>
              </w:rPr>
              <w:t>Wymagania wykonawcze (realizowane przez Wykonawcę):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1. Montaż urządzeń w istniejących szafach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rack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42U (800x1000 mm) udostępnionych przez Zamawiającego.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2. Podłączenie serwerów do PDU.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3. Podłączenie serwerów do macierzy w wyznaczonej szafie.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4. Aktualizacja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firmware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wszystkich urządzeń.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5. Połączenie z siecią LAN – rekonfiguracja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core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switcha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6. Każdy serwer musi być połączony do przełączników centralnych LAN za pomocą min. 2 kabli światłowodowych 10Gb/s – kable zapewnia Wykonawca.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7. Konfiguracja RAID.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8. Instalacja systemu operacyjnego.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9. Konfiguracja zdalnego zarządzania.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10. Uruchomienie i konfiguracja systemu kopii zapasowych.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11. Migracja konfiguracji VPN z urządzeń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Draytek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, implementacja segmentacji.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12. Opracowanie polityki backupu i wykonanie testowego backupu oraz odtworzenia z weryfikacją działania.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13. Instruktaż dla administratorów Zamawiającego w zakresie konfiguracji i obsługi dostarczonego sprzętu i oprogramowania (min. 4h).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 xml:space="preserve">14. Konfiguracja przełączników w trybie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stack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 xml:space="preserve"> – wymagane dołączenie do istniejącego </w:t>
            </w:r>
            <w:proofErr w:type="spellStart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stacka</w:t>
            </w:r>
            <w:proofErr w:type="spellEnd"/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t>.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15. Wykonawca ma obowiązek uwzględnić: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– istniejące środowisko domenowe,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– konfigurację VLAN, DMZ,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– systemy backupu i bazy danych Zamawiającego,</w:t>
            </w:r>
            <w:r w:rsidRPr="00AD6BA8">
              <w:rPr>
                <w:rFonts w:ascii="Cambria" w:hAnsi="Cambria"/>
                <w:kern w:val="0"/>
                <w:sz w:val="22"/>
                <w:szCs w:val="22"/>
                <w:lang w:eastAsia="pl-PL"/>
              </w:rPr>
              <w:br/>
              <w:t>– konfiguracje stacji roboczych.</w:t>
            </w:r>
          </w:p>
        </w:tc>
        <w:tc>
          <w:tcPr>
            <w:tcW w:w="942" w:type="dxa"/>
            <w:vAlign w:val="center"/>
            <w:hideMark/>
          </w:tcPr>
          <w:p w14:paraId="710C685B" w14:textId="39AC4F6B" w:rsidR="00626708" w:rsidRPr="00AD6BA8" w:rsidRDefault="00626708" w:rsidP="00626708">
            <w:pPr>
              <w:widowControl/>
              <w:suppressAutoHyphens w:val="0"/>
              <w:rPr>
                <w:rFonts w:ascii="Cambria" w:hAnsi="Cambria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108633A9" w14:textId="77777777" w:rsidR="00626708" w:rsidRPr="00AD6BA8" w:rsidRDefault="00626708" w:rsidP="006124D0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365A9C05" w14:textId="77777777" w:rsidR="00626708" w:rsidRPr="00AD6BA8" w:rsidRDefault="00626708" w:rsidP="006124D0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5419E3DE" w14:textId="77777777" w:rsidR="00AD6BA8" w:rsidRPr="001169B3" w:rsidRDefault="00AD6BA8" w:rsidP="00AD6BA8">
      <w:pPr>
        <w:jc w:val="right"/>
        <w:rPr>
          <w:rFonts w:ascii="Cambria" w:hAnsi="Cambria" w:cstheme="minorHAnsi"/>
          <w:b/>
          <w:bCs/>
          <w:i/>
          <w:iCs/>
          <w:sz w:val="22"/>
          <w:szCs w:val="22"/>
        </w:rPr>
      </w:pPr>
      <w:r w:rsidRPr="001169B3">
        <w:rPr>
          <w:rFonts w:ascii="Cambria" w:hAnsi="Cambria" w:cstheme="minorHAnsi"/>
          <w:b/>
          <w:bCs/>
          <w:i/>
          <w:iCs/>
          <w:sz w:val="22"/>
          <w:szCs w:val="22"/>
        </w:rPr>
        <w:t xml:space="preserve">należy podpisać </w:t>
      </w:r>
    </w:p>
    <w:p w14:paraId="00479797" w14:textId="77777777" w:rsidR="00AD6BA8" w:rsidRPr="001169B3" w:rsidRDefault="00AD6BA8" w:rsidP="00AD6BA8">
      <w:pPr>
        <w:jc w:val="right"/>
        <w:rPr>
          <w:rFonts w:ascii="Cambria" w:hAnsi="Cambria" w:cstheme="minorHAnsi"/>
          <w:b/>
          <w:bCs/>
          <w:i/>
          <w:iCs/>
          <w:sz w:val="22"/>
          <w:szCs w:val="22"/>
        </w:rPr>
      </w:pPr>
      <w:r w:rsidRPr="001169B3">
        <w:rPr>
          <w:rFonts w:ascii="Cambria" w:hAnsi="Cambria" w:cstheme="minorHAnsi"/>
          <w:b/>
          <w:bCs/>
          <w:i/>
          <w:iCs/>
          <w:sz w:val="22"/>
          <w:szCs w:val="22"/>
        </w:rPr>
        <w:t xml:space="preserve">kwalifikowanym podpisem elektronicznym </w:t>
      </w:r>
    </w:p>
    <w:p w14:paraId="558F2A76" w14:textId="77777777" w:rsidR="00AD6BA8" w:rsidRPr="0064012A" w:rsidRDefault="00AD6BA8" w:rsidP="00AD6BA8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 w:rsidRPr="001169B3">
        <w:rPr>
          <w:rFonts w:ascii="Cambria" w:hAnsi="Cambria" w:cstheme="minorHAnsi"/>
          <w:b/>
          <w:bCs/>
          <w:i/>
          <w:iCs/>
          <w:sz w:val="22"/>
          <w:szCs w:val="22"/>
        </w:rPr>
        <w:t>lub podpisem zaufanym lub podpisem osobistym</w:t>
      </w:r>
    </w:p>
    <w:p w14:paraId="705CC9F5" w14:textId="77777777" w:rsidR="00AD6BA8" w:rsidRPr="0064012A" w:rsidRDefault="00AD6BA8" w:rsidP="00AD6BA8">
      <w:pPr>
        <w:rPr>
          <w:rFonts w:ascii="Cambria" w:hAnsi="Cambria" w:cstheme="minorHAnsi"/>
          <w:sz w:val="22"/>
          <w:szCs w:val="22"/>
        </w:rPr>
      </w:pPr>
    </w:p>
    <w:p w14:paraId="6B8FDF05" w14:textId="77777777" w:rsidR="00626708" w:rsidRPr="00AD6BA8" w:rsidRDefault="00626708" w:rsidP="006124D0">
      <w:pPr>
        <w:pStyle w:val="Standard"/>
        <w:spacing w:after="0" w:line="276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1309F0ED" w14:textId="77777777" w:rsidR="00CF5078" w:rsidRPr="00AD6BA8" w:rsidRDefault="00CF5078" w:rsidP="006124D0">
      <w:pPr>
        <w:pStyle w:val="Standard"/>
        <w:spacing w:after="0" w:line="276" w:lineRule="auto"/>
        <w:jc w:val="both"/>
        <w:rPr>
          <w:rFonts w:ascii="Cambria" w:hAnsi="Cambria" w:cs="Calibri"/>
          <w:color w:val="000000"/>
          <w:sz w:val="22"/>
          <w:szCs w:val="22"/>
        </w:rPr>
      </w:pPr>
    </w:p>
    <w:sectPr w:rsidR="00CF5078" w:rsidRPr="00AD6B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D94F8" w14:textId="77777777" w:rsidR="0074373E" w:rsidRDefault="0074373E" w:rsidP="00AD6BA8">
      <w:r>
        <w:separator/>
      </w:r>
    </w:p>
  </w:endnote>
  <w:endnote w:type="continuationSeparator" w:id="0">
    <w:p w14:paraId="2FCD914E" w14:textId="77777777" w:rsidR="0074373E" w:rsidRDefault="0074373E" w:rsidP="00AD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5F548" w14:textId="77777777" w:rsidR="0074373E" w:rsidRDefault="0074373E" w:rsidP="00AD6BA8">
      <w:r>
        <w:separator/>
      </w:r>
    </w:p>
  </w:footnote>
  <w:footnote w:type="continuationSeparator" w:id="0">
    <w:p w14:paraId="6188109D" w14:textId="77777777" w:rsidR="0074373E" w:rsidRDefault="0074373E" w:rsidP="00AD6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13DDC" w14:textId="7150EA65" w:rsidR="00AD6BA8" w:rsidRDefault="00AD6BA8">
    <w:pPr>
      <w:pStyle w:val="Nagwek"/>
    </w:pPr>
    <w:r>
      <w:rPr>
        <w:noProof/>
      </w:rPr>
      <w:drawing>
        <wp:inline distT="0" distB="0" distL="0" distR="0" wp14:anchorId="29DD3D8E" wp14:editId="41FF118B">
          <wp:extent cx="5730875" cy="621665"/>
          <wp:effectExtent l="0" t="0" r="3175" b="6985"/>
          <wp:docPr id="2748655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95501"/>
    <w:multiLevelType w:val="multilevel"/>
    <w:tmpl w:val="368E56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C2F69EF"/>
    <w:multiLevelType w:val="hybridMultilevel"/>
    <w:tmpl w:val="A8C4EAB6"/>
    <w:lvl w:ilvl="0" w:tplc="BCC2DB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E52562"/>
    <w:multiLevelType w:val="hybridMultilevel"/>
    <w:tmpl w:val="6172AD7C"/>
    <w:lvl w:ilvl="0" w:tplc="E3D87698">
      <w:start w:val="6"/>
      <w:numFmt w:val="upperRoman"/>
      <w:lvlText w:val="%1."/>
      <w:lvlJc w:val="left"/>
      <w:pPr>
        <w:ind w:left="360" w:hanging="360"/>
      </w:pPr>
      <w:rPr>
        <w:rFonts w:ascii="Cambria" w:eastAsia="Times New Roman" w:hAnsi="Cambria" w:cs="Segoe UI Light" w:hint="default"/>
        <w:b/>
        <w:bCs/>
        <w:i w:val="0"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701BB"/>
    <w:multiLevelType w:val="hybridMultilevel"/>
    <w:tmpl w:val="5BD682A0"/>
    <w:lvl w:ilvl="0" w:tplc="ADF2ACD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B5239"/>
    <w:multiLevelType w:val="multilevel"/>
    <w:tmpl w:val="3490D28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9327CD1"/>
    <w:multiLevelType w:val="multilevel"/>
    <w:tmpl w:val="6F16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D1072E"/>
    <w:multiLevelType w:val="multilevel"/>
    <w:tmpl w:val="03C4DB00"/>
    <w:styleLink w:val="WWNum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54C24F5B"/>
    <w:multiLevelType w:val="multilevel"/>
    <w:tmpl w:val="AE14B8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59224251"/>
    <w:multiLevelType w:val="hybridMultilevel"/>
    <w:tmpl w:val="CFC69B24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96636"/>
    <w:multiLevelType w:val="multilevel"/>
    <w:tmpl w:val="19EA6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63101C0C"/>
    <w:multiLevelType w:val="multilevel"/>
    <w:tmpl w:val="567C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9D17BD"/>
    <w:multiLevelType w:val="hybridMultilevel"/>
    <w:tmpl w:val="A59E112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D49FF"/>
    <w:multiLevelType w:val="hybridMultilevel"/>
    <w:tmpl w:val="07D84674"/>
    <w:lvl w:ilvl="0" w:tplc="355EB4A8">
      <w:start w:val="2"/>
      <w:numFmt w:val="ordinal"/>
      <w:lvlText w:val="%1"/>
      <w:lvlJc w:val="left"/>
      <w:pPr>
        <w:ind w:left="360" w:hanging="360"/>
      </w:pPr>
      <w:rPr>
        <w:rFonts w:ascii="Arial" w:hAnsi="Arial" w:cs="Arial" w:hint="default"/>
        <w:b/>
        <w:bCs/>
        <w:i w:val="0"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13E1B09"/>
    <w:multiLevelType w:val="multilevel"/>
    <w:tmpl w:val="A4F4CF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7B2216E9"/>
    <w:multiLevelType w:val="multilevel"/>
    <w:tmpl w:val="18ACCD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357000270">
    <w:abstractNumId w:val="3"/>
  </w:num>
  <w:num w:numId="2" w16cid:durableId="39864829">
    <w:abstractNumId w:val="14"/>
  </w:num>
  <w:num w:numId="3" w16cid:durableId="1503668834">
    <w:abstractNumId w:val="0"/>
  </w:num>
  <w:num w:numId="4" w16cid:durableId="1794788412">
    <w:abstractNumId w:val="13"/>
  </w:num>
  <w:num w:numId="5" w16cid:durableId="315571776">
    <w:abstractNumId w:val="7"/>
  </w:num>
  <w:num w:numId="6" w16cid:durableId="2099596363">
    <w:abstractNumId w:val="9"/>
  </w:num>
  <w:num w:numId="7" w16cid:durableId="1747991468">
    <w:abstractNumId w:val="5"/>
  </w:num>
  <w:num w:numId="8" w16cid:durableId="1358389683">
    <w:abstractNumId w:val="10"/>
  </w:num>
  <w:num w:numId="9" w16cid:durableId="8141393">
    <w:abstractNumId w:val="12"/>
  </w:num>
  <w:num w:numId="10" w16cid:durableId="310525181">
    <w:abstractNumId w:val="6"/>
  </w:num>
  <w:num w:numId="11" w16cid:durableId="1116368388">
    <w:abstractNumId w:val="11"/>
  </w:num>
  <w:num w:numId="12" w16cid:durableId="1787699644">
    <w:abstractNumId w:val="8"/>
  </w:num>
  <w:num w:numId="13" w16cid:durableId="315500059">
    <w:abstractNumId w:val="2"/>
  </w:num>
  <w:num w:numId="14" w16cid:durableId="302317569">
    <w:abstractNumId w:val="4"/>
  </w:num>
  <w:num w:numId="15" w16cid:durableId="451170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D0"/>
    <w:rsid w:val="00011B66"/>
    <w:rsid w:val="0013470F"/>
    <w:rsid w:val="001D4ED0"/>
    <w:rsid w:val="001F10B3"/>
    <w:rsid w:val="002A2AFB"/>
    <w:rsid w:val="00422E04"/>
    <w:rsid w:val="006124D0"/>
    <w:rsid w:val="00626708"/>
    <w:rsid w:val="006B6ABE"/>
    <w:rsid w:val="0074373E"/>
    <w:rsid w:val="0078520D"/>
    <w:rsid w:val="008B5AA9"/>
    <w:rsid w:val="008E5439"/>
    <w:rsid w:val="00A338B9"/>
    <w:rsid w:val="00A842E3"/>
    <w:rsid w:val="00AD6BA8"/>
    <w:rsid w:val="00AE5C78"/>
    <w:rsid w:val="00BF3627"/>
    <w:rsid w:val="00C918CF"/>
    <w:rsid w:val="00CF5078"/>
    <w:rsid w:val="00E0641D"/>
    <w:rsid w:val="00EB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5ACE"/>
  <w15:chartTrackingRefBased/>
  <w15:docId w15:val="{1397411C-57E4-41F3-AA0E-5559650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4D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24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24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24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24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4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24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4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24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24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24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24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24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24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4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24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4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24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24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24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2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24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24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24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4D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L1,Akapit z listą5,Akapit normalny,Kolorowa lista — akcent 11,List Paragraph2,CW_Lista,lp1,Preambuła,Dot pt,F5 List Paragraph,Recommendation,List Paragraph11,Podsis rysunku,lp11"/>
    <w:basedOn w:val="Normalny"/>
    <w:link w:val="AkapitzlistZnak"/>
    <w:uiPriority w:val="34"/>
    <w:qFormat/>
    <w:rsid w:val="006124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24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24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24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24D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nhideWhenUsed/>
    <w:qFormat/>
    <w:rsid w:val="006124D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124D0"/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aliases w:val="sw tekst,Bulleted list,Odstavec,normalny tekst,ISCG Numerowanie,Colorful Shading - Accent 31,Light List - Accent 51"/>
    <w:basedOn w:val="Normalny"/>
    <w:qFormat/>
    <w:rsid w:val="006124D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nhideWhenUsed/>
    <w:qFormat/>
    <w:rsid w:val="006124D0"/>
    <w:pPr>
      <w:widowControl/>
    </w:pPr>
    <w:rPr>
      <w:rFonts w:cstheme="minorBidi"/>
      <w:sz w:val="20"/>
      <w:szCs w:val="20"/>
      <w:lang w:eastAsia="ar-SA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4D0"/>
    <w:rPr>
      <w:rFonts w:ascii="Times New Roman" w:eastAsia="Times New Roman" w:hAnsi="Times New Roman" w:cs="Times New Roman"/>
      <w:sz w:val="20"/>
      <w:szCs w:val="20"/>
      <w14:ligatures w14:val="none"/>
    </w:rPr>
  </w:style>
  <w:style w:type="table" w:styleId="Tabelasiatki1jasna">
    <w:name w:val="Grid Table 1 Light"/>
    <w:basedOn w:val="Standardowy"/>
    <w:uiPriority w:val="46"/>
    <w:rsid w:val="006124D0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Znak,List Paragraph Znak,Akapit z listą BS Znak,L1 Znak,Akapit z listą5 Znak,Akapit normalny Znak,Kolorowa lista — akcent 11 Znak,List Paragraph2 Znak,CW_Lista Znak,lp1 Znak,Preambuła Znak,Dot pt Znak,Recommendation Znak"/>
    <w:link w:val="Akapitzlist"/>
    <w:uiPriority w:val="34"/>
    <w:qFormat/>
    <w:locked/>
    <w:rsid w:val="006124D0"/>
  </w:style>
  <w:style w:type="paragraph" w:customStyle="1" w:styleId="Standard">
    <w:name w:val="Standard"/>
    <w:rsid w:val="006124D0"/>
    <w:pPr>
      <w:suppressAutoHyphens/>
      <w:autoSpaceDN w:val="0"/>
      <w:spacing w:line="256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numbering" w:customStyle="1" w:styleId="WWNum56">
    <w:name w:val="WWNum56"/>
    <w:basedOn w:val="Bezlisty"/>
    <w:rsid w:val="001D4ED0"/>
    <w:pPr>
      <w:numPr>
        <w:numId w:val="10"/>
      </w:numPr>
    </w:pPr>
  </w:style>
  <w:style w:type="paragraph" w:styleId="Bezodstpw">
    <w:name w:val="No Spacing"/>
    <w:uiPriority w:val="1"/>
    <w:qFormat/>
    <w:rsid w:val="001D4ED0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D6B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BA8"/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D6B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BA8"/>
    <w:rPr>
      <w:rFonts w:ascii="Times New Roman" w:eastAsia="Times New Roman" w:hAnsi="Times New Roman" w:cs="Times New Roman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6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GNYLA</dc:creator>
  <cp:keywords/>
  <dc:description/>
  <cp:lastModifiedBy>catalina</cp:lastModifiedBy>
  <cp:revision>3</cp:revision>
  <dcterms:created xsi:type="dcterms:W3CDTF">2025-06-23T20:04:00Z</dcterms:created>
  <dcterms:modified xsi:type="dcterms:W3CDTF">2025-06-23T20:04:00Z</dcterms:modified>
</cp:coreProperties>
</file>