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CF492" w14:textId="77777777" w:rsidR="0020086E" w:rsidRDefault="0020086E" w:rsidP="0020086E">
      <w:pPr>
        <w:spacing w:after="0"/>
        <w:jc w:val="right"/>
        <w:rPr>
          <w:rFonts w:ascii="Cambria" w:hAnsi="Cambria"/>
          <w:b/>
          <w:bCs/>
        </w:rPr>
      </w:pPr>
    </w:p>
    <w:p w14:paraId="5DDC8D84" w14:textId="133FA264" w:rsidR="0020086E" w:rsidRDefault="0020086E" w:rsidP="0020086E">
      <w:pPr>
        <w:spacing w:after="0"/>
        <w:jc w:val="right"/>
        <w:rPr>
          <w:rFonts w:ascii="Cambria" w:hAnsi="Cambria"/>
          <w:b/>
          <w:bCs/>
        </w:rPr>
      </w:pPr>
      <w:r w:rsidRPr="0020086E">
        <w:rPr>
          <w:rFonts w:ascii="Cambria" w:hAnsi="Cambria"/>
          <w:b/>
          <w:bCs/>
        </w:rPr>
        <w:t>Załącznik nr 1.</w:t>
      </w:r>
      <w:r w:rsidR="00480104">
        <w:rPr>
          <w:rFonts w:ascii="Cambria" w:hAnsi="Cambria"/>
          <w:b/>
          <w:bCs/>
        </w:rPr>
        <w:t>5</w:t>
      </w:r>
      <w:r w:rsidRPr="0020086E">
        <w:rPr>
          <w:rFonts w:ascii="Cambria" w:hAnsi="Cambria"/>
          <w:b/>
          <w:bCs/>
        </w:rPr>
        <w:t xml:space="preserve"> do SWZ</w:t>
      </w:r>
    </w:p>
    <w:p w14:paraId="24C36C48" w14:textId="77777777" w:rsidR="0020086E" w:rsidRDefault="0020086E" w:rsidP="005435E9">
      <w:pPr>
        <w:spacing w:after="0"/>
        <w:rPr>
          <w:rFonts w:ascii="Cambria" w:hAnsi="Cambria"/>
          <w:b/>
          <w:bCs/>
        </w:rPr>
      </w:pPr>
    </w:p>
    <w:p w14:paraId="4FEEB8C7" w14:textId="77777777" w:rsidR="0020086E" w:rsidRDefault="0020086E" w:rsidP="0020086E">
      <w:pPr>
        <w:spacing w:after="0"/>
        <w:jc w:val="center"/>
        <w:rPr>
          <w:rFonts w:ascii="Cambria" w:hAnsi="Cambria"/>
          <w:b/>
          <w:bCs/>
        </w:rPr>
      </w:pPr>
    </w:p>
    <w:p w14:paraId="1708D1DE" w14:textId="264F6BFE" w:rsidR="00E63B02" w:rsidRPr="0020086E" w:rsidRDefault="00E44EA8" w:rsidP="0020086E">
      <w:pPr>
        <w:spacing w:after="0"/>
        <w:jc w:val="center"/>
        <w:rPr>
          <w:rFonts w:ascii="Cambria" w:hAnsi="Cambria"/>
          <w:b/>
          <w:bCs/>
        </w:rPr>
      </w:pPr>
      <w:r w:rsidRPr="0020086E">
        <w:rPr>
          <w:rFonts w:ascii="Cambria" w:hAnsi="Cambria"/>
          <w:b/>
          <w:bCs/>
        </w:rPr>
        <w:t>SPECYFIKACJA TECHNICZNA – UTM CENTRALNY – 1 SZT.</w:t>
      </w:r>
    </w:p>
    <w:p w14:paraId="16594EED" w14:textId="77777777" w:rsidR="00E44EA8" w:rsidRPr="0020086E" w:rsidRDefault="00E44EA8" w:rsidP="005435E9">
      <w:pPr>
        <w:spacing w:after="0"/>
        <w:rPr>
          <w:rFonts w:ascii="Cambria" w:hAnsi="Cambria"/>
          <w:b/>
          <w:bCs/>
        </w:rPr>
      </w:pPr>
    </w:p>
    <w:p w14:paraId="7EC35E5E" w14:textId="5178AEB8" w:rsidR="009B2AC7" w:rsidRPr="0020086E" w:rsidRDefault="009B2AC7" w:rsidP="005435E9">
      <w:pPr>
        <w:spacing w:after="0"/>
        <w:rPr>
          <w:rFonts w:ascii="Cambria" w:hAnsi="Cambria"/>
          <w:lang w:eastAsia="pl-PL"/>
        </w:rPr>
      </w:pPr>
      <w:r w:rsidRPr="0020086E">
        <w:rPr>
          <w:rFonts w:ascii="Cambria" w:hAnsi="Cambria"/>
          <w:lang w:eastAsia="pl-PL"/>
        </w:rPr>
        <w:t>• Nazwa: …</w:t>
      </w:r>
      <w:r w:rsidRPr="0020086E">
        <w:rPr>
          <w:rFonts w:ascii="Cambria" w:hAnsi="Cambria"/>
          <w:lang w:eastAsia="pl-PL"/>
        </w:rPr>
        <w:br/>
        <w:t>• Typ/model/nr katalogowy: …</w:t>
      </w:r>
      <w:r w:rsidRPr="0020086E">
        <w:rPr>
          <w:rFonts w:ascii="Cambria" w:hAnsi="Cambria"/>
          <w:lang w:eastAsia="pl-PL"/>
        </w:rPr>
        <w:br/>
        <w:t>• Producent / kraj pochodzenia: …</w:t>
      </w:r>
      <w:r w:rsidRPr="0020086E">
        <w:rPr>
          <w:rFonts w:ascii="Cambria" w:hAnsi="Cambria"/>
          <w:lang w:eastAsia="pl-PL"/>
        </w:rPr>
        <w:br/>
        <w:t>• Rok produkcji: …</w:t>
      </w:r>
    </w:p>
    <w:p w14:paraId="71AA1183" w14:textId="77777777" w:rsidR="005435E9" w:rsidRPr="0020086E" w:rsidRDefault="005435E9" w:rsidP="005435E9">
      <w:pPr>
        <w:spacing w:after="0"/>
        <w:rPr>
          <w:rFonts w:ascii="Cambria" w:hAnsi="Cambria"/>
          <w:lang w:eastAsia="pl-PL"/>
        </w:rPr>
      </w:pPr>
    </w:p>
    <w:tbl>
      <w:tblPr>
        <w:tblW w:w="9782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1876"/>
        <w:gridCol w:w="3944"/>
        <w:gridCol w:w="3402"/>
      </w:tblGrid>
      <w:tr w:rsidR="00E63B02" w:rsidRPr="0020086E" w14:paraId="0DE05641" w14:textId="77777777" w:rsidTr="0020086E">
        <w:trPr>
          <w:tblHeader/>
          <w:tblCellSpacing w:w="15" w:type="dxa"/>
        </w:trPr>
        <w:tc>
          <w:tcPr>
            <w:tcW w:w="515" w:type="dxa"/>
            <w:vAlign w:val="center"/>
            <w:hideMark/>
          </w:tcPr>
          <w:p w14:paraId="4867E606" w14:textId="77777777" w:rsidR="00E63B02" w:rsidRPr="0020086E" w:rsidRDefault="00E63B02" w:rsidP="0020086E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1846" w:type="dxa"/>
            <w:vAlign w:val="center"/>
            <w:hideMark/>
          </w:tcPr>
          <w:p w14:paraId="54F04CBE" w14:textId="77777777" w:rsidR="00E63B02" w:rsidRPr="0020086E" w:rsidRDefault="00E63B02" w:rsidP="0020086E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Nazwa komponentu</w:t>
            </w:r>
          </w:p>
        </w:tc>
        <w:tc>
          <w:tcPr>
            <w:tcW w:w="3914" w:type="dxa"/>
            <w:vAlign w:val="center"/>
            <w:hideMark/>
          </w:tcPr>
          <w:p w14:paraId="21BD09B0" w14:textId="77777777" w:rsidR="00E63B02" w:rsidRPr="0020086E" w:rsidRDefault="00E63B02" w:rsidP="0020086E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Wymagane minimalne parametry techniczne</w:t>
            </w:r>
          </w:p>
        </w:tc>
        <w:tc>
          <w:tcPr>
            <w:tcW w:w="3357" w:type="dxa"/>
            <w:vAlign w:val="center"/>
            <w:hideMark/>
          </w:tcPr>
          <w:p w14:paraId="23C4F249" w14:textId="77777777" w:rsidR="0020086E" w:rsidRPr="0020086E" w:rsidRDefault="0020086E" w:rsidP="0020086E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Parametry oferowanego sprzętu</w:t>
            </w:r>
          </w:p>
          <w:p w14:paraId="6C2977A8" w14:textId="558F9ABB" w:rsidR="00E63B02" w:rsidRPr="0020086E" w:rsidRDefault="0020086E" w:rsidP="0020086E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PODAĆ</w:t>
            </w:r>
          </w:p>
        </w:tc>
      </w:tr>
      <w:tr w:rsidR="005435E9" w:rsidRPr="0020086E" w14:paraId="30DD7B05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1F802502" w14:textId="43F3741B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1</w:t>
            </w:r>
          </w:p>
        </w:tc>
        <w:tc>
          <w:tcPr>
            <w:tcW w:w="1846" w:type="dxa"/>
            <w:vAlign w:val="center"/>
          </w:tcPr>
          <w:p w14:paraId="12188C54" w14:textId="2086C963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Wymagania ogólne:</w:t>
            </w:r>
          </w:p>
        </w:tc>
        <w:tc>
          <w:tcPr>
            <w:tcW w:w="3914" w:type="dxa"/>
            <w:vAlign w:val="center"/>
          </w:tcPr>
          <w:p w14:paraId="52CC3ABF" w14:textId="7A70B911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>• System bezpieczeństwa musi realizować: Firewall, VPN (</w:t>
            </w:r>
            <w:proofErr w:type="spellStart"/>
            <w:r w:rsidRPr="0020086E">
              <w:rPr>
                <w:rFonts w:ascii="Cambria" w:hAnsi="Cambria"/>
              </w:rPr>
              <w:t>IPSec</w:t>
            </w:r>
            <w:proofErr w:type="spellEnd"/>
            <w:r w:rsidRPr="0020086E">
              <w:rPr>
                <w:rFonts w:ascii="Cambria" w:hAnsi="Cambria"/>
              </w:rPr>
              <w:t xml:space="preserve">), IPS, Antywirus, Kontrola aplikacji, Web </w:t>
            </w:r>
            <w:proofErr w:type="spellStart"/>
            <w:r w:rsidRPr="0020086E">
              <w:rPr>
                <w:rFonts w:ascii="Cambria" w:hAnsi="Cambria"/>
              </w:rPr>
              <w:t>Filtering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Antyspam</w:t>
            </w:r>
            <w:proofErr w:type="spellEnd"/>
            <w:r w:rsidRPr="0020086E">
              <w:rPr>
                <w:rFonts w:ascii="Cambria" w:hAnsi="Cambria"/>
              </w:rPr>
              <w:t xml:space="preserve">, DLP, </w:t>
            </w:r>
            <w:proofErr w:type="spellStart"/>
            <w:r w:rsidRPr="0020086E">
              <w:rPr>
                <w:rFonts w:ascii="Cambria" w:hAnsi="Cambria"/>
              </w:rPr>
              <w:t>QoS</w:t>
            </w:r>
            <w:proofErr w:type="spellEnd"/>
            <w:r w:rsidRPr="0020086E">
              <w:rPr>
                <w:rFonts w:ascii="Cambria" w:hAnsi="Cambria"/>
              </w:rPr>
              <w:t>, SD-WAN, inspekcję SSL – niezależnie od dostawcy łącza, w formie sprzętowej lub programowej z zapewnieniem platformy sprzętowej oraz zabezpieczonego systemu operacyjnego.</w:t>
            </w:r>
            <w:r w:rsidRPr="0020086E">
              <w:rPr>
                <w:rFonts w:ascii="Cambria" w:hAnsi="Cambria"/>
              </w:rPr>
              <w:br/>
              <w:t>• Firewall musi wspierać tryby pracy: Router z NAT, Transparent, SPAN.</w:t>
            </w:r>
            <w:r w:rsidRPr="0020086E">
              <w:rPr>
                <w:rFonts w:ascii="Cambria" w:hAnsi="Cambria"/>
              </w:rPr>
              <w:br/>
              <w:t>• Możliwość konfiguracji minimum 2 instancji systemu (Routing, Firewall, VPN, IPS, Antywirus, Kontrola aplikacji).</w:t>
            </w:r>
            <w:r w:rsidRPr="0020086E">
              <w:rPr>
                <w:rFonts w:ascii="Cambria" w:hAnsi="Cambria"/>
              </w:rPr>
              <w:br/>
              <w:t>• Możliwość dedykowania co najmniej 5 administratorów do poszczególnych instancji.</w:t>
            </w:r>
            <w:r w:rsidRPr="0020086E">
              <w:rPr>
                <w:rFonts w:ascii="Cambria" w:hAnsi="Cambria"/>
              </w:rPr>
              <w:br/>
              <w:t>• Pełne wsparcie IPv4 i IPv6 dla: Firewall, aplikacyjna ochrona, dynamiczne protokoły routingu.</w:t>
            </w:r>
          </w:p>
        </w:tc>
        <w:tc>
          <w:tcPr>
            <w:tcW w:w="3357" w:type="dxa"/>
            <w:vAlign w:val="center"/>
          </w:tcPr>
          <w:p w14:paraId="7FF68F1E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16A077AF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3BC531E1" w14:textId="6DBA1290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2</w:t>
            </w:r>
          </w:p>
        </w:tc>
        <w:tc>
          <w:tcPr>
            <w:tcW w:w="1846" w:type="dxa"/>
            <w:vAlign w:val="center"/>
          </w:tcPr>
          <w:p w14:paraId="17174E05" w14:textId="19798C41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Redundancja i monitoring:</w:t>
            </w:r>
          </w:p>
        </w:tc>
        <w:tc>
          <w:tcPr>
            <w:tcW w:w="3914" w:type="dxa"/>
            <w:vAlign w:val="center"/>
          </w:tcPr>
          <w:p w14:paraId="7418E204" w14:textId="2D150A38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>• Obsługa klastrów HA: Active-Active oraz Active-</w:t>
            </w:r>
            <w:proofErr w:type="spellStart"/>
            <w:r w:rsidRPr="0020086E">
              <w:rPr>
                <w:rFonts w:ascii="Cambria" w:hAnsi="Cambria"/>
              </w:rPr>
              <w:t>Passive</w:t>
            </w:r>
            <w:proofErr w:type="spellEnd"/>
            <w:r w:rsidRPr="0020086E">
              <w:rPr>
                <w:rFonts w:ascii="Cambria" w:hAnsi="Cambria"/>
              </w:rPr>
              <w:t xml:space="preserve"> z synchronizacją sesji.</w:t>
            </w:r>
            <w:r w:rsidRPr="0020086E">
              <w:rPr>
                <w:rFonts w:ascii="Cambria" w:hAnsi="Cambria"/>
              </w:rPr>
              <w:br/>
              <w:t>• Monitoring sprzętu, oprogramowania i stanu połączeń VPN.</w:t>
            </w:r>
            <w:r w:rsidRPr="0020086E">
              <w:rPr>
                <w:rFonts w:ascii="Cambria" w:hAnsi="Cambria"/>
              </w:rPr>
              <w:br/>
              <w:t>• Agregacja linków (statycznie i LACP), tworzenie interfejsów redundantnych.</w:t>
            </w:r>
          </w:p>
        </w:tc>
        <w:tc>
          <w:tcPr>
            <w:tcW w:w="3357" w:type="dxa"/>
            <w:vAlign w:val="center"/>
          </w:tcPr>
          <w:p w14:paraId="79A3A93D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776C958C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251C250E" w14:textId="16670797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3</w:t>
            </w:r>
          </w:p>
        </w:tc>
        <w:tc>
          <w:tcPr>
            <w:tcW w:w="1846" w:type="dxa"/>
            <w:vAlign w:val="center"/>
          </w:tcPr>
          <w:p w14:paraId="43C65191" w14:textId="13009574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Interfejsy i zasilanie:</w:t>
            </w:r>
          </w:p>
        </w:tc>
        <w:tc>
          <w:tcPr>
            <w:tcW w:w="3914" w:type="dxa"/>
            <w:vAlign w:val="center"/>
          </w:tcPr>
          <w:p w14:paraId="2A340C75" w14:textId="0B618E7C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>• Min. 8 x 1GbE RJ-45, 2 x 10GbE SFP+ (wraz z 2 wkładkami MMF SFP+).</w:t>
            </w:r>
            <w:r w:rsidRPr="0020086E">
              <w:rPr>
                <w:rFonts w:ascii="Cambria" w:hAnsi="Cambria"/>
              </w:rPr>
              <w:br/>
              <w:t>• Port konsoli szeregowej oraz port USB.</w:t>
            </w:r>
            <w:r w:rsidRPr="0020086E">
              <w:rPr>
                <w:rFonts w:ascii="Cambria" w:hAnsi="Cambria"/>
              </w:rPr>
              <w:br/>
              <w:t>• Obsługa min. 200 interfejsów VLAN (802.1Q).</w:t>
            </w:r>
            <w:r w:rsidRPr="0020086E">
              <w:rPr>
                <w:rFonts w:ascii="Cambria" w:hAnsi="Cambria"/>
              </w:rPr>
              <w:br/>
              <w:t>• Min. 2 zasilacze AC (redundancja).</w:t>
            </w:r>
          </w:p>
        </w:tc>
        <w:tc>
          <w:tcPr>
            <w:tcW w:w="3357" w:type="dxa"/>
            <w:vAlign w:val="center"/>
          </w:tcPr>
          <w:p w14:paraId="29CEA3BF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1835487E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1BB220C9" w14:textId="099AE747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lastRenderedPageBreak/>
              <w:t>4</w:t>
            </w:r>
          </w:p>
        </w:tc>
        <w:tc>
          <w:tcPr>
            <w:tcW w:w="1846" w:type="dxa"/>
            <w:vAlign w:val="center"/>
          </w:tcPr>
          <w:p w14:paraId="1BA07B7D" w14:textId="71D52831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Wydajność:</w:t>
            </w:r>
          </w:p>
        </w:tc>
        <w:tc>
          <w:tcPr>
            <w:tcW w:w="3914" w:type="dxa"/>
            <w:vAlign w:val="center"/>
          </w:tcPr>
          <w:p w14:paraId="76AE3449" w14:textId="2FD58326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>• Min. 1,5 mln jednoczesnych sesji, 120 tys. nowych/s.</w:t>
            </w:r>
            <w:r w:rsidRPr="0020086E">
              <w:rPr>
                <w:rFonts w:ascii="Cambria" w:hAnsi="Cambria"/>
              </w:rPr>
              <w:br/>
              <w:t xml:space="preserve">• </w:t>
            </w:r>
            <w:proofErr w:type="spellStart"/>
            <w:r w:rsidRPr="0020086E">
              <w:rPr>
                <w:rFonts w:ascii="Cambria" w:hAnsi="Cambria"/>
              </w:rPr>
              <w:t>Stateful</w:t>
            </w:r>
            <w:proofErr w:type="spellEnd"/>
            <w:r w:rsidRPr="0020086E">
              <w:rPr>
                <w:rFonts w:ascii="Cambria" w:hAnsi="Cambria"/>
              </w:rPr>
              <w:t xml:space="preserve"> Firewall ≥ 28 </w:t>
            </w:r>
            <w:proofErr w:type="spellStart"/>
            <w:r w:rsidRPr="0020086E">
              <w:rPr>
                <w:rFonts w:ascii="Cambria" w:hAnsi="Cambria"/>
              </w:rPr>
              <w:t>Gbps</w:t>
            </w:r>
            <w:proofErr w:type="spellEnd"/>
            <w:r w:rsidRPr="0020086E">
              <w:rPr>
                <w:rFonts w:ascii="Cambria" w:hAnsi="Cambria"/>
              </w:rPr>
              <w:t xml:space="preserve"> (512B).</w:t>
            </w:r>
            <w:r w:rsidRPr="0020086E">
              <w:rPr>
                <w:rFonts w:ascii="Cambria" w:hAnsi="Cambria"/>
              </w:rPr>
              <w:br/>
              <w:t xml:space="preserve">• Z włączoną Kontrolą Aplikacji ≥ 6,5 </w:t>
            </w:r>
            <w:proofErr w:type="spellStart"/>
            <w:r w:rsidRPr="0020086E">
              <w:rPr>
                <w:rFonts w:ascii="Cambria" w:hAnsi="Cambria"/>
              </w:rPr>
              <w:t>Gbps</w:t>
            </w:r>
            <w:proofErr w:type="spellEnd"/>
            <w:r w:rsidRPr="0020086E">
              <w:rPr>
                <w:rFonts w:ascii="Cambria" w:hAnsi="Cambria"/>
              </w:rPr>
              <w:t>.</w:t>
            </w:r>
            <w:r w:rsidRPr="0020086E">
              <w:rPr>
                <w:rFonts w:ascii="Cambria" w:hAnsi="Cambria"/>
              </w:rPr>
              <w:br/>
              <w:t xml:space="preserve">• </w:t>
            </w:r>
            <w:proofErr w:type="spellStart"/>
            <w:r w:rsidRPr="0020086E">
              <w:rPr>
                <w:rFonts w:ascii="Cambria" w:hAnsi="Cambria"/>
              </w:rPr>
              <w:t>IPSec</w:t>
            </w:r>
            <w:proofErr w:type="spellEnd"/>
            <w:r w:rsidRPr="0020086E">
              <w:rPr>
                <w:rFonts w:ascii="Cambria" w:hAnsi="Cambria"/>
              </w:rPr>
              <w:t xml:space="preserve"> VPN (AES-128) ≥ 25 </w:t>
            </w:r>
            <w:proofErr w:type="spellStart"/>
            <w:r w:rsidRPr="0020086E">
              <w:rPr>
                <w:rFonts w:ascii="Cambria" w:hAnsi="Cambria"/>
              </w:rPr>
              <w:t>Gbps</w:t>
            </w:r>
            <w:proofErr w:type="spellEnd"/>
            <w:r w:rsidRPr="0020086E">
              <w:rPr>
                <w:rFonts w:ascii="Cambria" w:hAnsi="Cambria"/>
              </w:rPr>
              <w:t>.</w:t>
            </w:r>
            <w:r w:rsidRPr="0020086E">
              <w:rPr>
                <w:rFonts w:ascii="Cambria" w:hAnsi="Cambria"/>
              </w:rPr>
              <w:br/>
              <w:t xml:space="preserve">• IPS ≥ 4 </w:t>
            </w:r>
            <w:proofErr w:type="spellStart"/>
            <w:r w:rsidRPr="0020086E">
              <w:rPr>
                <w:rFonts w:ascii="Cambria" w:hAnsi="Cambria"/>
              </w:rPr>
              <w:t>Gbps</w:t>
            </w:r>
            <w:proofErr w:type="spellEnd"/>
            <w:r w:rsidRPr="0020086E">
              <w:rPr>
                <w:rFonts w:ascii="Cambria" w:hAnsi="Cambria"/>
              </w:rPr>
              <w:t xml:space="preserve"> (Enterprise </w:t>
            </w:r>
            <w:proofErr w:type="spellStart"/>
            <w:r w:rsidRPr="0020086E">
              <w:rPr>
                <w:rFonts w:ascii="Cambria" w:hAnsi="Cambria"/>
              </w:rPr>
              <w:t>Traffic</w:t>
            </w:r>
            <w:proofErr w:type="spellEnd"/>
            <w:r w:rsidRPr="0020086E">
              <w:rPr>
                <w:rFonts w:ascii="Cambria" w:hAnsi="Cambria"/>
              </w:rPr>
              <w:t xml:space="preserve"> Mix).</w:t>
            </w:r>
            <w:r w:rsidRPr="0020086E">
              <w:rPr>
                <w:rFonts w:ascii="Cambria" w:hAnsi="Cambria"/>
              </w:rPr>
              <w:br/>
              <w:t xml:space="preserve">• </w:t>
            </w:r>
            <w:proofErr w:type="spellStart"/>
            <w:r w:rsidRPr="0020086E">
              <w:rPr>
                <w:rFonts w:ascii="Cambria" w:hAnsi="Cambria"/>
              </w:rPr>
              <w:t>IPS+Antywirus+Aplikacje</w:t>
            </w:r>
            <w:proofErr w:type="spellEnd"/>
            <w:r w:rsidRPr="0020086E">
              <w:rPr>
                <w:rFonts w:ascii="Cambria" w:hAnsi="Cambria"/>
              </w:rPr>
              <w:t xml:space="preserve"> ≥ 2 </w:t>
            </w:r>
            <w:proofErr w:type="spellStart"/>
            <w:r w:rsidRPr="0020086E">
              <w:rPr>
                <w:rFonts w:ascii="Cambria" w:hAnsi="Cambria"/>
              </w:rPr>
              <w:t>Gbps</w:t>
            </w:r>
            <w:proofErr w:type="spellEnd"/>
            <w:r w:rsidRPr="0020086E">
              <w:rPr>
                <w:rFonts w:ascii="Cambria" w:hAnsi="Cambria"/>
              </w:rPr>
              <w:t>.</w:t>
            </w:r>
            <w:r w:rsidRPr="0020086E">
              <w:rPr>
                <w:rFonts w:ascii="Cambria" w:hAnsi="Cambria"/>
              </w:rPr>
              <w:br/>
              <w:t xml:space="preserve">• SSL </w:t>
            </w:r>
            <w:proofErr w:type="spellStart"/>
            <w:r w:rsidRPr="0020086E">
              <w:rPr>
                <w:rFonts w:ascii="Cambria" w:hAnsi="Cambria"/>
              </w:rPr>
              <w:t>inspection</w:t>
            </w:r>
            <w:proofErr w:type="spellEnd"/>
            <w:r w:rsidRPr="0020086E">
              <w:rPr>
                <w:rFonts w:ascii="Cambria" w:hAnsi="Cambria"/>
              </w:rPr>
              <w:t xml:space="preserve"> (HTTPS) ≥ 2,5 </w:t>
            </w:r>
            <w:proofErr w:type="spellStart"/>
            <w:r w:rsidRPr="0020086E">
              <w:rPr>
                <w:rFonts w:ascii="Cambria" w:hAnsi="Cambria"/>
              </w:rPr>
              <w:t>Gbps</w:t>
            </w:r>
            <w:proofErr w:type="spellEnd"/>
            <w:r w:rsidRPr="0020086E">
              <w:rPr>
                <w:rFonts w:ascii="Cambria" w:hAnsi="Cambria"/>
              </w:rPr>
              <w:t>.</w:t>
            </w:r>
          </w:p>
        </w:tc>
        <w:tc>
          <w:tcPr>
            <w:tcW w:w="3357" w:type="dxa"/>
            <w:vAlign w:val="center"/>
          </w:tcPr>
          <w:p w14:paraId="1418D879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14B6C45B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58DCD6DA" w14:textId="77777777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5</w:t>
            </w:r>
          </w:p>
          <w:p w14:paraId="4DB8A077" w14:textId="715635C0" w:rsidR="00E44EA8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</w:p>
        </w:tc>
        <w:tc>
          <w:tcPr>
            <w:tcW w:w="1846" w:type="dxa"/>
            <w:vAlign w:val="center"/>
          </w:tcPr>
          <w:p w14:paraId="3EF0D9EF" w14:textId="147CBE61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Funkcje bezpieczeństwa (wymagane wszystkie):</w:t>
            </w:r>
          </w:p>
        </w:tc>
        <w:tc>
          <w:tcPr>
            <w:tcW w:w="3914" w:type="dxa"/>
            <w:vAlign w:val="center"/>
          </w:tcPr>
          <w:p w14:paraId="38E58476" w14:textId="63B553D2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 xml:space="preserve">• </w:t>
            </w:r>
            <w:proofErr w:type="spellStart"/>
            <w:r w:rsidRPr="0020086E">
              <w:rPr>
                <w:rFonts w:ascii="Cambria" w:hAnsi="Cambria"/>
              </w:rPr>
              <w:t>Stateful</w:t>
            </w:r>
            <w:proofErr w:type="spellEnd"/>
            <w:r w:rsidRPr="0020086E">
              <w:rPr>
                <w:rFonts w:ascii="Cambria" w:hAnsi="Cambria"/>
              </w:rPr>
              <w:t xml:space="preserve"> Firewall, </w:t>
            </w:r>
            <w:proofErr w:type="spellStart"/>
            <w:r w:rsidRPr="0020086E">
              <w:rPr>
                <w:rFonts w:ascii="Cambria" w:hAnsi="Cambria"/>
              </w:rPr>
              <w:t>IPSec</w:t>
            </w:r>
            <w:proofErr w:type="spellEnd"/>
            <w:r w:rsidRPr="0020086E">
              <w:rPr>
                <w:rFonts w:ascii="Cambria" w:hAnsi="Cambria"/>
              </w:rPr>
              <w:t xml:space="preserve"> VPN, IPS, Antywirus, Kontrola aplikacji, DLP, </w:t>
            </w:r>
            <w:proofErr w:type="spellStart"/>
            <w:r w:rsidRPr="0020086E">
              <w:rPr>
                <w:rFonts w:ascii="Cambria" w:hAnsi="Cambria"/>
              </w:rPr>
              <w:t>Antyspam</w:t>
            </w:r>
            <w:proofErr w:type="spellEnd"/>
            <w:r w:rsidRPr="0020086E">
              <w:rPr>
                <w:rFonts w:ascii="Cambria" w:hAnsi="Cambria"/>
              </w:rPr>
              <w:t xml:space="preserve"> SMTP, DNS </w:t>
            </w:r>
            <w:proofErr w:type="spellStart"/>
            <w:r w:rsidRPr="0020086E">
              <w:rPr>
                <w:rFonts w:ascii="Cambria" w:hAnsi="Cambria"/>
              </w:rPr>
              <w:t>filtering</w:t>
            </w:r>
            <w:proofErr w:type="spellEnd"/>
            <w:r w:rsidRPr="0020086E">
              <w:rPr>
                <w:rFonts w:ascii="Cambria" w:hAnsi="Cambria"/>
              </w:rPr>
              <w:t xml:space="preserve">, Web </w:t>
            </w:r>
            <w:proofErr w:type="spellStart"/>
            <w:r w:rsidRPr="0020086E">
              <w:rPr>
                <w:rFonts w:ascii="Cambria" w:hAnsi="Cambria"/>
              </w:rPr>
              <w:t>Filtering</w:t>
            </w:r>
            <w:proofErr w:type="spellEnd"/>
            <w:r w:rsidRPr="0020086E">
              <w:rPr>
                <w:rFonts w:ascii="Cambria" w:hAnsi="Cambria"/>
              </w:rPr>
              <w:t xml:space="preserve"> (min. 40 mln URL, kategorie: </w:t>
            </w:r>
            <w:proofErr w:type="spellStart"/>
            <w:r w:rsidRPr="0020086E">
              <w:rPr>
                <w:rFonts w:ascii="Cambria" w:hAnsi="Cambria"/>
              </w:rPr>
              <w:t>malware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phishing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proxy</w:t>
            </w:r>
            <w:proofErr w:type="spellEnd"/>
            <w:r w:rsidRPr="0020086E">
              <w:rPr>
                <w:rFonts w:ascii="Cambria" w:hAnsi="Cambria"/>
              </w:rPr>
              <w:t xml:space="preserve">, hazard, itp.), SD-WAN, </w:t>
            </w:r>
            <w:proofErr w:type="spellStart"/>
            <w:r w:rsidRPr="0020086E">
              <w:rPr>
                <w:rFonts w:ascii="Cambria" w:hAnsi="Cambria"/>
              </w:rPr>
              <w:t>QoS</w:t>
            </w:r>
            <w:proofErr w:type="spellEnd"/>
            <w:r w:rsidRPr="0020086E">
              <w:rPr>
                <w:rFonts w:ascii="Cambria" w:hAnsi="Cambria"/>
              </w:rPr>
              <w:t xml:space="preserve">, SSL </w:t>
            </w:r>
            <w:proofErr w:type="spellStart"/>
            <w:r w:rsidRPr="0020086E">
              <w:rPr>
                <w:rFonts w:ascii="Cambria" w:hAnsi="Cambria"/>
              </w:rPr>
              <w:t>inspection</w:t>
            </w:r>
            <w:proofErr w:type="spellEnd"/>
            <w:r w:rsidRPr="0020086E">
              <w:rPr>
                <w:rFonts w:ascii="Cambria" w:hAnsi="Cambria"/>
              </w:rPr>
              <w:t xml:space="preserve"> (HTTP/S, SMTP, POP3, FTP), analiza anomalii i sygnatur (min. 5000).</w:t>
            </w:r>
            <w:r w:rsidRPr="0020086E">
              <w:rPr>
                <w:rFonts w:ascii="Cambria" w:hAnsi="Cambria"/>
              </w:rPr>
              <w:br/>
              <w:t>• Możliwość konfiguracji reguł opartych o: IP, aplikację, użytkownika, port, harmonogram, kraj pochodzenia IP.</w:t>
            </w:r>
            <w:r w:rsidRPr="0020086E">
              <w:rPr>
                <w:rFonts w:ascii="Cambria" w:hAnsi="Cambria"/>
              </w:rPr>
              <w:br/>
              <w:t>• Translacja NAT: SNAT, DNAT, PAT, 1:1, 1:N, ALG SIP.</w:t>
            </w:r>
            <w:r w:rsidRPr="0020086E">
              <w:rPr>
                <w:rFonts w:ascii="Cambria" w:hAnsi="Cambria"/>
              </w:rPr>
              <w:br/>
              <w:t xml:space="preserve">• Integracja z chmurami: AWS, </w:t>
            </w:r>
            <w:proofErr w:type="spellStart"/>
            <w:r w:rsidRPr="0020086E">
              <w:rPr>
                <w:rFonts w:ascii="Cambria" w:hAnsi="Cambria"/>
              </w:rPr>
              <w:t>Azure</w:t>
            </w:r>
            <w:proofErr w:type="spellEnd"/>
            <w:r w:rsidRPr="0020086E">
              <w:rPr>
                <w:rFonts w:ascii="Cambria" w:hAnsi="Cambria"/>
              </w:rPr>
              <w:t xml:space="preserve">, GCP, </w:t>
            </w:r>
            <w:proofErr w:type="spellStart"/>
            <w:r w:rsidRPr="0020086E">
              <w:rPr>
                <w:rFonts w:ascii="Cambria" w:hAnsi="Cambria"/>
              </w:rPr>
              <w:t>OpenStack</w:t>
            </w:r>
            <w:proofErr w:type="spellEnd"/>
            <w:r w:rsidRPr="0020086E">
              <w:rPr>
                <w:rFonts w:ascii="Cambria" w:hAnsi="Cambria"/>
              </w:rPr>
              <w:t xml:space="preserve">, Cisco ACI, NSX, </w:t>
            </w:r>
            <w:proofErr w:type="spellStart"/>
            <w:r w:rsidRPr="0020086E">
              <w:rPr>
                <w:rFonts w:ascii="Cambria" w:hAnsi="Cambria"/>
              </w:rPr>
              <w:t>Kubernetes</w:t>
            </w:r>
            <w:proofErr w:type="spellEnd"/>
            <w:r w:rsidRPr="0020086E">
              <w:rPr>
                <w:rFonts w:ascii="Cambria" w:hAnsi="Cambria"/>
              </w:rPr>
              <w:t>.</w:t>
            </w:r>
            <w:r w:rsidRPr="0020086E">
              <w:rPr>
                <w:rFonts w:ascii="Cambria" w:hAnsi="Cambria"/>
              </w:rPr>
              <w:br/>
              <w:t xml:space="preserve">• Min. 2 </w:t>
            </w:r>
            <w:proofErr w:type="spellStart"/>
            <w:r w:rsidRPr="0020086E">
              <w:rPr>
                <w:rFonts w:ascii="Cambria" w:hAnsi="Cambria"/>
              </w:rPr>
              <w:t>tokeny</w:t>
            </w:r>
            <w:proofErr w:type="spellEnd"/>
            <w:r w:rsidRPr="0020086E">
              <w:rPr>
                <w:rFonts w:ascii="Cambria" w:hAnsi="Cambria"/>
              </w:rPr>
              <w:t xml:space="preserve"> do MFA.</w:t>
            </w:r>
          </w:p>
        </w:tc>
        <w:tc>
          <w:tcPr>
            <w:tcW w:w="3357" w:type="dxa"/>
            <w:vAlign w:val="center"/>
          </w:tcPr>
          <w:p w14:paraId="58176627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2A14576E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429796E6" w14:textId="2B2B57CB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6</w:t>
            </w:r>
          </w:p>
        </w:tc>
        <w:tc>
          <w:tcPr>
            <w:tcW w:w="1846" w:type="dxa"/>
            <w:vAlign w:val="center"/>
          </w:tcPr>
          <w:p w14:paraId="4C84C61A" w14:textId="0F4B7E55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VPN:</w:t>
            </w:r>
          </w:p>
        </w:tc>
        <w:tc>
          <w:tcPr>
            <w:tcW w:w="3914" w:type="dxa"/>
            <w:vAlign w:val="center"/>
          </w:tcPr>
          <w:p w14:paraId="1CB0B767" w14:textId="6F209439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 xml:space="preserve">• Obsługa </w:t>
            </w:r>
            <w:proofErr w:type="spellStart"/>
            <w:r w:rsidRPr="0020086E">
              <w:rPr>
                <w:rFonts w:ascii="Cambria" w:hAnsi="Cambria"/>
              </w:rPr>
              <w:t>IPSec</w:t>
            </w:r>
            <w:proofErr w:type="spellEnd"/>
            <w:r w:rsidRPr="0020086E">
              <w:rPr>
                <w:rFonts w:ascii="Cambria" w:hAnsi="Cambria"/>
              </w:rPr>
              <w:t xml:space="preserve"> IKEv1/v2, AES 128/256 GCM, DH gr. 19/20, topologie Hub-</w:t>
            </w:r>
            <w:proofErr w:type="spellStart"/>
            <w:r w:rsidRPr="0020086E">
              <w:rPr>
                <w:rFonts w:ascii="Cambria" w:hAnsi="Cambria"/>
              </w:rPr>
              <w:t>Spoke</w:t>
            </w:r>
            <w:proofErr w:type="spellEnd"/>
            <w:r w:rsidRPr="0020086E">
              <w:rPr>
                <w:rFonts w:ascii="Cambria" w:hAnsi="Cambria"/>
              </w:rPr>
              <w:t xml:space="preserve"> i </w:t>
            </w:r>
            <w:proofErr w:type="spellStart"/>
            <w:r w:rsidRPr="0020086E">
              <w:rPr>
                <w:rFonts w:ascii="Cambria" w:hAnsi="Cambria"/>
              </w:rPr>
              <w:t>Mesh</w:t>
            </w:r>
            <w:proofErr w:type="spellEnd"/>
            <w:r w:rsidRPr="0020086E">
              <w:rPr>
                <w:rFonts w:ascii="Cambria" w:hAnsi="Cambria"/>
              </w:rPr>
              <w:t xml:space="preserve">, NAT-T, DPD, </w:t>
            </w:r>
            <w:proofErr w:type="spellStart"/>
            <w:r w:rsidRPr="0020086E">
              <w:rPr>
                <w:rFonts w:ascii="Cambria" w:hAnsi="Cambria"/>
              </w:rPr>
              <w:t>Xauth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split</w:t>
            </w:r>
            <w:proofErr w:type="spellEnd"/>
            <w:r w:rsidRPr="0020086E">
              <w:rPr>
                <w:rFonts w:ascii="Cambria" w:hAnsi="Cambria"/>
              </w:rPr>
              <w:t xml:space="preserve"> </w:t>
            </w:r>
            <w:proofErr w:type="spellStart"/>
            <w:r w:rsidRPr="0020086E">
              <w:rPr>
                <w:rFonts w:ascii="Cambria" w:hAnsi="Cambria"/>
              </w:rPr>
              <w:t>tunneling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failover</w:t>
            </w:r>
            <w:proofErr w:type="spellEnd"/>
            <w:r w:rsidRPr="0020086E">
              <w:rPr>
                <w:rFonts w:ascii="Cambria" w:hAnsi="Cambria"/>
              </w:rPr>
              <w:t xml:space="preserve"> tuneli, monitoring stanu tuneli.</w:t>
            </w:r>
            <w:r w:rsidRPr="0020086E">
              <w:rPr>
                <w:rFonts w:ascii="Cambria" w:hAnsi="Cambria"/>
              </w:rPr>
              <w:br/>
              <w:t>• Możliwość określenia maksymalnej liczby równoczesnych tuneli.</w:t>
            </w:r>
            <w:r w:rsidRPr="0020086E">
              <w:rPr>
                <w:rFonts w:ascii="Cambria" w:hAnsi="Cambria"/>
              </w:rPr>
              <w:br/>
              <w:t>• Obsługa Site-to-Site i Client-to-Site.</w:t>
            </w:r>
            <w:r w:rsidRPr="0020086E">
              <w:rPr>
                <w:rFonts w:ascii="Cambria" w:hAnsi="Cambria"/>
              </w:rPr>
              <w:br/>
              <w:t>• VPN klient dostępny (opcja).</w:t>
            </w:r>
          </w:p>
        </w:tc>
        <w:tc>
          <w:tcPr>
            <w:tcW w:w="3357" w:type="dxa"/>
            <w:vAlign w:val="center"/>
          </w:tcPr>
          <w:p w14:paraId="4278A9BC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24AC1C04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696AF166" w14:textId="38D3BE1E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7</w:t>
            </w:r>
          </w:p>
        </w:tc>
        <w:tc>
          <w:tcPr>
            <w:tcW w:w="1846" w:type="dxa"/>
            <w:vAlign w:val="center"/>
          </w:tcPr>
          <w:p w14:paraId="46BBB91C" w14:textId="0CB0C036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Routing:</w:t>
            </w:r>
          </w:p>
        </w:tc>
        <w:tc>
          <w:tcPr>
            <w:tcW w:w="3914" w:type="dxa"/>
            <w:vAlign w:val="center"/>
          </w:tcPr>
          <w:p w14:paraId="2AB945F5" w14:textId="4191B95F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>• Obsługa: statycznego, PBR, RIPv2/</w:t>
            </w:r>
            <w:proofErr w:type="spellStart"/>
            <w:r w:rsidRPr="0020086E">
              <w:rPr>
                <w:rFonts w:ascii="Cambria" w:hAnsi="Cambria"/>
              </w:rPr>
              <w:t>ng</w:t>
            </w:r>
            <w:proofErr w:type="spellEnd"/>
            <w:r w:rsidRPr="0020086E">
              <w:rPr>
                <w:rFonts w:ascii="Cambria" w:hAnsi="Cambria"/>
              </w:rPr>
              <w:t>, OSPF/v3, BGP, PIM.</w:t>
            </w:r>
            <w:r w:rsidRPr="0020086E">
              <w:rPr>
                <w:rFonts w:ascii="Cambria" w:hAnsi="Cambria"/>
              </w:rPr>
              <w:br/>
              <w:t>• ECMP, BFD, monitorowanie dostępności IP z interfejsu.</w:t>
            </w:r>
          </w:p>
        </w:tc>
        <w:tc>
          <w:tcPr>
            <w:tcW w:w="3357" w:type="dxa"/>
            <w:vAlign w:val="center"/>
          </w:tcPr>
          <w:p w14:paraId="20BD993A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4B036E78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79BB860A" w14:textId="2E3167A8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8</w:t>
            </w:r>
          </w:p>
        </w:tc>
        <w:tc>
          <w:tcPr>
            <w:tcW w:w="1846" w:type="dxa"/>
            <w:vAlign w:val="center"/>
          </w:tcPr>
          <w:p w14:paraId="2A121D81" w14:textId="3B3F19A3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Zarządzanie pasmem (</w:t>
            </w:r>
            <w:proofErr w:type="spellStart"/>
            <w:r w:rsidRPr="0020086E">
              <w:rPr>
                <w:rFonts w:ascii="Cambria" w:hAnsi="Cambria"/>
                <w:b/>
                <w:bCs/>
              </w:rPr>
              <w:t>QoS</w:t>
            </w:r>
            <w:proofErr w:type="spellEnd"/>
            <w:r w:rsidRPr="0020086E">
              <w:rPr>
                <w:rFonts w:ascii="Cambria" w:hAnsi="Cambria"/>
                <w:b/>
                <w:bCs/>
              </w:rPr>
              <w:t>):</w:t>
            </w:r>
          </w:p>
        </w:tc>
        <w:tc>
          <w:tcPr>
            <w:tcW w:w="3914" w:type="dxa"/>
            <w:vAlign w:val="center"/>
          </w:tcPr>
          <w:p w14:paraId="140298AF" w14:textId="188028B4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>Możliwość ustawienia limitów gwarantowanych i maksymalnych, DSCP, priorytetów ruchu, dla aplikacji, użytkowników, kategorii URL.</w:t>
            </w:r>
          </w:p>
        </w:tc>
        <w:tc>
          <w:tcPr>
            <w:tcW w:w="3357" w:type="dxa"/>
            <w:vAlign w:val="center"/>
          </w:tcPr>
          <w:p w14:paraId="42A83B9B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3B6660AE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4F0EC181" w14:textId="38625AF1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9</w:t>
            </w:r>
          </w:p>
        </w:tc>
        <w:tc>
          <w:tcPr>
            <w:tcW w:w="1846" w:type="dxa"/>
            <w:vAlign w:val="center"/>
          </w:tcPr>
          <w:p w14:paraId="04225586" w14:textId="2630AF78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 xml:space="preserve">Ochrona przed </w:t>
            </w:r>
            <w:proofErr w:type="spellStart"/>
            <w:r w:rsidRPr="0020086E">
              <w:rPr>
                <w:rFonts w:ascii="Cambria" w:hAnsi="Cambria"/>
                <w:b/>
                <w:bCs/>
              </w:rPr>
              <w:t>malware</w:t>
            </w:r>
            <w:proofErr w:type="spellEnd"/>
            <w:r w:rsidRPr="0020086E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3914" w:type="dxa"/>
            <w:vAlign w:val="center"/>
          </w:tcPr>
          <w:p w14:paraId="3437991F" w14:textId="3B150109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 xml:space="preserve">• Skanowanie: HTTP, HTTPS, FTP, POP3, IMAP, SMTP, CIFS, w tym na </w:t>
            </w:r>
            <w:r w:rsidRPr="0020086E">
              <w:rPr>
                <w:rFonts w:ascii="Cambria" w:hAnsi="Cambria"/>
              </w:rPr>
              <w:lastRenderedPageBreak/>
              <w:t>niestandardowych portach.</w:t>
            </w:r>
            <w:r w:rsidRPr="0020086E">
              <w:rPr>
                <w:rFonts w:ascii="Cambria" w:hAnsi="Cambria"/>
              </w:rPr>
              <w:br/>
              <w:t>• Obsługa archiwów z limitem zagnieżdżeń i czasu skanowania.</w:t>
            </w:r>
            <w:r w:rsidRPr="0020086E">
              <w:rPr>
                <w:rFonts w:ascii="Cambria" w:hAnsi="Cambria"/>
              </w:rPr>
              <w:br/>
              <w:t xml:space="preserve">• Wykrywanie </w:t>
            </w:r>
            <w:proofErr w:type="spellStart"/>
            <w:r w:rsidRPr="0020086E">
              <w:rPr>
                <w:rFonts w:ascii="Cambria" w:hAnsi="Cambria"/>
              </w:rPr>
              <w:t>nieskanowalnych</w:t>
            </w:r>
            <w:proofErr w:type="spellEnd"/>
            <w:r w:rsidRPr="0020086E">
              <w:rPr>
                <w:rFonts w:ascii="Cambria" w:hAnsi="Cambria"/>
              </w:rPr>
              <w:t xml:space="preserve"> plików (uszkodzone, zaszyfrowane).</w:t>
            </w:r>
            <w:r w:rsidRPr="0020086E">
              <w:rPr>
                <w:rFonts w:ascii="Cambria" w:hAnsi="Cambria"/>
              </w:rPr>
              <w:br/>
              <w:t>• Baza sygnatur z ochroną Android, automatyczna aktualizacja.</w:t>
            </w:r>
            <w:r w:rsidRPr="0020086E">
              <w:rPr>
                <w:rFonts w:ascii="Cambria" w:hAnsi="Cambria"/>
              </w:rPr>
              <w:br/>
              <w:t xml:space="preserve">• Integracja z </w:t>
            </w:r>
            <w:proofErr w:type="spellStart"/>
            <w:r w:rsidRPr="0020086E">
              <w:rPr>
                <w:rFonts w:ascii="Cambria" w:hAnsi="Cambria"/>
              </w:rPr>
              <w:t>Sandbox</w:t>
            </w:r>
            <w:proofErr w:type="spellEnd"/>
            <w:r w:rsidRPr="0020086E">
              <w:rPr>
                <w:rFonts w:ascii="Cambria" w:hAnsi="Cambria"/>
              </w:rPr>
              <w:t xml:space="preserve"> (lokalny lub chmurowy – UE).</w:t>
            </w:r>
            <w:r w:rsidRPr="0020086E">
              <w:rPr>
                <w:rFonts w:ascii="Cambria" w:hAnsi="Cambria"/>
              </w:rPr>
              <w:br/>
              <w:t xml:space="preserve">• AI </w:t>
            </w:r>
            <w:proofErr w:type="spellStart"/>
            <w:r w:rsidRPr="0020086E">
              <w:rPr>
                <w:rFonts w:ascii="Cambria" w:hAnsi="Cambria"/>
              </w:rPr>
              <w:t>engine</w:t>
            </w:r>
            <w:proofErr w:type="spellEnd"/>
            <w:r w:rsidRPr="0020086E">
              <w:rPr>
                <w:rFonts w:ascii="Cambria" w:hAnsi="Cambria"/>
              </w:rPr>
              <w:t xml:space="preserve"> producenta.</w:t>
            </w:r>
          </w:p>
        </w:tc>
        <w:tc>
          <w:tcPr>
            <w:tcW w:w="3357" w:type="dxa"/>
            <w:vAlign w:val="center"/>
          </w:tcPr>
          <w:p w14:paraId="53FA10E1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0C99D825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6197BDFD" w14:textId="4968056C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10</w:t>
            </w:r>
          </w:p>
        </w:tc>
        <w:tc>
          <w:tcPr>
            <w:tcW w:w="1846" w:type="dxa"/>
            <w:vAlign w:val="center"/>
          </w:tcPr>
          <w:p w14:paraId="15607764" w14:textId="2CCA9D4D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IPS i ochrona aplikacji:</w:t>
            </w:r>
          </w:p>
        </w:tc>
        <w:tc>
          <w:tcPr>
            <w:tcW w:w="3914" w:type="dxa"/>
            <w:vAlign w:val="center"/>
          </w:tcPr>
          <w:p w14:paraId="30D1010F" w14:textId="6B6FC23C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>• Analiza sygnaturowa i anomalii.</w:t>
            </w:r>
            <w:r w:rsidRPr="0020086E">
              <w:rPr>
                <w:rFonts w:ascii="Cambria" w:hAnsi="Cambria"/>
              </w:rPr>
              <w:br/>
              <w:t>• Ochrona na niestandardowych portach.</w:t>
            </w:r>
            <w:r w:rsidRPr="0020086E">
              <w:rPr>
                <w:rFonts w:ascii="Cambria" w:hAnsi="Cambria"/>
              </w:rPr>
              <w:br/>
              <w:t>• Własne sygnatury i wyjątki.</w:t>
            </w:r>
            <w:r w:rsidRPr="0020086E">
              <w:rPr>
                <w:rFonts w:ascii="Cambria" w:hAnsi="Cambria"/>
              </w:rPr>
              <w:br/>
              <w:t xml:space="preserve">• Ochrona </w:t>
            </w:r>
            <w:proofErr w:type="spellStart"/>
            <w:r w:rsidRPr="0020086E">
              <w:rPr>
                <w:rFonts w:ascii="Cambria" w:hAnsi="Cambria"/>
              </w:rPr>
              <w:t>WebApps</w:t>
            </w:r>
            <w:proofErr w:type="spellEnd"/>
            <w:r w:rsidRPr="0020086E">
              <w:rPr>
                <w:rFonts w:ascii="Cambria" w:hAnsi="Cambria"/>
              </w:rPr>
              <w:t xml:space="preserve"> (WAF): XSS, </w:t>
            </w:r>
            <w:proofErr w:type="spellStart"/>
            <w:r w:rsidRPr="0020086E">
              <w:rPr>
                <w:rFonts w:ascii="Cambria" w:hAnsi="Cambria"/>
              </w:rPr>
              <w:t>SQLi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trojany</w:t>
            </w:r>
            <w:proofErr w:type="spellEnd"/>
            <w:r w:rsidRPr="0020086E">
              <w:rPr>
                <w:rFonts w:ascii="Cambria" w:hAnsi="Cambria"/>
              </w:rPr>
              <w:t>, C&amp;C.</w:t>
            </w:r>
          </w:p>
        </w:tc>
        <w:tc>
          <w:tcPr>
            <w:tcW w:w="3357" w:type="dxa"/>
            <w:vAlign w:val="center"/>
          </w:tcPr>
          <w:p w14:paraId="5D226C19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4E680FBF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742F8957" w14:textId="6BA28FD7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11</w:t>
            </w:r>
          </w:p>
        </w:tc>
        <w:tc>
          <w:tcPr>
            <w:tcW w:w="1846" w:type="dxa"/>
            <w:vAlign w:val="center"/>
          </w:tcPr>
          <w:p w14:paraId="5EB4BC73" w14:textId="70E3667D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Kontrola aplikacji:</w:t>
            </w:r>
          </w:p>
        </w:tc>
        <w:tc>
          <w:tcPr>
            <w:tcW w:w="3914" w:type="dxa"/>
            <w:vAlign w:val="center"/>
          </w:tcPr>
          <w:p w14:paraId="56AE6CB4" w14:textId="39B4DCBD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>• DPI niezależne od portów TCP/UDP.</w:t>
            </w:r>
            <w:r w:rsidRPr="0020086E">
              <w:rPr>
                <w:rFonts w:ascii="Cambria" w:hAnsi="Cambria"/>
              </w:rPr>
              <w:br/>
              <w:t>• Min. 2000 sygnatur aplikacji.</w:t>
            </w:r>
            <w:r w:rsidRPr="0020086E">
              <w:rPr>
                <w:rFonts w:ascii="Cambria" w:hAnsi="Cambria"/>
              </w:rPr>
              <w:br/>
              <w:t>• Kontrola działań w chmurze (</w:t>
            </w:r>
            <w:proofErr w:type="spellStart"/>
            <w:r w:rsidRPr="0020086E">
              <w:rPr>
                <w:rFonts w:ascii="Cambria" w:hAnsi="Cambria"/>
              </w:rPr>
              <w:t>upload</w:t>
            </w:r>
            <w:proofErr w:type="spellEnd"/>
            <w:r w:rsidRPr="0020086E">
              <w:rPr>
                <w:rFonts w:ascii="Cambria" w:hAnsi="Cambria"/>
              </w:rPr>
              <w:t>/</w:t>
            </w:r>
            <w:proofErr w:type="spellStart"/>
            <w:r w:rsidRPr="0020086E">
              <w:rPr>
                <w:rFonts w:ascii="Cambria" w:hAnsi="Cambria"/>
              </w:rPr>
              <w:t>download</w:t>
            </w:r>
            <w:proofErr w:type="spellEnd"/>
            <w:r w:rsidRPr="0020086E">
              <w:rPr>
                <w:rFonts w:ascii="Cambria" w:hAnsi="Cambria"/>
              </w:rPr>
              <w:t>).</w:t>
            </w:r>
            <w:r w:rsidRPr="0020086E">
              <w:rPr>
                <w:rFonts w:ascii="Cambria" w:hAnsi="Cambria"/>
              </w:rPr>
              <w:br/>
              <w:t xml:space="preserve">• Własne sygnatury, możliwość blokowania </w:t>
            </w:r>
            <w:proofErr w:type="spellStart"/>
            <w:r w:rsidRPr="0020086E">
              <w:rPr>
                <w:rFonts w:ascii="Cambria" w:hAnsi="Cambria"/>
              </w:rPr>
              <w:t>port+protokół</w:t>
            </w:r>
            <w:proofErr w:type="spellEnd"/>
            <w:r w:rsidRPr="0020086E">
              <w:rPr>
                <w:rFonts w:ascii="Cambria" w:hAnsi="Cambria"/>
              </w:rPr>
              <w:t>.</w:t>
            </w:r>
          </w:p>
        </w:tc>
        <w:tc>
          <w:tcPr>
            <w:tcW w:w="3357" w:type="dxa"/>
            <w:vAlign w:val="center"/>
          </w:tcPr>
          <w:p w14:paraId="7C8D28ED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0CAFE813" w14:textId="77777777" w:rsidTr="0020086E">
        <w:trPr>
          <w:tblCellSpacing w:w="15" w:type="dxa"/>
        </w:trPr>
        <w:tc>
          <w:tcPr>
            <w:tcW w:w="515" w:type="dxa"/>
            <w:vAlign w:val="center"/>
          </w:tcPr>
          <w:p w14:paraId="7FF38EBA" w14:textId="6802A7C2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12</w:t>
            </w:r>
          </w:p>
        </w:tc>
        <w:tc>
          <w:tcPr>
            <w:tcW w:w="1846" w:type="dxa"/>
            <w:vAlign w:val="center"/>
          </w:tcPr>
          <w:p w14:paraId="3DB783B6" w14:textId="337AE3D4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Kontrola WWW:</w:t>
            </w:r>
          </w:p>
        </w:tc>
        <w:tc>
          <w:tcPr>
            <w:tcW w:w="3914" w:type="dxa"/>
            <w:vAlign w:val="center"/>
          </w:tcPr>
          <w:p w14:paraId="4444A69F" w14:textId="0D0A0532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>• Min. 40 mln URL, z kategoriami tematycznymi (</w:t>
            </w:r>
            <w:proofErr w:type="spellStart"/>
            <w:r w:rsidRPr="0020086E">
              <w:rPr>
                <w:rFonts w:ascii="Cambria" w:hAnsi="Cambria"/>
              </w:rPr>
              <w:t>malware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phishing</w:t>
            </w:r>
            <w:proofErr w:type="spellEnd"/>
            <w:r w:rsidRPr="0020086E">
              <w:rPr>
                <w:rFonts w:ascii="Cambria" w:hAnsi="Cambria"/>
              </w:rPr>
              <w:t>, hazard).</w:t>
            </w:r>
            <w:r w:rsidRPr="0020086E">
              <w:rPr>
                <w:rFonts w:ascii="Cambria" w:hAnsi="Cambria"/>
              </w:rPr>
              <w:br/>
              <w:t xml:space="preserve">• Obsługa </w:t>
            </w:r>
            <w:proofErr w:type="spellStart"/>
            <w:r w:rsidRPr="0020086E">
              <w:rPr>
                <w:rFonts w:ascii="Cambria" w:hAnsi="Cambria"/>
              </w:rPr>
              <w:t>Regex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Whitelist</w:t>
            </w:r>
            <w:proofErr w:type="spellEnd"/>
            <w:r w:rsidRPr="0020086E">
              <w:rPr>
                <w:rFonts w:ascii="Cambria" w:hAnsi="Cambria"/>
              </w:rPr>
              <w:t>/</w:t>
            </w:r>
            <w:proofErr w:type="spellStart"/>
            <w:r w:rsidRPr="0020086E">
              <w:rPr>
                <w:rFonts w:ascii="Cambria" w:hAnsi="Cambria"/>
              </w:rPr>
              <w:t>Blacklist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Warning</w:t>
            </w:r>
            <w:proofErr w:type="spellEnd"/>
            <w:r w:rsidRPr="0020086E">
              <w:rPr>
                <w:rFonts w:ascii="Cambria" w:hAnsi="Cambria"/>
              </w:rPr>
              <w:t xml:space="preserve"> </w:t>
            </w:r>
            <w:proofErr w:type="spellStart"/>
            <w:r w:rsidRPr="0020086E">
              <w:rPr>
                <w:rFonts w:ascii="Cambria" w:hAnsi="Cambria"/>
              </w:rPr>
              <w:t>Page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SafeSearch</w:t>
            </w:r>
            <w:proofErr w:type="spellEnd"/>
            <w:r w:rsidRPr="0020086E">
              <w:rPr>
                <w:rFonts w:ascii="Cambria" w:hAnsi="Cambria"/>
              </w:rPr>
              <w:t>, brak inspekcji dla wybranych kategorii.</w:t>
            </w:r>
          </w:p>
        </w:tc>
        <w:tc>
          <w:tcPr>
            <w:tcW w:w="3357" w:type="dxa"/>
            <w:vAlign w:val="center"/>
          </w:tcPr>
          <w:p w14:paraId="18B902DF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E63B02" w:rsidRPr="0020086E" w14:paraId="1AC2561B" w14:textId="77777777" w:rsidTr="0020086E">
        <w:trPr>
          <w:tblCellSpacing w:w="15" w:type="dxa"/>
        </w:trPr>
        <w:tc>
          <w:tcPr>
            <w:tcW w:w="515" w:type="dxa"/>
            <w:vAlign w:val="center"/>
            <w:hideMark/>
          </w:tcPr>
          <w:p w14:paraId="7259B694" w14:textId="3FE6ED16" w:rsidR="00E63B02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13</w:t>
            </w:r>
          </w:p>
        </w:tc>
        <w:tc>
          <w:tcPr>
            <w:tcW w:w="1846" w:type="dxa"/>
            <w:vAlign w:val="center"/>
            <w:hideMark/>
          </w:tcPr>
          <w:p w14:paraId="76BE4A17" w14:textId="1019711C" w:rsidR="00E63B02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Uwierzytelnianie:</w:t>
            </w:r>
          </w:p>
        </w:tc>
        <w:tc>
          <w:tcPr>
            <w:tcW w:w="3914" w:type="dxa"/>
            <w:vAlign w:val="center"/>
            <w:hideMark/>
          </w:tcPr>
          <w:p w14:paraId="7D2D5E25" w14:textId="54760E7A" w:rsidR="00E63B02" w:rsidRPr="0020086E" w:rsidRDefault="00E63B02" w:rsidP="005435E9">
            <w:pPr>
              <w:spacing w:after="0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 xml:space="preserve">• Lokalna baza, LDAP, RADIUS, RSA </w:t>
            </w:r>
            <w:proofErr w:type="spellStart"/>
            <w:r w:rsidRPr="0020086E">
              <w:rPr>
                <w:rFonts w:ascii="Cambria" w:hAnsi="Cambria"/>
              </w:rPr>
              <w:t>SecurID</w:t>
            </w:r>
            <w:proofErr w:type="spellEnd"/>
            <w:r w:rsidRPr="0020086E">
              <w:rPr>
                <w:rFonts w:ascii="Cambria" w:hAnsi="Cambria"/>
              </w:rPr>
              <w:t>, MFA.</w:t>
            </w:r>
            <w:r w:rsidRPr="0020086E">
              <w:rPr>
                <w:rFonts w:ascii="Cambria" w:hAnsi="Cambria"/>
              </w:rPr>
              <w:br/>
              <w:t>• Integracja SSO z AD, SAML, API, SYSLOG.</w:t>
            </w:r>
            <w:r w:rsidRPr="0020086E">
              <w:rPr>
                <w:rFonts w:ascii="Cambria" w:hAnsi="Cambria"/>
              </w:rPr>
              <w:br/>
            </w:r>
          </w:p>
        </w:tc>
        <w:tc>
          <w:tcPr>
            <w:tcW w:w="3357" w:type="dxa"/>
            <w:vAlign w:val="center"/>
            <w:hideMark/>
          </w:tcPr>
          <w:p w14:paraId="5081B324" w14:textId="7888BA3B" w:rsidR="00E63B02" w:rsidRPr="0020086E" w:rsidRDefault="00E63B02" w:rsidP="005435E9">
            <w:pPr>
              <w:spacing w:after="0"/>
              <w:rPr>
                <w:rFonts w:ascii="Cambria" w:hAnsi="Cambria"/>
              </w:rPr>
            </w:pPr>
          </w:p>
        </w:tc>
      </w:tr>
      <w:tr w:rsidR="005435E9" w:rsidRPr="0020086E" w14:paraId="2340CCEC" w14:textId="77777777" w:rsidTr="0020086E">
        <w:trPr>
          <w:trHeight w:val="1154"/>
          <w:tblCellSpacing w:w="15" w:type="dxa"/>
        </w:trPr>
        <w:tc>
          <w:tcPr>
            <w:tcW w:w="515" w:type="dxa"/>
            <w:vAlign w:val="center"/>
          </w:tcPr>
          <w:p w14:paraId="7FA04571" w14:textId="5341327F" w:rsidR="005435E9" w:rsidRPr="0020086E" w:rsidRDefault="00E44EA8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14</w:t>
            </w:r>
          </w:p>
        </w:tc>
        <w:tc>
          <w:tcPr>
            <w:tcW w:w="1846" w:type="dxa"/>
            <w:vAlign w:val="center"/>
          </w:tcPr>
          <w:p w14:paraId="42950B58" w14:textId="5D97D1FA" w:rsidR="005435E9" w:rsidRPr="0020086E" w:rsidRDefault="005435E9" w:rsidP="005435E9">
            <w:pPr>
              <w:spacing w:after="0"/>
              <w:rPr>
                <w:rFonts w:ascii="Cambria" w:hAnsi="Cambria"/>
                <w:b/>
                <w:bCs/>
              </w:rPr>
            </w:pPr>
            <w:r w:rsidRPr="0020086E">
              <w:rPr>
                <w:rFonts w:ascii="Cambria" w:hAnsi="Cambria"/>
                <w:b/>
                <w:bCs/>
              </w:rPr>
              <w:t>Zarządzanie:</w:t>
            </w:r>
          </w:p>
        </w:tc>
        <w:tc>
          <w:tcPr>
            <w:tcW w:w="3914" w:type="dxa"/>
            <w:vAlign w:val="center"/>
          </w:tcPr>
          <w:p w14:paraId="6AE0FC38" w14:textId="2F2CCA1C" w:rsidR="005435E9" w:rsidRPr="0020086E" w:rsidRDefault="005435E9" w:rsidP="005435E9">
            <w:pPr>
              <w:pStyle w:val="Akapitzlist"/>
              <w:spacing w:after="0"/>
              <w:ind w:left="93"/>
              <w:rPr>
                <w:rFonts w:ascii="Cambria" w:hAnsi="Cambria"/>
              </w:rPr>
            </w:pPr>
            <w:r w:rsidRPr="0020086E">
              <w:rPr>
                <w:rFonts w:ascii="Cambria" w:hAnsi="Cambria"/>
              </w:rPr>
              <w:t xml:space="preserve">•HTTPS, SSH, SNMP v2c/3, </w:t>
            </w:r>
            <w:proofErr w:type="spellStart"/>
            <w:r w:rsidRPr="0020086E">
              <w:rPr>
                <w:rFonts w:ascii="Cambria" w:hAnsi="Cambria"/>
              </w:rPr>
              <w:t>NetFlow</w:t>
            </w:r>
            <w:proofErr w:type="spellEnd"/>
            <w:r w:rsidRPr="0020086E">
              <w:rPr>
                <w:rFonts w:ascii="Cambria" w:hAnsi="Cambria"/>
              </w:rPr>
              <w:t>/</w:t>
            </w:r>
            <w:proofErr w:type="spellStart"/>
            <w:r w:rsidRPr="0020086E">
              <w:rPr>
                <w:rFonts w:ascii="Cambria" w:hAnsi="Cambria"/>
              </w:rPr>
              <w:t>sFlow</w:t>
            </w:r>
            <w:proofErr w:type="spellEnd"/>
            <w:r w:rsidRPr="0020086E">
              <w:rPr>
                <w:rFonts w:ascii="Cambria" w:hAnsi="Cambria"/>
              </w:rPr>
              <w:t>, lokalne i zdalne (centralne) zarządzanie.</w:t>
            </w:r>
            <w:r w:rsidRPr="0020086E">
              <w:rPr>
                <w:rFonts w:ascii="Cambria" w:hAnsi="Cambria"/>
              </w:rPr>
              <w:br/>
              <w:t>• Dokumentowane API.</w:t>
            </w:r>
            <w:r w:rsidRPr="0020086E">
              <w:rPr>
                <w:rFonts w:ascii="Cambria" w:hAnsi="Cambria"/>
              </w:rPr>
              <w:br/>
              <w:t xml:space="preserve">• Diagnostyka: ping, </w:t>
            </w:r>
            <w:proofErr w:type="spellStart"/>
            <w:r w:rsidRPr="0020086E">
              <w:rPr>
                <w:rFonts w:ascii="Cambria" w:hAnsi="Cambria"/>
              </w:rPr>
              <w:t>traceroute</w:t>
            </w:r>
            <w:proofErr w:type="spellEnd"/>
            <w:r w:rsidRPr="0020086E">
              <w:rPr>
                <w:rFonts w:ascii="Cambria" w:hAnsi="Cambria"/>
              </w:rPr>
              <w:t xml:space="preserve">, </w:t>
            </w:r>
            <w:proofErr w:type="spellStart"/>
            <w:r w:rsidRPr="0020086E">
              <w:rPr>
                <w:rFonts w:ascii="Cambria" w:hAnsi="Cambria"/>
              </w:rPr>
              <w:t>packet</w:t>
            </w:r>
            <w:proofErr w:type="spellEnd"/>
            <w:r w:rsidRPr="0020086E">
              <w:rPr>
                <w:rFonts w:ascii="Cambria" w:hAnsi="Cambria"/>
              </w:rPr>
              <w:t xml:space="preserve"> </w:t>
            </w:r>
            <w:proofErr w:type="spellStart"/>
            <w:r w:rsidRPr="0020086E">
              <w:rPr>
                <w:rFonts w:ascii="Cambria" w:hAnsi="Cambria"/>
              </w:rPr>
              <w:t>capture</w:t>
            </w:r>
            <w:proofErr w:type="spellEnd"/>
            <w:r w:rsidRPr="0020086E">
              <w:rPr>
                <w:rFonts w:ascii="Cambria" w:hAnsi="Cambria"/>
              </w:rPr>
              <w:t>, procesy.</w:t>
            </w:r>
          </w:p>
        </w:tc>
        <w:tc>
          <w:tcPr>
            <w:tcW w:w="3357" w:type="dxa"/>
            <w:vAlign w:val="center"/>
          </w:tcPr>
          <w:p w14:paraId="5438D499" w14:textId="77777777" w:rsidR="005435E9" w:rsidRPr="0020086E" w:rsidRDefault="005435E9" w:rsidP="005435E9">
            <w:pPr>
              <w:spacing w:after="0"/>
              <w:rPr>
                <w:rFonts w:ascii="Cambria" w:hAnsi="Cambria"/>
              </w:rPr>
            </w:pPr>
          </w:p>
        </w:tc>
      </w:tr>
    </w:tbl>
    <w:p w14:paraId="4CB2D9B1" w14:textId="77777777" w:rsidR="00E63B02" w:rsidRPr="0020086E" w:rsidRDefault="00E63B02" w:rsidP="005435E9">
      <w:pPr>
        <w:spacing w:after="0"/>
        <w:rPr>
          <w:rFonts w:ascii="Cambria" w:hAnsi="Cambria"/>
          <w:b/>
          <w:bCs/>
        </w:rPr>
      </w:pPr>
    </w:p>
    <w:p w14:paraId="5BF6DEC7" w14:textId="77777777" w:rsidR="0020086E" w:rsidRDefault="0020086E">
      <w:pPr>
        <w:spacing w:after="0"/>
        <w:rPr>
          <w:rFonts w:ascii="Cambria" w:hAnsi="Cambria"/>
          <w:b/>
          <w:bCs/>
        </w:rPr>
      </w:pPr>
    </w:p>
    <w:p w14:paraId="3157B8D2" w14:textId="77777777" w:rsidR="0020086E" w:rsidRDefault="0020086E" w:rsidP="0020086E">
      <w:pPr>
        <w:spacing w:after="0"/>
        <w:jc w:val="right"/>
        <w:rPr>
          <w:rFonts w:ascii="Cambria" w:hAnsi="Cambria"/>
          <w:b/>
          <w:bCs/>
        </w:rPr>
      </w:pPr>
    </w:p>
    <w:p w14:paraId="479945DF" w14:textId="6A148C50" w:rsidR="0020086E" w:rsidRPr="00480104" w:rsidRDefault="0020086E" w:rsidP="0020086E">
      <w:pPr>
        <w:spacing w:after="0"/>
        <w:jc w:val="right"/>
        <w:rPr>
          <w:rFonts w:ascii="Cambria" w:hAnsi="Cambria"/>
          <w:b/>
          <w:bCs/>
          <w:i/>
          <w:iCs/>
        </w:rPr>
      </w:pPr>
      <w:r w:rsidRPr="00480104">
        <w:rPr>
          <w:rFonts w:ascii="Cambria" w:hAnsi="Cambria"/>
          <w:b/>
          <w:bCs/>
          <w:i/>
          <w:iCs/>
        </w:rPr>
        <w:t xml:space="preserve">należy podpisać </w:t>
      </w:r>
    </w:p>
    <w:p w14:paraId="5E1A4A03" w14:textId="77777777" w:rsidR="0020086E" w:rsidRPr="00480104" w:rsidRDefault="0020086E" w:rsidP="0020086E">
      <w:pPr>
        <w:spacing w:after="0"/>
        <w:jc w:val="right"/>
        <w:rPr>
          <w:rFonts w:ascii="Cambria" w:hAnsi="Cambria"/>
          <w:b/>
          <w:bCs/>
          <w:i/>
          <w:iCs/>
        </w:rPr>
      </w:pPr>
      <w:r w:rsidRPr="00480104">
        <w:rPr>
          <w:rFonts w:ascii="Cambria" w:hAnsi="Cambria"/>
          <w:b/>
          <w:bCs/>
          <w:i/>
          <w:iCs/>
        </w:rPr>
        <w:t xml:space="preserve">kwalifikowanym podpisem elektronicznym </w:t>
      </w:r>
    </w:p>
    <w:p w14:paraId="3196324D" w14:textId="77777777" w:rsidR="0020086E" w:rsidRPr="0020086E" w:rsidRDefault="0020086E" w:rsidP="0020086E">
      <w:pPr>
        <w:spacing w:after="0"/>
        <w:jc w:val="right"/>
        <w:rPr>
          <w:rFonts w:ascii="Cambria" w:hAnsi="Cambria"/>
          <w:b/>
          <w:bCs/>
        </w:rPr>
      </w:pPr>
      <w:r w:rsidRPr="00480104">
        <w:rPr>
          <w:rFonts w:ascii="Cambria" w:hAnsi="Cambria"/>
          <w:b/>
          <w:bCs/>
          <w:i/>
          <w:iCs/>
        </w:rPr>
        <w:t>lub podpisem zaufanym lub podpisem osobistym</w:t>
      </w:r>
    </w:p>
    <w:p w14:paraId="42E084F7" w14:textId="77777777" w:rsidR="0020086E" w:rsidRPr="0020086E" w:rsidRDefault="0020086E" w:rsidP="0020086E">
      <w:pPr>
        <w:spacing w:after="0"/>
        <w:jc w:val="right"/>
        <w:rPr>
          <w:rFonts w:ascii="Cambria" w:hAnsi="Cambria"/>
          <w:b/>
          <w:bCs/>
        </w:rPr>
      </w:pPr>
    </w:p>
    <w:sectPr w:rsidR="0020086E" w:rsidRPr="0020086E" w:rsidSect="0020086E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52A10" w14:textId="77777777" w:rsidR="00B43B67" w:rsidRDefault="00B43B67" w:rsidP="0020086E">
      <w:pPr>
        <w:spacing w:after="0" w:line="240" w:lineRule="auto"/>
      </w:pPr>
      <w:r>
        <w:separator/>
      </w:r>
    </w:p>
  </w:endnote>
  <w:endnote w:type="continuationSeparator" w:id="0">
    <w:p w14:paraId="50AE9121" w14:textId="77777777" w:rsidR="00B43B67" w:rsidRDefault="00B43B67" w:rsidP="00200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05C43" w14:textId="77777777" w:rsidR="00B43B67" w:rsidRDefault="00B43B67" w:rsidP="0020086E">
      <w:pPr>
        <w:spacing w:after="0" w:line="240" w:lineRule="auto"/>
      </w:pPr>
      <w:r>
        <w:separator/>
      </w:r>
    </w:p>
  </w:footnote>
  <w:footnote w:type="continuationSeparator" w:id="0">
    <w:p w14:paraId="3E94D0AC" w14:textId="77777777" w:rsidR="00B43B67" w:rsidRDefault="00B43B67" w:rsidP="00200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1077C" w14:textId="22AECB4D" w:rsidR="0020086E" w:rsidRDefault="0020086E">
    <w:pPr>
      <w:pStyle w:val="Nagwek"/>
    </w:pPr>
    <w:r>
      <w:rPr>
        <w:noProof/>
      </w:rPr>
      <w:drawing>
        <wp:inline distT="0" distB="0" distL="0" distR="0" wp14:anchorId="1169C014" wp14:editId="0C909B9F">
          <wp:extent cx="5730875" cy="621665"/>
          <wp:effectExtent l="0" t="0" r="3175" b="6985"/>
          <wp:docPr id="12671601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E76C0"/>
    <w:multiLevelType w:val="hybridMultilevel"/>
    <w:tmpl w:val="FFE6E64C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1DD4"/>
    <w:multiLevelType w:val="hybridMultilevel"/>
    <w:tmpl w:val="08F02DEC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84656"/>
    <w:multiLevelType w:val="hybridMultilevel"/>
    <w:tmpl w:val="0B52AE0A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11ABD"/>
    <w:multiLevelType w:val="hybridMultilevel"/>
    <w:tmpl w:val="0854F566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F602B"/>
    <w:multiLevelType w:val="hybridMultilevel"/>
    <w:tmpl w:val="A710C170"/>
    <w:lvl w:ilvl="0" w:tplc="895646FC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A4B6076"/>
    <w:multiLevelType w:val="hybridMultilevel"/>
    <w:tmpl w:val="9C70FBE2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4370F"/>
    <w:multiLevelType w:val="hybridMultilevel"/>
    <w:tmpl w:val="0F5A69FA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64242"/>
    <w:multiLevelType w:val="hybridMultilevel"/>
    <w:tmpl w:val="55F29302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B4227"/>
    <w:multiLevelType w:val="hybridMultilevel"/>
    <w:tmpl w:val="13B68276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84B31"/>
    <w:multiLevelType w:val="hybridMultilevel"/>
    <w:tmpl w:val="5D842332"/>
    <w:lvl w:ilvl="0" w:tplc="895646FC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BE830F8"/>
    <w:multiLevelType w:val="hybridMultilevel"/>
    <w:tmpl w:val="AEF6A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C56CE"/>
    <w:multiLevelType w:val="hybridMultilevel"/>
    <w:tmpl w:val="D88AB276"/>
    <w:lvl w:ilvl="0" w:tplc="895646FC">
      <w:numFmt w:val="bullet"/>
      <w:lvlText w:val="•"/>
      <w:lvlJc w:val="left"/>
      <w:pPr>
        <w:ind w:left="142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D72556"/>
    <w:multiLevelType w:val="hybridMultilevel"/>
    <w:tmpl w:val="3F9473C8"/>
    <w:lvl w:ilvl="0" w:tplc="895646FC">
      <w:numFmt w:val="bullet"/>
      <w:lvlText w:val="•"/>
      <w:lvlJc w:val="left"/>
      <w:pPr>
        <w:ind w:left="142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71C73A5"/>
    <w:multiLevelType w:val="hybridMultilevel"/>
    <w:tmpl w:val="B864522E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F7290"/>
    <w:multiLevelType w:val="hybridMultilevel"/>
    <w:tmpl w:val="7CECD192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59043C"/>
    <w:multiLevelType w:val="hybridMultilevel"/>
    <w:tmpl w:val="6692508C"/>
    <w:lvl w:ilvl="0" w:tplc="895646FC">
      <w:numFmt w:val="bullet"/>
      <w:lvlText w:val="•"/>
      <w:lvlJc w:val="left"/>
      <w:pPr>
        <w:ind w:left="142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0CE5159"/>
    <w:multiLevelType w:val="hybridMultilevel"/>
    <w:tmpl w:val="447E07FC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52646D"/>
    <w:multiLevelType w:val="hybridMultilevel"/>
    <w:tmpl w:val="F086D6C8"/>
    <w:lvl w:ilvl="0" w:tplc="895646FC">
      <w:numFmt w:val="bullet"/>
      <w:lvlText w:val="•"/>
      <w:lvlJc w:val="left"/>
      <w:pPr>
        <w:ind w:left="142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8F80690"/>
    <w:multiLevelType w:val="hybridMultilevel"/>
    <w:tmpl w:val="FD2635F2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A51F1"/>
    <w:multiLevelType w:val="hybridMultilevel"/>
    <w:tmpl w:val="BDEA40D4"/>
    <w:lvl w:ilvl="0" w:tplc="895646FC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D36653E"/>
    <w:multiLevelType w:val="hybridMultilevel"/>
    <w:tmpl w:val="8AF8D34E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F12F0"/>
    <w:multiLevelType w:val="hybridMultilevel"/>
    <w:tmpl w:val="8C7AB778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43963"/>
    <w:multiLevelType w:val="hybridMultilevel"/>
    <w:tmpl w:val="744C15DC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115DC8"/>
    <w:multiLevelType w:val="hybridMultilevel"/>
    <w:tmpl w:val="30F6CD14"/>
    <w:lvl w:ilvl="0" w:tplc="895646FC">
      <w:numFmt w:val="bullet"/>
      <w:lvlText w:val="•"/>
      <w:lvlJc w:val="left"/>
      <w:pPr>
        <w:ind w:left="1428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E1235A4"/>
    <w:multiLevelType w:val="hybridMultilevel"/>
    <w:tmpl w:val="0770B822"/>
    <w:lvl w:ilvl="0" w:tplc="895646F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A35ED"/>
    <w:multiLevelType w:val="hybridMultilevel"/>
    <w:tmpl w:val="1F94B86A"/>
    <w:lvl w:ilvl="0" w:tplc="BCC2D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DD49FF"/>
    <w:multiLevelType w:val="hybridMultilevel"/>
    <w:tmpl w:val="07D84674"/>
    <w:lvl w:ilvl="0" w:tplc="355EB4A8">
      <w:start w:val="2"/>
      <w:numFmt w:val="ordinal"/>
      <w:lvlText w:val="%1"/>
      <w:lvlJc w:val="left"/>
      <w:pPr>
        <w:ind w:left="360" w:hanging="360"/>
      </w:pPr>
      <w:rPr>
        <w:rFonts w:ascii="Arial" w:hAnsi="Arial" w:cs="Arial" w:hint="default"/>
        <w:b/>
        <w:bCs/>
        <w:i w:val="0"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535F15"/>
    <w:multiLevelType w:val="hybridMultilevel"/>
    <w:tmpl w:val="F788AB16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793170"/>
    <w:multiLevelType w:val="hybridMultilevel"/>
    <w:tmpl w:val="6D30485E"/>
    <w:lvl w:ilvl="0" w:tplc="BCC2DB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DC74AA"/>
    <w:multiLevelType w:val="hybridMultilevel"/>
    <w:tmpl w:val="CF1C152C"/>
    <w:lvl w:ilvl="0" w:tplc="BCC2D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1393">
    <w:abstractNumId w:val="26"/>
  </w:num>
  <w:num w:numId="2" w16cid:durableId="1970891117">
    <w:abstractNumId w:val="14"/>
  </w:num>
  <w:num w:numId="3" w16cid:durableId="90009245">
    <w:abstractNumId w:val="17"/>
  </w:num>
  <w:num w:numId="4" w16cid:durableId="1660502143">
    <w:abstractNumId w:val="2"/>
  </w:num>
  <w:num w:numId="5" w16cid:durableId="322392704">
    <w:abstractNumId w:val="13"/>
  </w:num>
  <w:num w:numId="6" w16cid:durableId="1479221541">
    <w:abstractNumId w:val="9"/>
  </w:num>
  <w:num w:numId="7" w16cid:durableId="1082681136">
    <w:abstractNumId w:val="27"/>
  </w:num>
  <w:num w:numId="8" w16cid:durableId="888683937">
    <w:abstractNumId w:val="0"/>
  </w:num>
  <w:num w:numId="9" w16cid:durableId="966199514">
    <w:abstractNumId w:val="19"/>
  </w:num>
  <w:num w:numId="10" w16cid:durableId="1352609788">
    <w:abstractNumId w:val="5"/>
  </w:num>
  <w:num w:numId="11" w16cid:durableId="803036528">
    <w:abstractNumId w:val="23"/>
  </w:num>
  <w:num w:numId="12" w16cid:durableId="898898933">
    <w:abstractNumId w:val="12"/>
  </w:num>
  <w:num w:numId="13" w16cid:durableId="37752955">
    <w:abstractNumId w:val="29"/>
  </w:num>
  <w:num w:numId="14" w16cid:durableId="1428504124">
    <w:abstractNumId w:val="16"/>
  </w:num>
  <w:num w:numId="15" w16cid:durableId="1534341381">
    <w:abstractNumId w:val="15"/>
  </w:num>
  <w:num w:numId="16" w16cid:durableId="226110504">
    <w:abstractNumId w:val="11"/>
  </w:num>
  <w:num w:numId="17" w16cid:durableId="374045162">
    <w:abstractNumId w:val="20"/>
  </w:num>
  <w:num w:numId="18" w16cid:durableId="219755181">
    <w:abstractNumId w:val="18"/>
  </w:num>
  <w:num w:numId="19" w16cid:durableId="964887613">
    <w:abstractNumId w:val="22"/>
  </w:num>
  <w:num w:numId="20" w16cid:durableId="1917474048">
    <w:abstractNumId w:val="8"/>
  </w:num>
  <w:num w:numId="21" w16cid:durableId="1282112130">
    <w:abstractNumId w:val="6"/>
  </w:num>
  <w:num w:numId="22" w16cid:durableId="451900447">
    <w:abstractNumId w:val="7"/>
  </w:num>
  <w:num w:numId="23" w16cid:durableId="357123535">
    <w:abstractNumId w:val="21"/>
  </w:num>
  <w:num w:numId="24" w16cid:durableId="465589288">
    <w:abstractNumId w:val="4"/>
  </w:num>
  <w:num w:numId="25" w16cid:durableId="2053261730">
    <w:abstractNumId w:val="1"/>
  </w:num>
  <w:num w:numId="26" w16cid:durableId="1645696499">
    <w:abstractNumId w:val="3"/>
  </w:num>
  <w:num w:numId="27" w16cid:durableId="1821265644">
    <w:abstractNumId w:val="28"/>
  </w:num>
  <w:num w:numId="28" w16cid:durableId="1730961429">
    <w:abstractNumId w:val="24"/>
  </w:num>
  <w:num w:numId="29" w16cid:durableId="376201648">
    <w:abstractNumId w:val="25"/>
  </w:num>
  <w:num w:numId="30" w16cid:durableId="27139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1E4"/>
    <w:rsid w:val="00011B66"/>
    <w:rsid w:val="000171E4"/>
    <w:rsid w:val="000B5E0A"/>
    <w:rsid w:val="0013470F"/>
    <w:rsid w:val="001F10B3"/>
    <w:rsid w:val="0020086E"/>
    <w:rsid w:val="002A2AFB"/>
    <w:rsid w:val="00480104"/>
    <w:rsid w:val="00484D85"/>
    <w:rsid w:val="004D58B3"/>
    <w:rsid w:val="005435E9"/>
    <w:rsid w:val="00621D35"/>
    <w:rsid w:val="0066625A"/>
    <w:rsid w:val="00766088"/>
    <w:rsid w:val="007670C8"/>
    <w:rsid w:val="0081406B"/>
    <w:rsid w:val="00887CBE"/>
    <w:rsid w:val="008B5AA9"/>
    <w:rsid w:val="008E5439"/>
    <w:rsid w:val="009B2AC7"/>
    <w:rsid w:val="00A338B9"/>
    <w:rsid w:val="00B43B67"/>
    <w:rsid w:val="00BF3627"/>
    <w:rsid w:val="00C918CF"/>
    <w:rsid w:val="00E44EA8"/>
    <w:rsid w:val="00E47E55"/>
    <w:rsid w:val="00E63B02"/>
    <w:rsid w:val="00F8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2A123"/>
  <w15:chartTrackingRefBased/>
  <w15:docId w15:val="{239D64AD-5DDD-44F9-B968-89323715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7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7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71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7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71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7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7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7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7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71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71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71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71E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71E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71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71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71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71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71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7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7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7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7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71E4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L1,Akapit z listą5,Akapit normalny,Kolorowa lista — akcent 11,List Paragraph2,CW_Lista,lp1,Preambuła,Dot pt,F5 List Paragraph,Recommendation,List Paragraph11,Podsis rysunku,lp11"/>
    <w:basedOn w:val="Normalny"/>
    <w:link w:val="AkapitzlistZnak"/>
    <w:uiPriority w:val="34"/>
    <w:qFormat/>
    <w:rsid w:val="000171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71E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71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71E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71E4"/>
    <w:rPr>
      <w:b/>
      <w:bCs/>
      <w:smallCaps/>
      <w:color w:val="2F5496" w:themeColor="accent1" w:themeShade="BF"/>
      <w:spacing w:val="5"/>
    </w:rPr>
  </w:style>
  <w:style w:type="table" w:styleId="Tabelasiatki1jasna">
    <w:name w:val="Grid Table 1 Light"/>
    <w:basedOn w:val="Standardowy"/>
    <w:uiPriority w:val="46"/>
    <w:rsid w:val="00F87503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Numerowanie Znak,List Paragraph Znak,Akapit z listą BS Znak,L1 Znak,Akapit z listą5 Znak,Akapit normalny Znak,Kolorowa lista — akcent 11 Znak,List Paragraph2 Znak,CW_Lista Znak,lp1 Znak,Preambuła Znak,Dot pt Znak,Recommendation Znak"/>
    <w:link w:val="Akapitzlist"/>
    <w:uiPriority w:val="34"/>
    <w:qFormat/>
    <w:locked/>
    <w:rsid w:val="00F87503"/>
  </w:style>
  <w:style w:type="paragraph" w:styleId="Nagwek">
    <w:name w:val="header"/>
    <w:basedOn w:val="Normalny"/>
    <w:link w:val="NagwekZnak"/>
    <w:uiPriority w:val="99"/>
    <w:unhideWhenUsed/>
    <w:rsid w:val="00200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086E"/>
  </w:style>
  <w:style w:type="paragraph" w:styleId="Stopka">
    <w:name w:val="footer"/>
    <w:basedOn w:val="Normalny"/>
    <w:link w:val="StopkaZnak"/>
    <w:uiPriority w:val="99"/>
    <w:unhideWhenUsed/>
    <w:rsid w:val="00200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2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96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2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GNYLA</dc:creator>
  <cp:keywords/>
  <dc:description/>
  <cp:lastModifiedBy>catalina</cp:lastModifiedBy>
  <cp:revision>4</cp:revision>
  <dcterms:created xsi:type="dcterms:W3CDTF">2025-06-23T19:49:00Z</dcterms:created>
  <dcterms:modified xsi:type="dcterms:W3CDTF">2025-06-23T19:53:00Z</dcterms:modified>
</cp:coreProperties>
</file>