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BA345" w14:textId="77777777" w:rsidR="003B1C08" w:rsidRDefault="003B1C08" w:rsidP="003B1C08">
      <w:pPr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1 do SWZ</w:t>
      </w:r>
      <w:r>
        <w:rPr>
          <w:rFonts w:ascii="Cambria" w:hAnsi="Cambria"/>
          <w:b/>
          <w:bCs/>
          <w:sz w:val="24"/>
          <w:szCs w:val="24"/>
        </w:rPr>
        <w:br/>
        <w:t xml:space="preserve">OPIS PRZEDMIOTU ZAMÓWIENIA </w:t>
      </w:r>
      <w:r>
        <w:rPr>
          <w:rFonts w:ascii="Cambria" w:hAnsi="Cambria"/>
          <w:b/>
          <w:bCs/>
          <w:sz w:val="24"/>
          <w:szCs w:val="24"/>
        </w:rPr>
        <w:br/>
        <w:t>_________________________________________________________________________________________________</w:t>
      </w:r>
    </w:p>
    <w:p w14:paraId="1FA352EE" w14:textId="77777777" w:rsidR="003B1C08" w:rsidRDefault="003B1C08" w:rsidP="003B1C08">
      <w:pPr>
        <w:autoSpaceDN w:val="0"/>
        <w:jc w:val="center"/>
        <w:rPr>
          <w:rFonts w:ascii="Cambria" w:hAnsi="Cambria"/>
          <w:bCs/>
          <w:color w:val="000000"/>
          <w:sz w:val="24"/>
          <w:szCs w:val="24"/>
        </w:rPr>
      </w:pPr>
      <w:r>
        <w:rPr>
          <w:rFonts w:ascii="Cambria" w:hAnsi="Cambria"/>
          <w:bCs/>
          <w:color w:val="000000"/>
          <w:sz w:val="24"/>
          <w:szCs w:val="24"/>
        </w:rPr>
        <w:t xml:space="preserve"> (Numer referencyjny: </w:t>
      </w:r>
      <w:r>
        <w:rPr>
          <w:rFonts w:ascii="Cambria" w:hAnsi="Cambria"/>
          <w:b/>
          <w:bCs/>
          <w:color w:val="000000"/>
          <w:sz w:val="24"/>
          <w:szCs w:val="24"/>
        </w:rPr>
        <w:t>3041-7.261.10.2025</w:t>
      </w:r>
      <w:r>
        <w:rPr>
          <w:rFonts w:ascii="Cambria" w:hAnsi="Cambria"/>
          <w:bCs/>
          <w:color w:val="000000"/>
          <w:sz w:val="24"/>
          <w:szCs w:val="24"/>
        </w:rPr>
        <w:t>)</w:t>
      </w:r>
    </w:p>
    <w:p w14:paraId="037A0276" w14:textId="4DD52A5E" w:rsidR="00252453" w:rsidRPr="003B1C08" w:rsidRDefault="003B1C08" w:rsidP="003B1C08">
      <w:pPr>
        <w:spacing w:after="386"/>
        <w:ind w:right="-138"/>
        <w:jc w:val="both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>Przedmiotem zamówienia jest w</w:t>
      </w:r>
      <w:r>
        <w:rPr>
          <w:rFonts w:ascii="Cambria" w:eastAsia="Times New Roman" w:hAnsi="Cambria" w:cstheme="minorHAnsi"/>
          <w:b/>
          <w:lang w:eastAsia="pl-PL"/>
        </w:rPr>
        <w:t xml:space="preserve">ymiana i uruchomienie </w:t>
      </w:r>
      <w:proofErr w:type="spellStart"/>
      <w:r>
        <w:rPr>
          <w:rFonts w:ascii="Cambria" w:eastAsia="Times New Roman" w:hAnsi="Cambria" w:cstheme="minorHAnsi"/>
          <w:b/>
          <w:lang w:eastAsia="pl-PL"/>
        </w:rPr>
        <w:t>klimakonwektorów</w:t>
      </w:r>
      <w:proofErr w:type="spellEnd"/>
      <w:r>
        <w:rPr>
          <w:rFonts w:ascii="Cambria" w:eastAsia="Times New Roman" w:hAnsi="Cambria" w:cstheme="minorHAnsi"/>
          <w:b/>
          <w:lang w:eastAsia="pl-PL"/>
        </w:rPr>
        <w:t xml:space="preserve"> wraz z wymianą  instalacji ciepła technologicznego (CT) i wody lodowej (WL) w budynku Prokuratury Rejonowej Warszawa – Żoliborz w Warszawie, przy ul. Krasińskiego 65, w systemie </w:t>
      </w:r>
      <w:r>
        <w:rPr>
          <w:rFonts w:ascii="Cambria" w:eastAsia="Times New Roman" w:hAnsi="Cambria" w:cstheme="minorHAnsi"/>
          <w:b/>
          <w:lang w:eastAsia="pl-PL"/>
        </w:rPr>
        <w:br/>
        <w:t xml:space="preserve">„zaprojektuj i wybuduj” wraz z zapewnieniem serwisu w okresie trwania gwarancji”. </w:t>
      </w:r>
    </w:p>
    <w:p w14:paraId="3856B46C" w14:textId="241B9856" w:rsidR="009E474C" w:rsidRPr="00470873" w:rsidRDefault="00470873" w:rsidP="00284131">
      <w:pPr>
        <w:pStyle w:val="Default"/>
        <w:spacing w:line="36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470873">
        <w:rPr>
          <w:rFonts w:ascii="Arial" w:hAnsi="Arial" w:cs="Arial"/>
          <w:b/>
          <w:color w:val="000000" w:themeColor="text1"/>
          <w:sz w:val="26"/>
          <w:szCs w:val="26"/>
        </w:rPr>
        <w:t xml:space="preserve">Program </w:t>
      </w:r>
      <w:proofErr w:type="spellStart"/>
      <w:r w:rsidRPr="00470873">
        <w:rPr>
          <w:rFonts w:ascii="Arial" w:hAnsi="Arial" w:cs="Arial"/>
          <w:b/>
          <w:color w:val="000000" w:themeColor="text1"/>
          <w:sz w:val="26"/>
          <w:szCs w:val="26"/>
        </w:rPr>
        <w:t>Funkcjonaln</w:t>
      </w:r>
      <w:r w:rsidR="00E773AD">
        <w:rPr>
          <w:rFonts w:ascii="Arial" w:hAnsi="Arial" w:cs="Arial"/>
          <w:b/>
          <w:color w:val="000000" w:themeColor="text1"/>
          <w:sz w:val="26"/>
          <w:szCs w:val="26"/>
        </w:rPr>
        <w:t>o</w:t>
      </w:r>
      <w:proofErr w:type="spellEnd"/>
      <w:r w:rsidRPr="00470873">
        <w:rPr>
          <w:rFonts w:ascii="Arial" w:hAnsi="Arial" w:cs="Arial"/>
          <w:b/>
          <w:color w:val="000000" w:themeColor="text1"/>
          <w:sz w:val="26"/>
          <w:szCs w:val="26"/>
        </w:rPr>
        <w:t xml:space="preserve"> Użytkowy.</w:t>
      </w:r>
    </w:p>
    <w:p w14:paraId="1E795001" w14:textId="77777777" w:rsidR="001F0235" w:rsidRPr="005736D7" w:rsidRDefault="001F0235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6CA5757" w14:textId="782B976F" w:rsidR="00AA6739" w:rsidRPr="005736D7" w:rsidRDefault="003B58D1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ab/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Przedmiotem zamówienia jest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demontaż</w:t>
      </w:r>
      <w:r w:rsidR="00FD4EF2">
        <w:rPr>
          <w:rFonts w:ascii="Arial" w:hAnsi="Arial" w:cs="Arial"/>
          <w:color w:val="000000" w:themeColor="text1"/>
          <w:sz w:val="26"/>
          <w:szCs w:val="26"/>
        </w:rPr>
        <w:t>,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utylizacja 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 xml:space="preserve">instalacji i urządzeń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oraz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dostawa i montaż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nowych</w:t>
      </w:r>
      <w:r w:rsidR="0028413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proofErr w:type="spellStart"/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wra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>z z instalacja i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robotami towarzyszącymi w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budynku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Prokuratur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y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Rejonow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ej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Warszawa-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Żoliborz w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Warszawie, ul. Krasińskiego 65,</w:t>
      </w:r>
      <w:r w:rsidR="00FD4EF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systemie zaprojektuj i wybuduj</w:t>
      </w:r>
      <w:r w:rsidR="009E474C" w:rsidRPr="005736D7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="00616C03" w:rsidRPr="005736D7">
        <w:rPr>
          <w:rFonts w:ascii="Arial" w:hAnsi="Arial" w:cs="Arial"/>
          <w:color w:val="000000" w:themeColor="text1"/>
          <w:sz w:val="26"/>
          <w:szCs w:val="26"/>
        </w:rPr>
        <w:t>wraz z zapewnieniem serwisu w czasie trwania gwarancji.</w:t>
      </w:r>
    </w:p>
    <w:p w14:paraId="46F1C032" w14:textId="634E33C8" w:rsidR="00E72053" w:rsidRPr="005736D7" w:rsidRDefault="00D36AFE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 </w:t>
      </w:r>
    </w:p>
    <w:p w14:paraId="03CDC847" w14:textId="19D188B7" w:rsidR="009E474C" w:rsidRDefault="009E474C" w:rsidP="0028413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Opis stanu istniejącego: </w:t>
      </w:r>
    </w:p>
    <w:p w14:paraId="16768231" w14:textId="77777777" w:rsidR="00470873" w:rsidRPr="005736D7" w:rsidRDefault="00470873" w:rsidP="0028413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75079CFE" w14:textId="77777777" w:rsidR="00C31420" w:rsidRPr="005736D7" w:rsidRDefault="00C31420" w:rsidP="00284131">
      <w:pPr>
        <w:spacing w:before="100" w:after="0" w:line="360" w:lineRule="auto"/>
        <w:jc w:val="both"/>
        <w:rPr>
          <w:rFonts w:ascii="Arial" w:eastAsiaTheme="minorEastAsia" w:hAnsi="Arial" w:cs="Arial"/>
          <w:b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b/>
          <w:color w:val="000000" w:themeColor="text1"/>
          <w:sz w:val="26"/>
          <w:szCs w:val="26"/>
          <w:lang w:eastAsia="pl-PL"/>
        </w:rPr>
        <w:t>Podstawowe informacje o obiekcie:</w:t>
      </w:r>
    </w:p>
    <w:p w14:paraId="401EA553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>Nazwa obiektu: Budynek Prokuratury Rejonowej Warszawa - Żoliborz w Warszawie.</w:t>
      </w:r>
    </w:p>
    <w:p w14:paraId="72B92E1A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 xml:space="preserve">Adres obiektu: ul. Krasińskiego 65, Warszawa, </w:t>
      </w:r>
    </w:p>
    <w:p w14:paraId="452A8A30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>Powierzchnia zabudowy: 893,99 m².</w:t>
      </w:r>
    </w:p>
    <w:p w14:paraId="0C043F43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>Powierzchnia użytkowa: 3692,3 m².</w:t>
      </w:r>
    </w:p>
    <w:p w14:paraId="19FBAF6E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>Kubatura: 13241,96 m³.</w:t>
      </w:r>
    </w:p>
    <w:p w14:paraId="6785CA61" w14:textId="77777777" w:rsidR="00C31420" w:rsidRPr="005736D7" w:rsidRDefault="00C31420" w:rsidP="00284131">
      <w:pPr>
        <w:numPr>
          <w:ilvl w:val="0"/>
          <w:numId w:val="13"/>
        </w:numPr>
        <w:spacing w:before="100"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eastAsiaTheme="minorEastAsia" w:hAnsi="Arial" w:cs="Arial"/>
          <w:color w:val="000000" w:themeColor="text1"/>
          <w:sz w:val="26"/>
          <w:szCs w:val="26"/>
          <w:lang w:eastAsia="pl-PL"/>
        </w:rPr>
        <w:t>Liczba kondygnacji naziemnych: 5, w tym 2 poziomy garażu</w:t>
      </w:r>
    </w:p>
    <w:p w14:paraId="09A830E7" w14:textId="36CD6A2C" w:rsidR="00284131" w:rsidRDefault="00284131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016EFC4B" w14:textId="77777777" w:rsidR="00470873" w:rsidRPr="005736D7" w:rsidRDefault="00470873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4958CBCA" w14:textId="44EF92EE" w:rsidR="00284131" w:rsidRPr="005736D7" w:rsidRDefault="0012001A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Zamawiający </w:t>
      </w:r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t>posiada instalację chłodzenia oraz grz</w:t>
      </w:r>
      <w:r w:rsidR="00EB51C3" w:rsidRPr="005736D7">
        <w:rPr>
          <w:rFonts w:ascii="Arial" w:hAnsi="Arial" w:cs="Arial"/>
          <w:color w:val="000000" w:themeColor="text1"/>
          <w:sz w:val="26"/>
          <w:szCs w:val="26"/>
        </w:rPr>
        <w:t xml:space="preserve">ewczą </w:t>
      </w:r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t xml:space="preserve"> obiektu za pomocą </w:t>
      </w:r>
      <w:proofErr w:type="spellStart"/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t xml:space="preserve"> dwururowych. Instalacja  działa w oparciu o medium glikol etylenowy. Przełączanie między chłodzeniem a grzaniem odbywa się na jesieni natomiast między grzaniem a chłodzeniem wiosną. Proces ten odbywa się ręcznie </w:t>
      </w:r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za pomocą zaworów zlokalizowanych w pomieszczeniu </w:t>
      </w:r>
      <w:r w:rsidR="004B298B" w:rsidRPr="005736D7">
        <w:rPr>
          <w:rFonts w:ascii="Arial" w:hAnsi="Arial" w:cs="Arial"/>
          <w:color w:val="000000" w:themeColor="text1"/>
          <w:sz w:val="26"/>
          <w:szCs w:val="26"/>
        </w:rPr>
        <w:t>w</w:t>
      </w:r>
      <w:r w:rsidR="005D6C12" w:rsidRPr="005736D7">
        <w:rPr>
          <w:rFonts w:ascii="Arial" w:hAnsi="Arial" w:cs="Arial"/>
          <w:color w:val="000000" w:themeColor="text1"/>
          <w:sz w:val="26"/>
          <w:szCs w:val="26"/>
        </w:rPr>
        <w:t xml:space="preserve">ęzła cieplnego, które są zamykane bądź otwierane w zależności od trybu pracy instalacji. </w:t>
      </w:r>
    </w:p>
    <w:p w14:paraId="123AD95E" w14:textId="77777777" w:rsidR="00C31420" w:rsidRPr="005736D7" w:rsidRDefault="00C31420" w:rsidP="0028413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>Kody CPV:</w:t>
      </w:r>
    </w:p>
    <w:p w14:paraId="76B19C73" w14:textId="77777777" w:rsidR="00C31420" w:rsidRPr="005736D7" w:rsidRDefault="00C31420" w:rsidP="0028413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42513200-7 </w:t>
      </w:r>
      <w:r w:rsidRPr="005736D7">
        <w:rPr>
          <w:rFonts w:ascii="Arial" w:hAnsi="Arial" w:cs="Arial"/>
          <w:bCs/>
          <w:color w:val="000000" w:themeColor="text1"/>
          <w:sz w:val="26"/>
          <w:szCs w:val="26"/>
        </w:rPr>
        <w:t>Urządzenia chłodnicze</w:t>
      </w:r>
    </w:p>
    <w:p w14:paraId="16CBD58D" w14:textId="77777777" w:rsidR="00C31420" w:rsidRPr="005736D7" w:rsidRDefault="00C31420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50730000-1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Usługi w zakresie napraw i konserwacji układów chłodzących</w:t>
      </w:r>
    </w:p>
    <w:p w14:paraId="7144B2DF" w14:textId="35E47E44" w:rsidR="00470873" w:rsidRPr="003B1C08" w:rsidRDefault="00C31420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color w:val="000000" w:themeColor="text1"/>
          <w:sz w:val="26"/>
          <w:szCs w:val="26"/>
        </w:rPr>
        <w:t xml:space="preserve">45331230-7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Instalowanie urządzeń chłodzących</w:t>
      </w:r>
      <w:bookmarkStart w:id="0" w:name="_GoBack"/>
      <w:bookmarkEnd w:id="0"/>
    </w:p>
    <w:p w14:paraId="6618F92A" w14:textId="7964E3A1" w:rsidR="00470873" w:rsidRPr="00E773AD" w:rsidRDefault="00E773AD" w:rsidP="003B1C08">
      <w:pPr>
        <w:pStyle w:val="Default"/>
        <w:spacing w:line="360" w:lineRule="auto"/>
        <w:jc w:val="both"/>
        <w:rPr>
          <w:rFonts w:ascii="Arial" w:hAnsi="Arial" w:cs="Arial"/>
          <w:bCs/>
          <w:color w:val="000000" w:themeColor="text1"/>
          <w:sz w:val="26"/>
          <w:szCs w:val="26"/>
        </w:rPr>
      </w:pPr>
      <w:r>
        <w:rPr>
          <w:rFonts w:ascii="Arial" w:hAnsi="Arial" w:cs="Arial"/>
          <w:bCs/>
          <w:color w:val="000000" w:themeColor="text1"/>
          <w:sz w:val="26"/>
          <w:szCs w:val="26"/>
        </w:rPr>
        <w:t>Celem powyższych prac jest osiągnięcie poprawy pod względem efektywności grzania i chłodzenia urządzeń w obiekcie. Nowe urządzenia zniwelują ryzyko występowania awarii w porównaniu do starych urządzeń do minimum. Prace te pomogą zapobiec dotychczasowym problemom związanym z częstym brakiem grzania lub chłodzenia w poszczególnych pomieszczeniach a także przyczynią się dzięki temu do poprawy komfortu pracy pracowników.</w:t>
      </w:r>
    </w:p>
    <w:p w14:paraId="26B3C6B1" w14:textId="77777777" w:rsidR="009E474C" w:rsidRPr="005736D7" w:rsidRDefault="009E474C" w:rsidP="00284131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6B49F30B" w14:textId="0EFDDB38" w:rsidR="00470873" w:rsidRDefault="00470873" w:rsidP="00470873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bCs/>
          <w:color w:val="000000" w:themeColor="text1"/>
          <w:sz w:val="26"/>
          <w:szCs w:val="26"/>
        </w:rPr>
        <w:t xml:space="preserve">Opis przedmiotu zamówienia </w:t>
      </w:r>
    </w:p>
    <w:p w14:paraId="3BCFAE50" w14:textId="77777777" w:rsidR="00470873" w:rsidRPr="005736D7" w:rsidRDefault="00470873" w:rsidP="00470873">
      <w:pPr>
        <w:pStyle w:val="Default"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4FB99EF1" w14:textId="2F93FFC4" w:rsidR="004E5A29" w:rsidRPr="005736D7" w:rsidRDefault="004E5A29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- Wymiana instalacji</w:t>
      </w:r>
      <w:r w:rsidR="00427A27" w:rsidRPr="005736D7">
        <w:rPr>
          <w:rFonts w:ascii="Arial" w:hAnsi="Arial" w:cs="Arial"/>
          <w:color w:val="000000" w:themeColor="text1"/>
          <w:sz w:val="26"/>
          <w:szCs w:val="26"/>
        </w:rPr>
        <w:t xml:space="preserve"> rurowej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CT na potrzeby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, piony i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rozprowadzenia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do poszczególnych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na piętrach. Na poziomie parteru i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garażu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zakończeni</w:t>
      </w:r>
      <w:r w:rsidR="00427A27" w:rsidRPr="005736D7">
        <w:rPr>
          <w:rFonts w:ascii="Arial" w:hAnsi="Arial" w:cs="Arial"/>
          <w:color w:val="000000" w:themeColor="text1"/>
          <w:sz w:val="26"/>
          <w:szCs w:val="26"/>
        </w:rPr>
        <w:t>a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zaworami. </w:t>
      </w:r>
    </w:p>
    <w:p w14:paraId="561CEC5B" w14:textId="5894BC06" w:rsidR="004E5A29" w:rsidRPr="005736D7" w:rsidRDefault="004E5A29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Wymiana instalacji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rurowej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WL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od agregatu chłodniczego do poszczególnych </w:t>
      </w:r>
      <w:proofErr w:type="spellStart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. Piony i rozprowadzenie rurowe do poszczególnych </w:t>
      </w:r>
      <w:proofErr w:type="spellStart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 na piętrach. </w:t>
      </w:r>
    </w:p>
    <w:p w14:paraId="1926FF27" w14:textId="1FFFF23F" w:rsidR="00427A27" w:rsidRPr="005736D7" w:rsidRDefault="00427A27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- Dostawa i montaż niezbędnej armatury</w:t>
      </w:r>
      <w:r w:rsidR="005C5CD4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oraz izolacji,</w:t>
      </w:r>
    </w:p>
    <w:p w14:paraId="74D26F80" w14:textId="77777777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Przebudowa szachtów technicznych umożliwiających dostęp serwisowy </w:t>
      </w:r>
    </w:p>
    <w:p w14:paraId="480C6A53" w14:textId="683940A2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Wymiana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EB51C3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na czterorurowe z funkcją grzania i chłodzenia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obrębie 1 piętra wraz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z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armaturą i sterowaniem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wykonaniem instalacji elektrycznej dla zasilania urządzeń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oraz robotami towarzyszącymi -  21 szt.</w:t>
      </w:r>
    </w:p>
    <w:p w14:paraId="1F57D07D" w14:textId="5BCD3B8D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Wymiana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na czterorurowe z funkcją grzania i chłodzenia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obrębie 2 piętra wraz </w:t>
      </w:r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z armaturą i sterowaniem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 wykonaniem instalacji elektrycznej dla zasilania urządzeń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oraz robotami towarzyszącymi- 25 szt.</w:t>
      </w:r>
    </w:p>
    <w:p w14:paraId="06E61931" w14:textId="22C2B24D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Wymiana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na  czterorurowe z funkcją grzania i chłodzenia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obrębie 3 piętra wraz z wraz z </w:t>
      </w:r>
      <w:proofErr w:type="spellStart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>z</w:t>
      </w:r>
      <w:proofErr w:type="spellEnd"/>
      <w:r w:rsidR="00075F5E" w:rsidRPr="005736D7">
        <w:rPr>
          <w:rFonts w:ascii="Arial" w:hAnsi="Arial" w:cs="Arial"/>
          <w:color w:val="000000" w:themeColor="text1"/>
          <w:sz w:val="26"/>
          <w:szCs w:val="26"/>
        </w:rPr>
        <w:t xml:space="preserve"> armaturą i sterowaniem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 wykonaniem instalacji elektrycznej dla zasilania urządzeń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oraz robotami towarzyszącymi - 23 szt.</w:t>
      </w:r>
    </w:p>
    <w:p w14:paraId="1B15D83F" w14:textId="3B5D8745" w:rsidR="00123A9C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-</w:t>
      </w:r>
      <w:r w:rsidR="00FD4EF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Należy zamontować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proofErr w:type="spellStart"/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k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limakonwektory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dla potrzeb chłodzenia zasilane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wodą lodową temp zasilania 7*C powrót 12 * C ,  dla potrzeb grzania  z instalacji miejskiej CO, zasilanie +65 *C powrót + 50 * C  ) , wydajność </w:t>
      </w:r>
      <w:proofErr w:type="spellStart"/>
      <w:r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należy projektować przy średniej prędkości wentylatorów . </w:t>
      </w:r>
    </w:p>
    <w:p w14:paraId="5D4844A8" w14:textId="74FC9366" w:rsidR="00D770A5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Należy zastosować </w:t>
      </w:r>
      <w:proofErr w:type="spellStart"/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k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limakonwektory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o wydajności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nie niższej niż istniejące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ze sterownikami naściennymi . </w:t>
      </w:r>
    </w:p>
    <w:p w14:paraId="18900524" w14:textId="1F85D2E1" w:rsidR="00C31420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W zakresie zadania należy uwzględnić  wymianę wymienników 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 xml:space="preserve">CT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w węźle ciepłowniczym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(obecnie wymienniki typ JAD) na nowe o odpowiedniej wydajności, dopuszcza się wykorzystanie istniejących pomp przesyłowych jeśli ich parametry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i stan techniczny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 będą właściwe.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Należy zmodernizować system sterowania załączania pomp, zmianę należy uwzględnić w schemacie automatyki węzła.  </w:t>
      </w:r>
    </w:p>
    <w:p w14:paraId="5AE182BB" w14:textId="400E8C7D" w:rsidR="005758BB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-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Instalacje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chłodu w obrębie agregatu WL wyposażyć w wymiennik glikol/woda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>wraz z wymagana armaturą i sterowaniem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o odpowiedniej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wydajności dla zasilania </w:t>
      </w:r>
      <w:proofErr w:type="spellStart"/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. Po stronie glikolowej temperatur we/wyj = +10/+5 * C dla wodnego roztwory glikolu etylenowego 35 %  , strona wodna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+12/+7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*C. W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ymiennik zabezpieczyć przed działaniem warunków atmosferycznych i spadkiem temperatur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zewnętrznych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 .</w:t>
      </w:r>
    </w:p>
    <w:p w14:paraId="4F44C311" w14:textId="4E7DD78C" w:rsidR="00EB51C3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-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>Całość instalacji w budynku napeł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nić 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 wodą, instalacj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>ę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 chłodu w obrębie agregatu WL  do wymiennika glikol/woda  napełni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>ć</w:t>
      </w:r>
      <w:r w:rsidR="005758BB" w:rsidRPr="005736D7">
        <w:rPr>
          <w:rFonts w:ascii="Arial" w:hAnsi="Arial" w:cs="Arial"/>
          <w:color w:val="000000" w:themeColor="text1"/>
          <w:sz w:val="26"/>
          <w:szCs w:val="26"/>
        </w:rPr>
        <w:t xml:space="preserve"> glikolem o stężeniu  35 %.</w:t>
      </w:r>
    </w:p>
    <w:p w14:paraId="50C2F7BB" w14:textId="42D78147" w:rsidR="00D770A5" w:rsidRPr="005736D7" w:rsidRDefault="00123A9C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W ramach zadania uwzględnić również wykonanie instalacji </w:t>
      </w:r>
      <w:proofErr w:type="spellStart"/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elektryczny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ej</w:t>
      </w:r>
      <w:proofErr w:type="spellEnd"/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zasilającej  </w:t>
      </w:r>
      <w:proofErr w:type="spellStart"/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klimakonwektory</w:t>
      </w:r>
      <w:proofErr w:type="spellEnd"/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60798203" w14:textId="2C1CECD3" w:rsidR="00D770A5" w:rsidRPr="005736D7" w:rsidRDefault="00D770A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- Wykonanie instalacji odprowadzenia skroplin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 xml:space="preserve"> z </w:t>
      </w:r>
      <w:proofErr w:type="spellStart"/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>klimakonwektorów</w:t>
      </w:r>
      <w:proofErr w:type="spellEnd"/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w sposób grawitacyjny 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 xml:space="preserve">z zastosowaniem syfonów z zabezpieczeniem przeciw zapachowym. </w:t>
      </w:r>
    </w:p>
    <w:p w14:paraId="53DDE580" w14:textId="1CC3CCDC" w:rsidR="00123A9C" w:rsidRPr="005736D7" w:rsidRDefault="00D770A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W ramach zadania uwzględnić również wykonanie instalacji elektrycznych zasilającej  </w:t>
      </w:r>
      <w:proofErr w:type="spellStart"/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>klimakonwektory</w:t>
      </w:r>
      <w:proofErr w:type="spellEnd"/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 oraz jednostki zewnętrzne, rozbudowę i przebudowę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instalacji odgromowej na dachu  oraz wszelkich robót budowlanych wraz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           </w:t>
      </w:r>
      <w:r w:rsidR="00C31420" w:rsidRPr="005736D7">
        <w:rPr>
          <w:rFonts w:ascii="Arial" w:hAnsi="Arial" w:cs="Arial"/>
          <w:color w:val="000000" w:themeColor="text1"/>
          <w:sz w:val="26"/>
          <w:szCs w:val="26"/>
        </w:rPr>
        <w:t xml:space="preserve">z rozbiórką sufitów podwieszanych oraz ich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ponowny montaż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z uzupełnieniem uszkodzeń, przebudowa dostępu do szachtów technicznych itp. Wszelkie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u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szkodzenia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i zabrudzenia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 ścian itp. powstałe przy realizacji zadania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należy naprawić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66878534" w14:textId="6E8EE15E" w:rsidR="001F0235" w:rsidRPr="005736D7" w:rsidRDefault="00C31420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-Wykonawca opracuje projekty sanitarne oraz elektryczne sporządzone przez projektanta i sprawdzającego posiadającego stosowne uprawnienia budowlane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danej specjalności. </w:t>
      </w:r>
      <w:r w:rsidR="00123A9C" w:rsidRPr="005736D7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 xml:space="preserve">Demontaż i utylizacja starej instalacji oraz </w:t>
      </w:r>
      <w:r w:rsidR="006E493C" w:rsidRPr="005736D7">
        <w:rPr>
          <w:rFonts w:ascii="Arial" w:hAnsi="Arial" w:cs="Arial"/>
          <w:color w:val="000000" w:themeColor="text1"/>
          <w:sz w:val="26"/>
          <w:szCs w:val="26"/>
        </w:rPr>
        <w:t xml:space="preserve">wszelkich </w:t>
      </w:r>
      <w:r w:rsidR="001F0235" w:rsidRPr="005736D7">
        <w:rPr>
          <w:rFonts w:ascii="Arial" w:hAnsi="Arial" w:cs="Arial"/>
          <w:color w:val="000000" w:themeColor="text1"/>
          <w:sz w:val="26"/>
          <w:szCs w:val="26"/>
        </w:rPr>
        <w:t>urządzeń.</w:t>
      </w:r>
    </w:p>
    <w:p w14:paraId="2A348B53" w14:textId="3C390A18" w:rsidR="00D770A5" w:rsidRPr="005736D7" w:rsidRDefault="00D770A5" w:rsidP="002841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b/>
          <w:color w:val="000000" w:themeColor="text1"/>
          <w:sz w:val="26"/>
          <w:szCs w:val="26"/>
        </w:rPr>
        <w:t xml:space="preserve">Dodatkowe uwagi </w:t>
      </w:r>
    </w:p>
    <w:p w14:paraId="4350161D" w14:textId="1BA28BB0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Instalacje wodne ciepłownicze 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jak chłodnicze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powinny być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wykonane w systemie rur zaciskanych obustronnie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. Rury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ocynkowane zaizolowane zgodnie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          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z wymogami, instalacja chłodu zaizolowane zimnochronnie zgodnie z wymogami. System rur zaprasowywanych np. firmy GEBERIT lub podobn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e.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726D3C96" w14:textId="5850D5E7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Armatura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tj.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zawory kulowe,</w:t>
      </w:r>
      <w:r w:rsidR="004E5A29" w:rsidRPr="005736D7">
        <w:rPr>
          <w:rFonts w:ascii="Arial" w:hAnsi="Arial" w:cs="Arial"/>
          <w:color w:val="000000" w:themeColor="text1"/>
          <w:sz w:val="26"/>
          <w:szCs w:val="26"/>
        </w:rPr>
        <w:t xml:space="preserve"> zawory regulacyjne,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filtry, odpowietrzniki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itp.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mocowane w systemie  gwintowanym  do średnicy DN 50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,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powyżej tej średnicy  </w:t>
      </w:r>
      <w:proofErr w:type="spellStart"/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>połaczenia</w:t>
      </w:r>
      <w:proofErr w:type="spellEnd"/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kołnierzowe.</w:t>
      </w:r>
    </w:p>
    <w:p w14:paraId="63BA2F77" w14:textId="5E5AB8CC" w:rsidR="001F0235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Wymianę instalacji i wszelkie prace z tym związane należy realizować etapowo np. osobno dla każdej kondygnacji w sposób nie utrudniający 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2752D4" w:rsidRPr="005736D7">
        <w:rPr>
          <w:rFonts w:ascii="Arial" w:hAnsi="Arial" w:cs="Arial"/>
          <w:color w:val="000000" w:themeColor="text1"/>
          <w:sz w:val="26"/>
          <w:szCs w:val="26"/>
        </w:rPr>
        <w:t>normalne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go</w:t>
      </w:r>
      <w:r w:rsidR="002752D4"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użytkowani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a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obiektu .  </w:t>
      </w:r>
    </w:p>
    <w:p w14:paraId="13AB24E1" w14:textId="3BDCDFED" w:rsidR="009E474C" w:rsidRPr="005736D7" w:rsidRDefault="001F023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Projekt instalacji należy przedłożyć Zamawiającemu do akceptacji w terminie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14 dni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>,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po podpisaniu umowy</w:t>
      </w:r>
      <w:r w:rsidR="00D770A5" w:rsidRPr="005736D7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</w:p>
    <w:p w14:paraId="05014A20" w14:textId="1BB9C02F" w:rsidR="00C31420" w:rsidRPr="005736D7" w:rsidRDefault="00C31420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Po zakończeniu prac należy opracować dokumentację powykonawczą zawierającą pomiary elektryczne,</w:t>
      </w:r>
      <w:r w:rsidR="005C5CD4" w:rsidRPr="005736D7">
        <w:rPr>
          <w:rFonts w:ascii="Arial" w:hAnsi="Arial" w:cs="Arial"/>
          <w:color w:val="000000" w:themeColor="text1"/>
          <w:sz w:val="26"/>
          <w:szCs w:val="26"/>
        </w:rPr>
        <w:t xml:space="preserve"> regulację hydrauliczną,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próby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testy i protokoły z uruchomienia urządzeń. Dokumentacja winna zawierać również protokoły z przeszkolenia obsługi urządzeń, projekt powykonawczy oraz materiały wbudowane w trakcie niniejszego zadania. </w:t>
      </w:r>
    </w:p>
    <w:p w14:paraId="2B2E1597" w14:textId="0355339B" w:rsidR="00C31420" w:rsidRPr="005736D7" w:rsidRDefault="00D770A5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Agregat wody lodowej wraz z instalacją w obrębie dachu  podlega gwarancji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</w:rPr>
        <w:t xml:space="preserve">         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do 10.2027. Wszelkie prace </w:t>
      </w:r>
      <w:r w:rsidR="003B58D1" w:rsidRPr="005736D7">
        <w:rPr>
          <w:rFonts w:ascii="Arial" w:hAnsi="Arial" w:cs="Arial"/>
          <w:color w:val="000000" w:themeColor="text1"/>
          <w:sz w:val="26"/>
          <w:szCs w:val="26"/>
        </w:rPr>
        <w:t xml:space="preserve">prowadzić należy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 uzgodnieniu z gwarantem,  prace </w:t>
      </w:r>
      <w:r w:rsidR="002752D4" w:rsidRPr="005736D7">
        <w:rPr>
          <w:rFonts w:ascii="Arial" w:hAnsi="Arial" w:cs="Arial"/>
          <w:color w:val="000000" w:themeColor="text1"/>
          <w:sz w:val="26"/>
          <w:szCs w:val="26"/>
        </w:rPr>
        <w:t xml:space="preserve">jak i modernizacja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>nie mogą naruszać  gwarancji istniejącego agregatu wody lodowej i przynależnej instalacji.</w:t>
      </w:r>
    </w:p>
    <w:p w14:paraId="2CF87D4D" w14:textId="05C72BFF" w:rsidR="00284131" w:rsidRPr="005736D7" w:rsidRDefault="00CE486D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Wykonawca zobligowany jest do przedstawienia </w:t>
      </w:r>
      <w:r w:rsidR="004F0063" w:rsidRPr="005736D7">
        <w:rPr>
          <w:rFonts w:ascii="Arial" w:hAnsi="Arial" w:cs="Arial"/>
          <w:color w:val="000000" w:themeColor="text1"/>
          <w:sz w:val="26"/>
          <w:szCs w:val="26"/>
        </w:rPr>
        <w:t xml:space="preserve">dwóch 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potwierdzonych referencji na realizacje </w:t>
      </w:r>
      <w:r w:rsidR="004F0063" w:rsidRPr="005736D7">
        <w:rPr>
          <w:rFonts w:ascii="Arial" w:hAnsi="Arial" w:cs="Arial"/>
          <w:color w:val="000000" w:themeColor="text1"/>
          <w:sz w:val="26"/>
          <w:szCs w:val="26"/>
        </w:rPr>
        <w:t xml:space="preserve">podobnego zadania w terminie ostatnich trzech </w:t>
      </w:r>
      <w:r w:rsidR="003F2D68" w:rsidRPr="005736D7">
        <w:rPr>
          <w:rFonts w:ascii="Arial" w:hAnsi="Arial" w:cs="Arial"/>
          <w:color w:val="000000" w:themeColor="text1"/>
          <w:sz w:val="26"/>
          <w:szCs w:val="26"/>
        </w:rPr>
        <w:t>lat</w:t>
      </w:r>
      <w:r w:rsidR="004F0063" w:rsidRPr="005736D7">
        <w:rPr>
          <w:rFonts w:ascii="Arial" w:hAnsi="Arial" w:cs="Arial"/>
          <w:color w:val="000000" w:themeColor="text1"/>
          <w:sz w:val="26"/>
          <w:szCs w:val="26"/>
        </w:rPr>
        <w:t>,  w zakresie wykonania instalacji  klimatyzacji lub ogrz</w:t>
      </w:r>
      <w:r w:rsidR="003F2D68" w:rsidRPr="005736D7">
        <w:rPr>
          <w:rFonts w:ascii="Arial" w:hAnsi="Arial" w:cs="Arial"/>
          <w:color w:val="000000" w:themeColor="text1"/>
          <w:sz w:val="26"/>
          <w:szCs w:val="26"/>
        </w:rPr>
        <w:t>ew</w:t>
      </w:r>
      <w:r w:rsidR="004F0063" w:rsidRPr="005736D7">
        <w:rPr>
          <w:rFonts w:ascii="Arial" w:hAnsi="Arial" w:cs="Arial"/>
          <w:color w:val="000000" w:themeColor="text1"/>
          <w:sz w:val="26"/>
          <w:szCs w:val="26"/>
        </w:rPr>
        <w:t xml:space="preserve">ania na kwotę min </w:t>
      </w:r>
      <w:r w:rsidR="003F2D68" w:rsidRPr="005736D7">
        <w:rPr>
          <w:rFonts w:ascii="Arial" w:hAnsi="Arial" w:cs="Arial"/>
          <w:color w:val="000000" w:themeColor="text1"/>
          <w:sz w:val="26"/>
          <w:szCs w:val="26"/>
        </w:rPr>
        <w:t>6</w:t>
      </w:r>
      <w:r w:rsidR="004F0063" w:rsidRPr="005736D7">
        <w:rPr>
          <w:rFonts w:ascii="Arial" w:hAnsi="Arial" w:cs="Arial"/>
          <w:color w:val="000000" w:themeColor="text1"/>
          <w:sz w:val="26"/>
          <w:szCs w:val="26"/>
        </w:rPr>
        <w:t xml:space="preserve">00 000,00 zł netto </w:t>
      </w:r>
    </w:p>
    <w:p w14:paraId="4BAE29DA" w14:textId="7877F4D5" w:rsidR="00C31420" w:rsidRPr="005736D7" w:rsidRDefault="00252453" w:rsidP="002841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1420" w:rsidRPr="005736D7">
        <w:rPr>
          <w:rFonts w:ascii="Arial" w:hAnsi="Arial" w:cs="Arial"/>
          <w:b/>
          <w:color w:val="000000" w:themeColor="text1"/>
          <w:sz w:val="26"/>
          <w:szCs w:val="26"/>
        </w:rPr>
        <w:t xml:space="preserve">Informacje </w:t>
      </w:r>
    </w:p>
    <w:p w14:paraId="73885CEB" w14:textId="47E8D08B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Czas realizacji: dostawa urządzenia wraz z montażem i uruchomieniem </w:t>
      </w:r>
      <w:r w:rsidR="00427A27" w:rsidRPr="005736D7">
        <w:rPr>
          <w:rFonts w:ascii="Arial" w:hAnsi="Arial" w:cs="Arial"/>
          <w:color w:val="000000" w:themeColor="text1"/>
          <w:sz w:val="26"/>
          <w:szCs w:val="26"/>
        </w:rPr>
        <w:t>18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tygodni od dnia udostępnienia terenu prac.</w:t>
      </w:r>
    </w:p>
    <w:p w14:paraId="5161A393" w14:textId="77777777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>Zamawiający udostępni teren do pracy w terminie 3 dni od dnia podpisania umowy.</w:t>
      </w:r>
    </w:p>
    <w:p w14:paraId="3AF1622A" w14:textId="1D2E6C57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>Urządzenie powinno posiadać gwarancję na okres nie krótszy niż 36 miesięcy.</w:t>
      </w:r>
    </w:p>
    <w:p w14:paraId="594FAF5C" w14:textId="77777777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>Istnieje możliwość wizji lokalnej w wygodnym dla Państwa terminie.</w:t>
      </w:r>
    </w:p>
    <w:p w14:paraId="7801B5C4" w14:textId="77777777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>Płatność za montaż i uruchomienie urządzenia w terminie 14 dni od dnia podpisania przez Zamawiającego końcowego protokołu odbioru prac oraz otrzymania dokumentacji</w:t>
      </w: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powykonawczej w zakresie wykonanych prac.</w:t>
      </w:r>
    </w:p>
    <w:p w14:paraId="74A71889" w14:textId="7DC57F2D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 xml:space="preserve">Płatności za przeglądy gwarancyjne </w:t>
      </w:r>
      <w:r w:rsidR="00085D8B"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>30</w:t>
      </w: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 xml:space="preserve"> dni od dnia otrzymania protokołu wykonania przeglądu i dostarczenia faktury.</w:t>
      </w:r>
    </w:p>
    <w:p w14:paraId="4965352F" w14:textId="3940FC14" w:rsidR="00C31420" w:rsidRPr="005736D7" w:rsidRDefault="00C31420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 xml:space="preserve">Koszt materiałów i części niezbędnych do prawidłowego działania urządzenia </w:t>
      </w: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br/>
        <w:t>w czasie gwarancji leży po stronie Wykonawcy.</w:t>
      </w:r>
    </w:p>
    <w:p w14:paraId="0D1350A7" w14:textId="7CE5D850" w:rsidR="00284131" w:rsidRPr="005736D7" w:rsidRDefault="00284131" w:rsidP="00284131">
      <w:pPr>
        <w:pStyle w:val="Akapitzlist"/>
        <w:numPr>
          <w:ilvl w:val="0"/>
          <w:numId w:val="14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6"/>
          <w:szCs w:val="26"/>
          <w:lang w:eastAsia="pl-PL"/>
        </w:rPr>
      </w:pPr>
      <w:r w:rsidRPr="005736D7">
        <w:rPr>
          <w:rFonts w:ascii="Arial" w:hAnsi="Arial" w:cs="Arial"/>
          <w:color w:val="000000" w:themeColor="text1"/>
          <w:sz w:val="26"/>
          <w:szCs w:val="26"/>
          <w:lang w:eastAsia="pl-PL"/>
        </w:rPr>
        <w:t>Należy określić koszt urządzenia wraz z montażem i uruchomieniem oraz koszt przeglądów w cały okresie gwarancji.</w:t>
      </w:r>
    </w:p>
    <w:p w14:paraId="2C6C3F5E" w14:textId="77777777" w:rsidR="00C31420" w:rsidRPr="005736D7" w:rsidRDefault="00C31420" w:rsidP="00284131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6"/>
          <w:szCs w:val="26"/>
        </w:rPr>
      </w:pPr>
    </w:p>
    <w:p w14:paraId="4FC7C43A" w14:textId="77777777" w:rsidR="00C31420" w:rsidRPr="005736D7" w:rsidRDefault="00C31420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51D89991" w14:textId="77777777" w:rsidR="00AA6739" w:rsidRPr="005736D7" w:rsidRDefault="00AA6739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1B3C7FC8" w14:textId="1D9AA009" w:rsidR="00E72053" w:rsidRPr="005736D7" w:rsidRDefault="00E72053" w:rsidP="00284131">
      <w:pPr>
        <w:pStyle w:val="Default"/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5736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1999CB8E" w14:textId="5A07C645" w:rsidR="007452A4" w:rsidRPr="005736D7" w:rsidRDefault="007452A4" w:rsidP="00284131">
      <w:pPr>
        <w:spacing w:line="360" w:lineRule="auto"/>
        <w:contextualSpacing/>
        <w:jc w:val="both"/>
        <w:rPr>
          <w:rFonts w:ascii="Arial" w:eastAsia="Calibri" w:hAnsi="Arial" w:cs="Arial"/>
          <w:color w:val="000000" w:themeColor="text1"/>
          <w:sz w:val="26"/>
          <w:szCs w:val="26"/>
        </w:rPr>
      </w:pPr>
    </w:p>
    <w:p w14:paraId="7E6CBC38" w14:textId="40434EB1" w:rsidR="00B74328" w:rsidRPr="005736D7" w:rsidRDefault="00B74328" w:rsidP="00284131">
      <w:pPr>
        <w:spacing w:line="360" w:lineRule="auto"/>
        <w:jc w:val="both"/>
        <w:rPr>
          <w:rFonts w:ascii="Arial" w:hAnsi="Arial" w:cs="Arial"/>
          <w:color w:val="000000" w:themeColor="text1"/>
          <w:sz w:val="26"/>
          <w:szCs w:val="26"/>
          <w:u w:val="single"/>
        </w:rPr>
      </w:pPr>
    </w:p>
    <w:sectPr w:rsidR="00B74328" w:rsidRPr="005736D7" w:rsidSect="003B1C08">
      <w:pgSz w:w="12240" w:h="15840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sis">
    <w:altName w:val="Dosis"/>
    <w:charset w:val="EE"/>
    <w:family w:val="auto"/>
    <w:pitch w:val="variable"/>
    <w:sig w:usb0="A00000BF" w:usb1="4000207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7D90"/>
    <w:multiLevelType w:val="hybridMultilevel"/>
    <w:tmpl w:val="9014E610"/>
    <w:lvl w:ilvl="0" w:tplc="0415000F">
      <w:start w:val="1"/>
      <w:numFmt w:val="decimal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B3629"/>
    <w:multiLevelType w:val="hybridMultilevel"/>
    <w:tmpl w:val="E7461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1731"/>
    <w:multiLevelType w:val="hybridMultilevel"/>
    <w:tmpl w:val="C2142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20628"/>
    <w:multiLevelType w:val="hybridMultilevel"/>
    <w:tmpl w:val="D690D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6193"/>
    <w:multiLevelType w:val="hybridMultilevel"/>
    <w:tmpl w:val="44C24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B2100"/>
    <w:multiLevelType w:val="hybridMultilevel"/>
    <w:tmpl w:val="F190E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B61ED"/>
    <w:multiLevelType w:val="hybridMultilevel"/>
    <w:tmpl w:val="3260F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0555A"/>
    <w:multiLevelType w:val="hybridMultilevel"/>
    <w:tmpl w:val="44549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B5F1D"/>
    <w:multiLevelType w:val="hybridMultilevel"/>
    <w:tmpl w:val="2B745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732AE"/>
    <w:multiLevelType w:val="hybridMultilevel"/>
    <w:tmpl w:val="074C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36C08"/>
    <w:multiLevelType w:val="hybridMultilevel"/>
    <w:tmpl w:val="48BEFB8E"/>
    <w:lvl w:ilvl="0" w:tplc="99E69EA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BE870E9"/>
    <w:multiLevelType w:val="hybridMultilevel"/>
    <w:tmpl w:val="425E8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6312B"/>
    <w:multiLevelType w:val="hybridMultilevel"/>
    <w:tmpl w:val="06DEA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B22E0"/>
    <w:multiLevelType w:val="hybridMultilevel"/>
    <w:tmpl w:val="1D7EB39E"/>
    <w:lvl w:ilvl="0" w:tplc="BD304EF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11"/>
  </w:num>
  <w:num w:numId="5">
    <w:abstractNumId w:val="4"/>
  </w:num>
  <w:num w:numId="6">
    <w:abstractNumId w:val="8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053"/>
    <w:rsid w:val="000634EA"/>
    <w:rsid w:val="000653A4"/>
    <w:rsid w:val="00075F5E"/>
    <w:rsid w:val="0008298C"/>
    <w:rsid w:val="00085D8B"/>
    <w:rsid w:val="000B6027"/>
    <w:rsid w:val="0012001A"/>
    <w:rsid w:val="00123A9C"/>
    <w:rsid w:val="00127EF9"/>
    <w:rsid w:val="0015225E"/>
    <w:rsid w:val="0015602B"/>
    <w:rsid w:val="001B1D87"/>
    <w:rsid w:val="001E2D91"/>
    <w:rsid w:val="001F0235"/>
    <w:rsid w:val="00252453"/>
    <w:rsid w:val="002752D4"/>
    <w:rsid w:val="002764EF"/>
    <w:rsid w:val="00284131"/>
    <w:rsid w:val="002B6177"/>
    <w:rsid w:val="002C70F7"/>
    <w:rsid w:val="00313A6D"/>
    <w:rsid w:val="0039193E"/>
    <w:rsid w:val="003B1C08"/>
    <w:rsid w:val="003B58D1"/>
    <w:rsid w:val="003F2D68"/>
    <w:rsid w:val="004202CF"/>
    <w:rsid w:val="00427A27"/>
    <w:rsid w:val="0046491C"/>
    <w:rsid w:val="00470873"/>
    <w:rsid w:val="004B298B"/>
    <w:rsid w:val="004E5A29"/>
    <w:rsid w:val="004F0063"/>
    <w:rsid w:val="00510CCE"/>
    <w:rsid w:val="00563397"/>
    <w:rsid w:val="00566AA4"/>
    <w:rsid w:val="005736D7"/>
    <w:rsid w:val="005758BB"/>
    <w:rsid w:val="00584DB5"/>
    <w:rsid w:val="005C5CD4"/>
    <w:rsid w:val="005D6C12"/>
    <w:rsid w:val="005F10BC"/>
    <w:rsid w:val="00616C03"/>
    <w:rsid w:val="00647785"/>
    <w:rsid w:val="00655578"/>
    <w:rsid w:val="006C19AC"/>
    <w:rsid w:val="006E493C"/>
    <w:rsid w:val="00735893"/>
    <w:rsid w:val="007452A4"/>
    <w:rsid w:val="007C6A70"/>
    <w:rsid w:val="007D2914"/>
    <w:rsid w:val="007D53D6"/>
    <w:rsid w:val="007E2403"/>
    <w:rsid w:val="008028FA"/>
    <w:rsid w:val="008116D7"/>
    <w:rsid w:val="00855F36"/>
    <w:rsid w:val="008670E8"/>
    <w:rsid w:val="00991A64"/>
    <w:rsid w:val="009A73D9"/>
    <w:rsid w:val="009E474C"/>
    <w:rsid w:val="00A005E1"/>
    <w:rsid w:val="00A73EE8"/>
    <w:rsid w:val="00A82196"/>
    <w:rsid w:val="00AA6739"/>
    <w:rsid w:val="00AE7721"/>
    <w:rsid w:val="00AF1C3B"/>
    <w:rsid w:val="00B71E58"/>
    <w:rsid w:val="00B74328"/>
    <w:rsid w:val="00B801FD"/>
    <w:rsid w:val="00BC5765"/>
    <w:rsid w:val="00BF0863"/>
    <w:rsid w:val="00BF3BAF"/>
    <w:rsid w:val="00C22245"/>
    <w:rsid w:val="00C31420"/>
    <w:rsid w:val="00C60681"/>
    <w:rsid w:val="00CE486D"/>
    <w:rsid w:val="00CF08A4"/>
    <w:rsid w:val="00CF6056"/>
    <w:rsid w:val="00D36AFE"/>
    <w:rsid w:val="00D45C85"/>
    <w:rsid w:val="00D75C53"/>
    <w:rsid w:val="00D768B0"/>
    <w:rsid w:val="00D770A5"/>
    <w:rsid w:val="00DA611E"/>
    <w:rsid w:val="00DC5345"/>
    <w:rsid w:val="00E01417"/>
    <w:rsid w:val="00E57E86"/>
    <w:rsid w:val="00E72053"/>
    <w:rsid w:val="00E76A2F"/>
    <w:rsid w:val="00E773AD"/>
    <w:rsid w:val="00EB51C3"/>
    <w:rsid w:val="00EC5646"/>
    <w:rsid w:val="00EF6D9D"/>
    <w:rsid w:val="00F2183F"/>
    <w:rsid w:val="00F52DF4"/>
    <w:rsid w:val="00F57A2A"/>
    <w:rsid w:val="00FD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19BA"/>
  <w15:chartTrackingRefBased/>
  <w15:docId w15:val="{29FFF1EC-875A-424C-BA6B-02A95017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01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2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link w:val="AkapitzlistZnak"/>
    <w:uiPriority w:val="34"/>
    <w:qFormat/>
    <w:rsid w:val="000634EA"/>
    <w:pPr>
      <w:ind w:left="720"/>
      <w:contextualSpacing/>
    </w:pPr>
  </w:style>
  <w:style w:type="character" w:customStyle="1" w:styleId="A7">
    <w:name w:val="A7"/>
    <w:uiPriority w:val="99"/>
    <w:rsid w:val="008028FA"/>
    <w:rPr>
      <w:rFonts w:cs="Dosis"/>
      <w:color w:val="000000"/>
      <w:sz w:val="16"/>
      <w:szCs w:val="16"/>
    </w:rPr>
  </w:style>
  <w:style w:type="character" w:customStyle="1" w:styleId="A8">
    <w:name w:val="A8"/>
    <w:uiPriority w:val="99"/>
    <w:rsid w:val="00A82196"/>
    <w:rPr>
      <w:rFonts w:cs="Dosis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73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116D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0141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C31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Borychowski</dc:creator>
  <cp:keywords/>
  <dc:description/>
  <cp:lastModifiedBy>Kałuża Donata (PO Warszawa)</cp:lastModifiedBy>
  <cp:revision>4</cp:revision>
  <cp:lastPrinted>2025-05-30T10:02:00Z</cp:lastPrinted>
  <dcterms:created xsi:type="dcterms:W3CDTF">2025-05-30T09:54:00Z</dcterms:created>
  <dcterms:modified xsi:type="dcterms:W3CDTF">2025-05-30T10:03:00Z</dcterms:modified>
</cp:coreProperties>
</file>