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4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osób uczestniczących w wykonywaniu zamówienia</w:t>
      </w:r>
    </w:p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Normal"/>
        <w:spacing w:before="0" w:after="142"/>
        <w:jc w:val="both"/>
        <w:rPr/>
      </w:pPr>
      <w:r>
        <w:rPr>
          <w:color w:val="000000"/>
          <w:sz w:val="21"/>
          <w:szCs w:val="21"/>
        </w:rPr>
        <w:t>Przystępując</w:t>
      </w:r>
      <w:r>
        <w:rPr>
          <w:b w:val="false"/>
          <w:bCs w:val="false"/>
          <w:color w:val="000000"/>
          <w:sz w:val="21"/>
          <w:szCs w:val="21"/>
        </w:rPr>
        <w:t xml:space="preserve"> do udziału w postępowaniu o udzielenie zamówienia publicznego </w:t>
      </w:r>
      <w:r>
        <w:rPr>
          <w:rFonts w:eastAsia="Times New Roman" w:cs="Tahoma"/>
          <w:b w:val="false"/>
          <w:bCs w:val="false"/>
          <w:color w:val="000000"/>
          <w:sz w:val="21"/>
          <w:szCs w:val="21"/>
          <w:lang w:eastAsia="pl-PL" w:bidi="ar-SA"/>
        </w:rPr>
        <w:t>pn:</w:t>
      </w:r>
      <w:r>
        <w:rPr>
          <w:rFonts w:eastAsia="Times New Roman" w:cs="Tahoma"/>
          <w:b w:val="false"/>
          <w:bCs w:val="false"/>
          <w:i/>
          <w:iCs/>
          <w:color w:val="000000"/>
          <w:sz w:val="21"/>
          <w:szCs w:val="21"/>
          <w:lang w:eastAsia="pl-PL" w:bidi="ar-SA"/>
        </w:rPr>
        <w:t xml:space="preserve"> </w:t>
      </w:r>
      <w:r>
        <w:rPr>
          <w:rFonts w:eastAsia="Times New Roman" w:cs="Calibri"/>
          <w:b/>
          <w:bCs/>
          <w:i/>
          <w:iCs/>
          <w:color w:val="000000"/>
          <w:sz w:val="21"/>
          <w:szCs w:val="21"/>
          <w:u w:val="none"/>
          <w:shd w:fill="auto" w:val="clear"/>
          <w:lang w:val="pl-PL" w:eastAsia="pl-PL" w:bidi="ar-SA"/>
        </w:rPr>
        <w:t>„</w:t>
      </w:r>
      <w:r>
        <w:rPr>
          <w:rStyle w:val="Domylnaczcionkaakapitu"/>
          <w:rFonts w:eastAsia="Times New Roman" w:cs="Calibri"/>
          <w:b/>
          <w:bCs/>
          <w:i/>
          <w:iCs/>
          <w:color w:val="000000"/>
          <w:sz w:val="21"/>
          <w:szCs w:val="21"/>
          <w:u w:val="none"/>
          <w:shd w:fill="auto" w:val="clear"/>
          <w:lang w:val="pl-PL" w:eastAsia="pl-PL" w:bidi="ar-SA"/>
        </w:rPr>
        <w:t>Rozbudowa drogi wojewódzkiej nr 768 Jędrzejów – Brzesko w odc. 110, polegająca na budowie chodnika z kanalizacją deszczową i oświetleniem w miejscowości Przyborów w kilometrażu 1+073,63 do 1+755,91</w:t>
      </w:r>
      <w:r>
        <w:rPr>
          <w:rFonts w:eastAsia="Times New Roman" w:cs="Calibri"/>
          <w:b/>
          <w:bCs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 xml:space="preserve">”. </w:t>
      </w:r>
      <w:r>
        <w:rPr>
          <w:rFonts w:eastAsia="Times New Roman" w:cs="Calibri"/>
          <w:b w:val="false"/>
          <w:bCs w:val="false"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>Przedsięwzięcie współfinansowane z budżetu Województwa Małopolskiego.</w:t>
      </w:r>
      <w:r>
        <w:rPr>
          <w:rFonts w:eastAsia="Times New Roman" w:cs="Calibri"/>
          <w:b/>
          <w:bCs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 xml:space="preserve"> </w:t>
      </w:r>
    </w:p>
    <w:p>
      <w:pPr>
        <w:pStyle w:val="Normal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osób uczestniczących w wykonywaniu zamówienia</w:t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8"/>
        <w:gridCol w:w="1814"/>
        <w:gridCol w:w="2316"/>
        <w:gridCol w:w="2556"/>
        <w:gridCol w:w="2504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Informacja na temat kwalifikacji zawodowych,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uprawnień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Informacja o podstawie do dysponowania tymi osobami (personel własny, zasób innego podmiotu)</w:t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budowy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robót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robót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142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5</TotalTime>
  <Application>LibreOffice/7.2.4.1$Windows_X86_64 LibreOffice_project/27d75539669ac387bb498e35313b970b7fe9c4f9</Application>
  <AppVersion>15.0000</AppVersion>
  <Pages>1</Pages>
  <Words>120</Words>
  <Characters>856</Characters>
  <CharactersWithSpaces>957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2025-05-22T12:11:23Z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