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ED1DC" w14:textId="77777777" w:rsidR="00D80D20" w:rsidRPr="00312550" w:rsidRDefault="003B54D4" w:rsidP="00312550">
      <w:pPr>
        <w:spacing w:line="276" w:lineRule="auto"/>
        <w:jc w:val="right"/>
        <w:rPr>
          <w:rFonts w:asciiTheme="majorHAnsi" w:hAnsiTheme="majorHAnsi"/>
        </w:rPr>
      </w:pPr>
      <w:r w:rsidRPr="00312550">
        <w:rPr>
          <w:rFonts w:asciiTheme="majorHAnsi" w:hAnsiTheme="majorHAnsi" w:cs="Tahoma"/>
        </w:rPr>
        <w:t>Zał. Nr 9  do SWZ</w:t>
      </w:r>
    </w:p>
    <w:p w14:paraId="3B39FDD4" w14:textId="77777777" w:rsidR="00312550" w:rsidRPr="00312550" w:rsidRDefault="00312550" w:rsidP="00312550">
      <w:pPr>
        <w:spacing w:line="276" w:lineRule="auto"/>
        <w:jc w:val="both"/>
        <w:rPr>
          <w:rFonts w:asciiTheme="majorHAnsi" w:hAnsiTheme="majorHAnsi"/>
          <w:b/>
        </w:rPr>
      </w:pPr>
    </w:p>
    <w:p w14:paraId="4A35B731" w14:textId="34DC3365" w:rsidR="00D80D20" w:rsidRPr="00312550" w:rsidRDefault="003B54D4" w:rsidP="00312550">
      <w:pPr>
        <w:spacing w:line="276" w:lineRule="auto"/>
        <w:jc w:val="center"/>
        <w:rPr>
          <w:rFonts w:asciiTheme="majorHAnsi" w:hAnsiTheme="majorHAnsi"/>
          <w:b/>
        </w:rPr>
      </w:pPr>
      <w:r w:rsidRPr="00312550">
        <w:rPr>
          <w:rFonts w:asciiTheme="majorHAnsi" w:hAnsiTheme="majorHAnsi"/>
          <w:b/>
        </w:rPr>
        <w:t>WYKAZ PARAMETRÓW TECHNICZNYCH</w:t>
      </w:r>
      <w:r w:rsidR="005F3FCA">
        <w:rPr>
          <w:rFonts w:asciiTheme="majorHAnsi" w:hAnsiTheme="majorHAnsi"/>
          <w:b/>
        </w:rPr>
        <w:t xml:space="preserve"> DO ZP.4.TP.2025</w:t>
      </w:r>
    </w:p>
    <w:p w14:paraId="0690F864" w14:textId="77777777" w:rsidR="00312550" w:rsidRPr="00312550" w:rsidRDefault="00312550" w:rsidP="00312550">
      <w:pPr>
        <w:spacing w:line="276" w:lineRule="auto"/>
        <w:jc w:val="both"/>
        <w:rPr>
          <w:rFonts w:asciiTheme="majorHAnsi" w:hAnsiTheme="majorHAnsi"/>
          <w:b/>
        </w:rPr>
      </w:pPr>
    </w:p>
    <w:p w14:paraId="0F47E4ED" w14:textId="7EAC700C" w:rsidR="000B5F66" w:rsidRDefault="003B54D4" w:rsidP="00312550">
      <w:pPr>
        <w:pStyle w:val="Akapitzlist"/>
        <w:spacing w:line="276" w:lineRule="auto"/>
        <w:ind w:left="0"/>
        <w:jc w:val="both"/>
        <w:rPr>
          <w:rFonts w:asciiTheme="majorHAnsi" w:hAnsiTheme="majorHAnsi" w:cs="Calibri Light"/>
        </w:rPr>
      </w:pPr>
      <w:r w:rsidRPr="00312550">
        <w:rPr>
          <w:rFonts w:asciiTheme="majorHAnsi" w:hAnsiTheme="majorHAnsi" w:cs="Calibri Light"/>
        </w:rPr>
        <w:t xml:space="preserve">Wykonawca wykona wszelkie prace związane z: </w:t>
      </w:r>
      <w:r w:rsidR="000B5F66" w:rsidRPr="000B5F66">
        <w:rPr>
          <w:rFonts w:asciiTheme="majorHAnsi" w:hAnsiTheme="majorHAnsi" w:cs="Calibri Light"/>
        </w:rPr>
        <w:t>Zaprojektowanie</w:t>
      </w:r>
      <w:r w:rsidR="000B5F66">
        <w:rPr>
          <w:rFonts w:asciiTheme="majorHAnsi" w:hAnsiTheme="majorHAnsi" w:cs="Calibri Light"/>
        </w:rPr>
        <w:t>m</w:t>
      </w:r>
      <w:r w:rsidR="000B5F66" w:rsidRPr="000B5F66">
        <w:rPr>
          <w:rFonts w:asciiTheme="majorHAnsi" w:hAnsiTheme="majorHAnsi" w:cs="Calibri Light"/>
        </w:rPr>
        <w:t>, dostaw</w:t>
      </w:r>
      <w:r w:rsidR="000B5F66">
        <w:rPr>
          <w:rFonts w:asciiTheme="majorHAnsi" w:hAnsiTheme="majorHAnsi" w:cs="Calibri Light"/>
        </w:rPr>
        <w:t>ą</w:t>
      </w:r>
      <w:r w:rsidR="000B5F66" w:rsidRPr="000B5F66">
        <w:rPr>
          <w:rFonts w:asciiTheme="majorHAnsi" w:hAnsiTheme="majorHAnsi" w:cs="Calibri Light"/>
        </w:rPr>
        <w:t>, montaż</w:t>
      </w:r>
      <w:r w:rsidR="000B5F66">
        <w:rPr>
          <w:rFonts w:asciiTheme="majorHAnsi" w:hAnsiTheme="majorHAnsi" w:cs="Calibri Light"/>
        </w:rPr>
        <w:t>em</w:t>
      </w:r>
      <w:r w:rsidR="000B5F66" w:rsidRPr="000B5F66">
        <w:rPr>
          <w:rFonts w:asciiTheme="majorHAnsi" w:hAnsiTheme="majorHAnsi" w:cs="Calibri Light"/>
        </w:rPr>
        <w:t xml:space="preserve"> i uruchomienie</w:t>
      </w:r>
      <w:r w:rsidR="000B5F66">
        <w:rPr>
          <w:rFonts w:asciiTheme="majorHAnsi" w:hAnsiTheme="majorHAnsi" w:cs="Calibri Light"/>
        </w:rPr>
        <w:t>m</w:t>
      </w:r>
      <w:r w:rsidR="000B5F66" w:rsidRPr="000B5F66">
        <w:rPr>
          <w:rFonts w:asciiTheme="majorHAnsi" w:hAnsiTheme="majorHAnsi" w:cs="Calibri Light"/>
        </w:rPr>
        <w:t xml:space="preserve"> instalacji fotowoltaicznych w ramach zadania Termomodernizacji budynków Szpitala Kardiologicznego przy ul. Jordana 2 w Rabce Zdrój oraz Uzdrowiskowego Szpitala Dziecięcego "Olszówka" przy ul. Słowackiego 8 w Rabce Zdrój o mocy instalacji odpowiednio do 49,</w:t>
      </w:r>
      <w:r w:rsidR="005F3FCA">
        <w:rPr>
          <w:rFonts w:asciiTheme="majorHAnsi" w:hAnsiTheme="majorHAnsi" w:cs="Calibri Light"/>
        </w:rPr>
        <w:t>9</w:t>
      </w:r>
      <w:r w:rsidR="000B5F66" w:rsidRPr="000B5F66">
        <w:rPr>
          <w:rFonts w:asciiTheme="majorHAnsi" w:hAnsiTheme="majorHAnsi" w:cs="Calibri Light"/>
        </w:rPr>
        <w:t>9 kWp każda, w oparciu o panele fotowoltaiczne oraz inwerter przekształcający napięcie stałe produkowane przez panele fotowoltaiczne na napięcie sieciowe, zlokalizowanych na terenie obiektów Uzdrowiska Rabka S.A.</w:t>
      </w:r>
    </w:p>
    <w:p w14:paraId="55F53147" w14:textId="77777777" w:rsidR="000B5F66" w:rsidRDefault="000B5F66" w:rsidP="00312550">
      <w:pPr>
        <w:pStyle w:val="Akapitzlist"/>
        <w:spacing w:line="276" w:lineRule="auto"/>
        <w:ind w:left="0"/>
        <w:jc w:val="both"/>
        <w:rPr>
          <w:rFonts w:asciiTheme="majorHAnsi" w:hAnsiTheme="majorHAnsi" w:cs="Calibri Light"/>
        </w:rPr>
      </w:pPr>
    </w:p>
    <w:p w14:paraId="09C1BD94" w14:textId="5426220D" w:rsidR="00D80D20" w:rsidRDefault="003B54D4" w:rsidP="00312550">
      <w:pPr>
        <w:pStyle w:val="Akapitzlist"/>
        <w:spacing w:line="276" w:lineRule="auto"/>
        <w:ind w:left="0"/>
        <w:jc w:val="both"/>
        <w:rPr>
          <w:rFonts w:asciiTheme="majorHAnsi" w:hAnsiTheme="majorHAnsi" w:cs="Calibri Light"/>
        </w:rPr>
      </w:pPr>
      <w:r w:rsidRPr="00312550">
        <w:rPr>
          <w:rFonts w:asciiTheme="majorHAnsi" w:hAnsiTheme="majorHAnsi" w:cs="Calibri Light"/>
        </w:rPr>
        <w:t>Ogólny wykaz robót:</w:t>
      </w:r>
    </w:p>
    <w:p w14:paraId="51643129" w14:textId="77777777" w:rsidR="003F66E5" w:rsidRDefault="003F66E5" w:rsidP="00312550">
      <w:pPr>
        <w:pStyle w:val="Akapitzlist"/>
        <w:spacing w:line="276" w:lineRule="auto"/>
        <w:ind w:left="0"/>
        <w:jc w:val="both"/>
        <w:rPr>
          <w:rFonts w:asciiTheme="majorHAnsi" w:hAnsiTheme="majorHAnsi" w:cs="Calibri Light"/>
        </w:rPr>
      </w:pPr>
    </w:p>
    <w:p w14:paraId="10F9183B" w14:textId="31EAD341" w:rsidR="003F66E5" w:rsidRPr="003F66E5" w:rsidRDefault="003F66E5" w:rsidP="003F66E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Ogniwa (panele) fotowoltaiczne PV</w:t>
      </w:r>
    </w:p>
    <w:p w14:paraId="3F234CF3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W każdym miejscu, gdzie wyspecyfikowano wymagania dotyczące robót, materiałów i urządzeń Zamawiający może dopuścić w ofercie rozwiązania równoważne do opisanych przez niego przy czym Wykonawca może złożyć ofertę z rozwiązaniem równoważnym, które przedstawia przedmiot zamówienia o cechach odpowiadających cechom wskazanym w opisie. </w:t>
      </w:r>
    </w:p>
    <w:p w14:paraId="484BE4FD" w14:textId="46FB8222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Dla instalacji fotowoltaicznej przewidziano montaż ok 112 szt. paneli fotowoltaicznych monokrystalicznych o mocy ok 445 Wp każdy, generując moc maksymalną instalacji 49,9</w:t>
      </w:r>
      <w:r w:rsidR="005F3FCA">
        <w:rPr>
          <w:rFonts w:asciiTheme="majorHAnsi" w:hAnsiTheme="majorHAnsi" w:cs="Calibri Light"/>
        </w:rPr>
        <w:t>9</w:t>
      </w:r>
      <w:r w:rsidRPr="003F66E5">
        <w:rPr>
          <w:rFonts w:asciiTheme="majorHAnsi" w:hAnsiTheme="majorHAnsi" w:cs="Calibri Light"/>
        </w:rPr>
        <w:t xml:space="preserve"> kWp</w:t>
      </w:r>
    </w:p>
    <w:p w14:paraId="229C882B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Dane techniczne paneli:</w:t>
      </w:r>
    </w:p>
    <w:p w14:paraId="6A208D52" w14:textId="1EDE0892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Moc maksymalna (Pmax)</w:t>
      </w:r>
      <w:r w:rsidR="005F3FCA">
        <w:rPr>
          <w:rFonts w:asciiTheme="majorHAnsi" w:hAnsiTheme="majorHAnsi" w:cs="Calibri Light"/>
        </w:rPr>
        <w:t xml:space="preserve"> ok.</w:t>
      </w:r>
      <w:r w:rsidRPr="003F66E5">
        <w:rPr>
          <w:rFonts w:asciiTheme="majorHAnsi" w:hAnsiTheme="majorHAnsi" w:cs="Calibri Light"/>
        </w:rPr>
        <w:t>:</w:t>
      </w:r>
      <w:r w:rsidRPr="003F66E5">
        <w:rPr>
          <w:rFonts w:asciiTheme="majorHAnsi" w:hAnsiTheme="majorHAnsi" w:cs="Calibri Light"/>
        </w:rPr>
        <w:tab/>
        <w:t>430 - 445Wp</w:t>
      </w:r>
    </w:p>
    <w:p w14:paraId="7DDA695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Napięcie mocy maksymalnej (Vmp):</w:t>
      </w:r>
      <w:r w:rsidRPr="003F66E5">
        <w:rPr>
          <w:rFonts w:asciiTheme="majorHAnsi" w:hAnsiTheme="majorHAnsi" w:cs="Calibri Light"/>
        </w:rPr>
        <w:tab/>
        <w:t>34V</w:t>
      </w:r>
    </w:p>
    <w:p w14:paraId="3F09082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Natężenie prądu mocy maksymalnej (Imp):</w:t>
      </w:r>
      <w:r w:rsidRPr="003F66E5">
        <w:rPr>
          <w:rFonts w:asciiTheme="majorHAnsi" w:hAnsiTheme="majorHAnsi" w:cs="Calibri Light"/>
        </w:rPr>
        <w:tab/>
        <w:t>13,09A</w:t>
      </w:r>
    </w:p>
    <w:p w14:paraId="588B75B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Napięcie obwodu otwartego (Voc):</w:t>
      </w:r>
      <w:r w:rsidRPr="003F66E5">
        <w:rPr>
          <w:rFonts w:asciiTheme="majorHAnsi" w:hAnsiTheme="majorHAnsi" w:cs="Calibri Light"/>
        </w:rPr>
        <w:tab/>
        <w:t>41,1V</w:t>
      </w:r>
    </w:p>
    <w:p w14:paraId="792F1536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Prąd obwodu zwartego (Isc):</w:t>
      </w:r>
      <w:r w:rsidRPr="003F66E5">
        <w:rPr>
          <w:rFonts w:asciiTheme="majorHAnsi" w:hAnsiTheme="majorHAnsi" w:cs="Calibri Light"/>
        </w:rPr>
        <w:tab/>
        <w:t>13,77A</w:t>
      </w:r>
    </w:p>
    <w:p w14:paraId="1E4DB9DF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Sprawność modułu STC (%):</w:t>
      </w:r>
      <w:r w:rsidRPr="003F66E5">
        <w:rPr>
          <w:rFonts w:asciiTheme="majorHAnsi" w:hAnsiTheme="majorHAnsi" w:cs="Calibri Light"/>
        </w:rPr>
        <w:tab/>
        <w:t>nie mniej niż 21,77</w:t>
      </w:r>
    </w:p>
    <w:p w14:paraId="26E0603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Temperatura pracy °C:</w:t>
      </w:r>
      <w:r w:rsidRPr="003F66E5">
        <w:rPr>
          <w:rFonts w:asciiTheme="majorHAnsi" w:hAnsiTheme="majorHAnsi" w:cs="Calibri Light"/>
        </w:rPr>
        <w:tab/>
        <w:t>-40°C - +85°C</w:t>
      </w:r>
    </w:p>
    <w:p w14:paraId="08D85E1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Maksymalne napięcie układu:</w:t>
      </w:r>
      <w:r w:rsidRPr="003F66E5">
        <w:rPr>
          <w:rFonts w:asciiTheme="majorHAnsi" w:hAnsiTheme="majorHAnsi" w:cs="Calibri Light"/>
        </w:rPr>
        <w:tab/>
        <w:t>1000/1500VDC (IEC)</w:t>
      </w:r>
    </w:p>
    <w:p w14:paraId="6F9EB46E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Maksymalny bezpiecznik szeregowy:</w:t>
      </w:r>
      <w:r w:rsidRPr="003F66E5">
        <w:rPr>
          <w:rFonts w:asciiTheme="majorHAnsi" w:hAnsiTheme="majorHAnsi" w:cs="Calibri Light"/>
        </w:rPr>
        <w:tab/>
        <w:t>25A</w:t>
      </w:r>
    </w:p>
    <w:p w14:paraId="367CC783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Tolerancja mocy:</w:t>
      </w:r>
      <w:r w:rsidRPr="003F66E5">
        <w:rPr>
          <w:rFonts w:asciiTheme="majorHAnsi" w:hAnsiTheme="majorHAnsi" w:cs="Calibri Light"/>
        </w:rPr>
        <w:tab/>
        <w:t>0 -3%</w:t>
      </w:r>
    </w:p>
    <w:p w14:paraId="6BFEC7A0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Nominalna temperatura pracy ogniwa NOCT):</w:t>
      </w:r>
      <w:r w:rsidRPr="003F66E5">
        <w:rPr>
          <w:rFonts w:asciiTheme="majorHAnsi" w:hAnsiTheme="majorHAnsi" w:cs="Calibri Light"/>
        </w:rPr>
        <w:tab/>
        <w:t>45+/-2°C</w:t>
      </w:r>
    </w:p>
    <w:p w14:paraId="283D399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Charakterystyka mechaniczna:</w:t>
      </w:r>
    </w:p>
    <w:p w14:paraId="4FD62DA4" w14:textId="08229D40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Typ ogniwa:</w:t>
      </w:r>
      <w:r w:rsidRPr="003F66E5">
        <w:rPr>
          <w:rFonts w:asciiTheme="majorHAnsi" w:hAnsiTheme="majorHAnsi" w:cs="Calibri Light"/>
        </w:rPr>
        <w:tab/>
        <w:t>Monokrystaliczne ogniwa oraz half-cut</w:t>
      </w:r>
    </w:p>
    <w:p w14:paraId="66A1CEBB" w14:textId="0A4980BA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Liczba ogniw</w:t>
      </w:r>
      <w:r w:rsidR="005F3FCA">
        <w:rPr>
          <w:rFonts w:asciiTheme="majorHAnsi" w:hAnsiTheme="majorHAnsi" w:cs="Calibri Light"/>
        </w:rPr>
        <w:t xml:space="preserve"> ok.</w:t>
      </w:r>
      <w:r w:rsidRPr="003F66E5">
        <w:rPr>
          <w:rFonts w:asciiTheme="majorHAnsi" w:hAnsiTheme="majorHAnsi" w:cs="Calibri Light"/>
        </w:rPr>
        <w:t>:</w:t>
      </w:r>
      <w:r w:rsidRPr="003F66E5">
        <w:rPr>
          <w:rFonts w:asciiTheme="majorHAnsi" w:hAnsiTheme="majorHAnsi" w:cs="Calibri Light"/>
        </w:rPr>
        <w:tab/>
        <w:t>120 (2x60)</w:t>
      </w:r>
    </w:p>
    <w:p w14:paraId="6884DA30" w14:textId="0B247189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Wymiary (mm)</w:t>
      </w:r>
      <w:r w:rsidR="005F3FCA">
        <w:rPr>
          <w:rFonts w:asciiTheme="majorHAnsi" w:hAnsiTheme="majorHAnsi" w:cs="Calibri Light"/>
        </w:rPr>
        <w:t xml:space="preserve"> ok.</w:t>
      </w:r>
      <w:r w:rsidRPr="003F66E5">
        <w:rPr>
          <w:rFonts w:asciiTheme="majorHAnsi" w:hAnsiTheme="majorHAnsi" w:cs="Calibri Light"/>
        </w:rPr>
        <w:t>:</w:t>
      </w:r>
      <w:r w:rsidRPr="003F66E5">
        <w:rPr>
          <w:rFonts w:asciiTheme="majorHAnsi" w:hAnsiTheme="majorHAnsi" w:cs="Calibri Light"/>
        </w:rPr>
        <w:tab/>
        <w:t>1868 x 1134 x 30</w:t>
      </w:r>
    </w:p>
    <w:p w14:paraId="4BB33FC0" w14:textId="308E5736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Masa</w:t>
      </w:r>
      <w:r w:rsidR="005F3FCA">
        <w:rPr>
          <w:rFonts w:asciiTheme="majorHAnsi" w:hAnsiTheme="majorHAnsi" w:cs="Calibri Light"/>
        </w:rPr>
        <w:t xml:space="preserve"> ok.</w:t>
      </w:r>
      <w:r w:rsidRPr="003F66E5">
        <w:rPr>
          <w:rFonts w:asciiTheme="majorHAnsi" w:hAnsiTheme="majorHAnsi" w:cs="Calibri Light"/>
        </w:rPr>
        <w:t>:</w:t>
      </w:r>
      <w:r w:rsidRPr="003F66E5">
        <w:rPr>
          <w:rFonts w:asciiTheme="majorHAnsi" w:hAnsiTheme="majorHAnsi" w:cs="Calibri Light"/>
        </w:rPr>
        <w:tab/>
        <w:t>24,2 kg</w:t>
      </w:r>
    </w:p>
    <w:p w14:paraId="36A17A33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Szyba przednia:</w:t>
      </w:r>
      <w:r w:rsidRPr="003F66E5">
        <w:rPr>
          <w:rFonts w:asciiTheme="majorHAnsi" w:hAnsiTheme="majorHAnsi" w:cs="Calibri Light"/>
        </w:rPr>
        <w:tab/>
        <w:t xml:space="preserve"> 3.2mm, powłoka antyrefleksyjna, wysoki współczynnik transmisji, niska zawartość żelaza, szkło hartowane</w:t>
      </w:r>
    </w:p>
    <w:p w14:paraId="6BD9BB0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Rama:</w:t>
      </w:r>
      <w:r w:rsidRPr="003F66E5">
        <w:rPr>
          <w:rFonts w:asciiTheme="majorHAnsi" w:hAnsiTheme="majorHAnsi" w:cs="Calibri Light"/>
        </w:rPr>
        <w:tab/>
        <w:t>Anodyzowany stop aluminium</w:t>
      </w:r>
    </w:p>
    <w:p w14:paraId="1AE83CAE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Skrzynka podłączeniowa:</w:t>
      </w:r>
      <w:r w:rsidRPr="003F66E5">
        <w:rPr>
          <w:rFonts w:asciiTheme="majorHAnsi" w:hAnsiTheme="majorHAnsi" w:cs="Calibri Light"/>
        </w:rPr>
        <w:tab/>
        <w:t>Stopień ochrony IP67</w:t>
      </w:r>
    </w:p>
    <w:p w14:paraId="5A6CA9E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</w:p>
    <w:p w14:paraId="15BF5385" w14:textId="336ACCF8" w:rsidR="003F66E5" w:rsidRPr="003F66E5" w:rsidRDefault="003F66E5" w:rsidP="003F66E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Inwertery fotowoltaiczne (falowniki)</w:t>
      </w:r>
    </w:p>
    <w:p w14:paraId="67F3E32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lastRenderedPageBreak/>
        <w:t xml:space="preserve">W każdym miejscu, gdzie wyspecyfikowano wymagania dotyczące robót, materiałów i urządzeń Zamawiający może dopuścić w ofercie rozwiązania równoważne do opisanych przez niego przy czym Wykonawca może złożyć ofertę z rozwiązaniem równoważnym, które przedstawia przedmiot zamówienia o cechach odpowiadających cechom wskazanym w opisie. </w:t>
      </w:r>
    </w:p>
    <w:p w14:paraId="125EB7E6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Należy zastosować falownik obsługujący optymalizację na poziomie modułu (każdy moduł / para modułów) z jednostką konwersji mocy, która działa niezależnie od innych falowników.</w:t>
      </w:r>
    </w:p>
    <w:p w14:paraId="56C1ACC6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Dane techniczne:</w:t>
      </w:r>
    </w:p>
    <w:p w14:paraId="5F0E06F0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Wyjście</w:t>
      </w:r>
    </w:p>
    <w:p w14:paraId="382D0B5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Znamionowa czynna moc wyjściowa AC:</w:t>
      </w:r>
      <w:r w:rsidRPr="003F66E5">
        <w:rPr>
          <w:rFonts w:asciiTheme="majorHAnsi" w:hAnsiTheme="majorHAnsi" w:cs="Calibri Light"/>
        </w:rPr>
        <w:tab/>
        <w:t>50000W</w:t>
      </w:r>
    </w:p>
    <w:p w14:paraId="3317EC0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Maksymalna pozorna moc wyjściowa AC:</w:t>
      </w:r>
      <w:r w:rsidRPr="003F66E5">
        <w:rPr>
          <w:rFonts w:asciiTheme="majorHAnsi" w:hAnsiTheme="majorHAnsi" w:cs="Calibri Light"/>
        </w:rPr>
        <w:tab/>
        <w:t>50000VA</w:t>
      </w:r>
    </w:p>
    <w:p w14:paraId="37C5CA7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Napięcie wyjściowe AC (znamionowo):</w:t>
      </w:r>
      <w:r w:rsidRPr="003F66E5">
        <w:rPr>
          <w:rFonts w:asciiTheme="majorHAnsi" w:hAnsiTheme="majorHAnsi" w:cs="Calibri Light"/>
        </w:rPr>
        <w:tab/>
        <w:t>400/230Vac</w:t>
      </w:r>
    </w:p>
    <w:p w14:paraId="39F40FFE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Częstotliwość AC:</w:t>
      </w:r>
      <w:r w:rsidRPr="003F66E5">
        <w:rPr>
          <w:rFonts w:asciiTheme="majorHAnsi" w:hAnsiTheme="majorHAnsi" w:cs="Calibri Light"/>
        </w:rPr>
        <w:tab/>
        <w:t>50/60 ± 5% Hz</w:t>
      </w:r>
    </w:p>
    <w:p w14:paraId="63164CE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Maksymalny ciągły prąd wyjściowy (na fazę):</w:t>
      </w:r>
      <w:r w:rsidRPr="003F66E5">
        <w:rPr>
          <w:rFonts w:asciiTheme="majorHAnsi" w:hAnsiTheme="majorHAnsi" w:cs="Calibri Light"/>
        </w:rPr>
        <w:tab/>
        <w:t>72,5Aac</w:t>
      </w:r>
    </w:p>
    <w:p w14:paraId="69920F24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Połączenia linii wyjściowych AC</w:t>
      </w:r>
      <w:r w:rsidRPr="003F66E5">
        <w:rPr>
          <w:rFonts w:asciiTheme="majorHAnsi" w:hAnsiTheme="majorHAnsi" w:cs="Calibri Light"/>
        </w:rPr>
        <w:tab/>
        <w:t>: 3W + PE, 4W + PE</w:t>
      </w:r>
    </w:p>
    <w:p w14:paraId="235BB943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Całkowite zniekształcenie harmoniczne</w:t>
      </w:r>
      <w:r w:rsidRPr="003F66E5">
        <w:rPr>
          <w:rFonts w:asciiTheme="majorHAnsi" w:hAnsiTheme="majorHAnsi" w:cs="Calibri Light"/>
        </w:rPr>
        <w:tab/>
        <w:t>: ≤ 3</w:t>
      </w:r>
    </w:p>
    <w:p w14:paraId="10DF095F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Zakres współczynnika mocy:</w:t>
      </w:r>
      <w:r w:rsidRPr="003F66E5">
        <w:rPr>
          <w:rFonts w:asciiTheme="majorHAnsi" w:hAnsiTheme="majorHAnsi" w:cs="Calibri Light"/>
        </w:rPr>
        <w:tab/>
        <w:t>+/- od 0.8 do 1</w:t>
      </w:r>
    </w:p>
    <w:p w14:paraId="577746AB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Wejście</w:t>
      </w:r>
    </w:p>
    <w:p w14:paraId="15DF0110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Maksymalna moc DC (moduł STC) falownik / jednostka synergiczna:</w:t>
      </w:r>
      <w:r w:rsidRPr="003F66E5">
        <w:rPr>
          <w:rFonts w:asciiTheme="majorHAnsi" w:hAnsiTheme="majorHAnsi" w:cs="Calibri Light"/>
        </w:rPr>
        <w:tab/>
        <w:t>75000 / 37500W</w:t>
      </w:r>
    </w:p>
    <w:p w14:paraId="27388EB7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Beztransformatorowe, nieuziemione:</w:t>
      </w:r>
      <w:r w:rsidRPr="003F66E5">
        <w:rPr>
          <w:rFonts w:asciiTheme="majorHAnsi" w:hAnsiTheme="majorHAnsi" w:cs="Calibri Light"/>
        </w:rPr>
        <w:tab/>
        <w:t>Tak</w:t>
      </w:r>
    </w:p>
    <w:p w14:paraId="3FC7DC65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Maksymalny prąd wejściowy:</w:t>
      </w:r>
      <w:r w:rsidRPr="003F66E5">
        <w:rPr>
          <w:rFonts w:asciiTheme="majorHAnsi" w:hAnsiTheme="majorHAnsi" w:cs="Calibri Light"/>
        </w:rPr>
        <w:tab/>
        <w:t>2 x 36,25Adc</w:t>
      </w:r>
    </w:p>
    <w:p w14:paraId="715EE754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Zabezpieczenie przed odwrotną polaryzacją:</w:t>
      </w:r>
      <w:r w:rsidRPr="003F66E5">
        <w:rPr>
          <w:rFonts w:asciiTheme="majorHAnsi" w:hAnsiTheme="majorHAnsi" w:cs="Calibri Light"/>
        </w:rPr>
        <w:tab/>
        <w:t>Tak</w:t>
      </w:r>
    </w:p>
    <w:p w14:paraId="60DD7D25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Maksymalna sprawność falownika:</w:t>
      </w:r>
      <w:r w:rsidRPr="003F66E5">
        <w:rPr>
          <w:rFonts w:asciiTheme="majorHAnsi" w:hAnsiTheme="majorHAnsi" w:cs="Calibri Light"/>
        </w:rPr>
        <w:tab/>
        <w:t>98,3</w:t>
      </w:r>
    </w:p>
    <w:p w14:paraId="2C16E98E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Sprawność europejska (ważona):</w:t>
      </w:r>
      <w:r w:rsidRPr="003F66E5">
        <w:rPr>
          <w:rFonts w:asciiTheme="majorHAnsi" w:hAnsiTheme="majorHAnsi" w:cs="Calibri Light"/>
        </w:rPr>
        <w:tab/>
        <w:t>98</w:t>
      </w:r>
    </w:p>
    <w:p w14:paraId="060AC2C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Pozostałe funkcje</w:t>
      </w:r>
    </w:p>
    <w:p w14:paraId="65DE3B9B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 xml:space="preserve">Obsługiwane interfejsy komunikacyjne (2 x RS485, Ethernet, Wi-Fi (opcjonalnie), sieć </w:t>
      </w:r>
    </w:p>
    <w:p w14:paraId="19A18CD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komórkowa (opcjonalnie)</w:t>
      </w:r>
    </w:p>
    <w:p w14:paraId="65A3E9CB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Ochrona przed zakłóceniami wywoływanymi przez łuk elektryczny: Wbudowana, z możliwością konfiguracji przez użytkownika (zgodnie z UL1699B)</w:t>
      </w:r>
    </w:p>
    <w:p w14:paraId="5C4CEF9B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Szybkie wyłączanie: Opcjonalnie (automatyczne po odłączeniu od sieci AC)</w:t>
      </w:r>
    </w:p>
    <w:p w14:paraId="0E90E58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Zabezpieczenie przeciwprzepięciowe RS485 (porty 1+2): Typ II, wymienne na miejscu, zintegrowane</w:t>
      </w:r>
    </w:p>
    <w:p w14:paraId="67C1315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Zabezpieczenie przepięciowe DC: Typ II, wymienne na miejscu, zintegrowane</w:t>
      </w:r>
    </w:p>
    <w:p w14:paraId="798DFE1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Zabezpieczenie przeciwprzepięciowe AC: Typ II, wymienne na miejscu, opcjonalne</w:t>
      </w:r>
    </w:p>
    <w:p w14:paraId="575A8AE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Bezpieczniki DC (jednobiegunowe):</w:t>
      </w:r>
      <w:r w:rsidRPr="003F66E5">
        <w:rPr>
          <w:rFonts w:asciiTheme="majorHAnsi" w:hAnsiTheme="majorHAnsi" w:cs="Calibri Light"/>
        </w:rPr>
        <w:tab/>
        <w:t>25 A, opcjonalnie</w:t>
      </w:r>
    </w:p>
    <w:p w14:paraId="478ECCC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</w:p>
    <w:p w14:paraId="4C51DAFC" w14:textId="335ADD18" w:rsidR="003F66E5" w:rsidRPr="003F66E5" w:rsidRDefault="003F66E5" w:rsidP="003F66E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Optymalizatory</w:t>
      </w:r>
    </w:p>
    <w:p w14:paraId="7B4ACB56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W każdym miejscu, gdzie wyspecyfikowano wymagania dotyczące robót, materiałów i urządzeń Zamawiający może dopuścić w ofercie rozwiązania równoważne do opisanych przez niego przy czym Wykonawca może złożyć ofertę z rozwiązaniem równoważnym, które przedstawia przedmiot zamówienia o cechach odpowiadających cechom wskazanym w opisie. </w:t>
      </w:r>
    </w:p>
    <w:p w14:paraId="7F67A19E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W celu zapewnienia , że produkcja  każdego pojedynczego  lub dwóch modułów jest zbierana </w:t>
      </w:r>
    </w:p>
    <w:p w14:paraId="45B0228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w maksymalnym punkcie mocy należy zastosować optymalizatory mocy z wbudowaną  funkcją MPPT.</w:t>
      </w:r>
    </w:p>
    <w:p w14:paraId="1128B5A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Dane techniczne:</w:t>
      </w:r>
    </w:p>
    <w:p w14:paraId="61CDE577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Wejście</w:t>
      </w:r>
    </w:p>
    <w:p w14:paraId="32E8F49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Nominalna moc wejściowa:</w:t>
      </w:r>
      <w:r w:rsidRPr="003F66E5">
        <w:rPr>
          <w:rFonts w:asciiTheme="majorHAnsi" w:hAnsiTheme="majorHAnsi" w:cs="Calibri Light"/>
        </w:rPr>
        <w:tab/>
        <w:t>950W</w:t>
      </w:r>
    </w:p>
    <w:p w14:paraId="2DFC80C7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lastRenderedPageBreak/>
        <w:t>−</w:t>
      </w:r>
      <w:r w:rsidRPr="003F66E5">
        <w:rPr>
          <w:rFonts w:asciiTheme="majorHAnsi" w:hAnsiTheme="majorHAnsi" w:cs="Calibri Light"/>
        </w:rPr>
        <w:tab/>
        <w:t>Rodzaj połączenia:</w:t>
      </w:r>
      <w:r w:rsidRPr="003F66E5">
        <w:rPr>
          <w:rFonts w:asciiTheme="majorHAnsi" w:hAnsiTheme="majorHAnsi" w:cs="Calibri Light"/>
        </w:rPr>
        <w:tab/>
        <w:t>Pojedyncze wejście dla połączenia szeregowego modułów</w:t>
      </w:r>
    </w:p>
    <w:p w14:paraId="4AE51B0C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Zakres napięcia MPPT:</w:t>
      </w:r>
      <w:r w:rsidRPr="003F66E5">
        <w:rPr>
          <w:rFonts w:asciiTheme="majorHAnsi" w:hAnsiTheme="majorHAnsi" w:cs="Calibri Light"/>
        </w:rPr>
        <w:tab/>
        <w:t>12,5-105Vdc</w:t>
      </w:r>
    </w:p>
    <w:p w14:paraId="524B838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Maksymalny prąd wejściowy na wejście (Isc):</w:t>
      </w:r>
      <w:r w:rsidRPr="003F66E5">
        <w:rPr>
          <w:rFonts w:asciiTheme="majorHAnsi" w:hAnsiTheme="majorHAnsi" w:cs="Calibri Light"/>
        </w:rPr>
        <w:tab/>
        <w:t>12,5Adc</w:t>
      </w:r>
    </w:p>
    <w:p w14:paraId="3600FE80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Maksymalna sprawność:</w:t>
      </w:r>
      <w:r w:rsidRPr="003F66E5">
        <w:rPr>
          <w:rFonts w:asciiTheme="majorHAnsi" w:hAnsiTheme="majorHAnsi" w:cs="Calibri Light"/>
        </w:rPr>
        <w:tab/>
        <w:t>99,5</w:t>
      </w:r>
    </w:p>
    <w:p w14:paraId="5F303A08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Sprawność ważona:</w:t>
      </w:r>
      <w:r w:rsidRPr="003F66E5">
        <w:rPr>
          <w:rFonts w:asciiTheme="majorHAnsi" w:hAnsiTheme="majorHAnsi" w:cs="Calibri Light"/>
        </w:rPr>
        <w:tab/>
        <w:t>98,6</w:t>
      </w:r>
    </w:p>
    <w:p w14:paraId="582F3453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Kategoria przepięciowa</w:t>
      </w:r>
      <w:r w:rsidRPr="003F66E5">
        <w:rPr>
          <w:rFonts w:asciiTheme="majorHAnsi" w:hAnsiTheme="majorHAnsi" w:cs="Calibri Light"/>
        </w:rPr>
        <w:tab/>
        <w:t>: II</w:t>
      </w:r>
    </w:p>
    <w:p w14:paraId="25F731D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Wyjście - w trakcie pracy</w:t>
      </w:r>
    </w:p>
    <w:p w14:paraId="173ED45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Maksymalny prąd wyjściowy:</w:t>
      </w:r>
      <w:r w:rsidRPr="003F66E5">
        <w:rPr>
          <w:rFonts w:asciiTheme="majorHAnsi" w:hAnsiTheme="majorHAnsi" w:cs="Calibri Light"/>
        </w:rPr>
        <w:tab/>
        <w:t>18A</w:t>
      </w:r>
    </w:p>
    <w:p w14:paraId="606547B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Maksymalne napięcie wyjściowe:</w:t>
      </w:r>
      <w:r w:rsidRPr="003F66E5">
        <w:rPr>
          <w:rFonts w:asciiTheme="majorHAnsi" w:hAnsiTheme="majorHAnsi" w:cs="Calibri Light"/>
        </w:rPr>
        <w:tab/>
        <w:t>80V</w:t>
      </w:r>
    </w:p>
    <w:p w14:paraId="287D8BE7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Zgodność z normami:</w:t>
      </w:r>
    </w:p>
    <w:p w14:paraId="736CF4E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EMC</w:t>
      </w:r>
      <w:r w:rsidRPr="003F66E5">
        <w:rPr>
          <w:rFonts w:asciiTheme="majorHAnsi" w:hAnsiTheme="majorHAnsi" w:cs="Calibri Light"/>
        </w:rPr>
        <w:tab/>
        <w:t>FCC Part 15 Class B, IEC61000-6-2, IEC61000-6-3</w:t>
      </w:r>
    </w:p>
    <w:p w14:paraId="35FB656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Bezpieczeństwo</w:t>
      </w:r>
      <w:r w:rsidRPr="003F66E5">
        <w:rPr>
          <w:rFonts w:asciiTheme="majorHAnsi" w:hAnsiTheme="majorHAnsi" w:cs="Calibri Light"/>
        </w:rPr>
        <w:tab/>
        <w:t>IEC62109-1 (klasa bezpieczeństwa II)</w:t>
      </w:r>
    </w:p>
    <w:p w14:paraId="086D2E0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RoHS</w:t>
      </w:r>
      <w:r w:rsidRPr="003F66E5">
        <w:rPr>
          <w:rFonts w:asciiTheme="majorHAnsi" w:hAnsiTheme="majorHAnsi" w:cs="Calibri Light"/>
        </w:rPr>
        <w:tab/>
        <w:t>Tak</w:t>
      </w:r>
    </w:p>
    <w:p w14:paraId="5F8AA830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Specyfikacja instalacji</w:t>
      </w:r>
    </w:p>
    <w:p w14:paraId="656332BF" w14:textId="60CE08B4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Wymiary (sz. x dł. x w.)</w:t>
      </w:r>
      <w:r w:rsidR="005F3FCA">
        <w:rPr>
          <w:rFonts w:asciiTheme="majorHAnsi" w:hAnsiTheme="majorHAnsi" w:cs="Calibri Light"/>
        </w:rPr>
        <w:t xml:space="preserve"> ok.</w:t>
      </w:r>
      <w:r w:rsidRPr="003F66E5">
        <w:rPr>
          <w:rFonts w:asciiTheme="majorHAnsi" w:hAnsiTheme="majorHAnsi" w:cs="Calibri Light"/>
        </w:rPr>
        <w:t>:</w:t>
      </w:r>
      <w:r w:rsidRPr="003F66E5">
        <w:rPr>
          <w:rFonts w:asciiTheme="majorHAnsi" w:hAnsiTheme="majorHAnsi" w:cs="Calibri Light"/>
        </w:rPr>
        <w:tab/>
        <w:t>129mm x 162mm x 59mm</w:t>
      </w:r>
    </w:p>
    <w:p w14:paraId="299EA626" w14:textId="335351C4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Waga (wraz z przewodami)</w:t>
      </w:r>
      <w:r w:rsidR="005F3FCA">
        <w:rPr>
          <w:rFonts w:asciiTheme="majorHAnsi" w:hAnsiTheme="majorHAnsi" w:cs="Calibri Light"/>
        </w:rPr>
        <w:t xml:space="preserve"> ok.</w:t>
      </w:r>
      <w:r w:rsidRPr="003F66E5">
        <w:rPr>
          <w:rFonts w:asciiTheme="majorHAnsi" w:hAnsiTheme="majorHAnsi" w:cs="Calibri Light"/>
        </w:rPr>
        <w:t>:</w:t>
      </w:r>
      <w:r w:rsidRPr="003F66E5">
        <w:rPr>
          <w:rFonts w:asciiTheme="majorHAnsi" w:hAnsiTheme="majorHAnsi" w:cs="Calibri Light"/>
        </w:rPr>
        <w:tab/>
        <w:t>1,064kg</w:t>
      </w:r>
    </w:p>
    <w:p w14:paraId="4658D4B3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Złącze wejściowe i wyjściowe:</w:t>
      </w:r>
      <w:r w:rsidRPr="003F66E5">
        <w:rPr>
          <w:rFonts w:asciiTheme="majorHAnsi" w:hAnsiTheme="majorHAnsi" w:cs="Calibri Light"/>
        </w:rPr>
        <w:tab/>
        <w:t>MC4</w:t>
      </w:r>
    </w:p>
    <w:p w14:paraId="58E4A926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Zakres temperatur pracy:</w:t>
      </w:r>
      <w:r w:rsidRPr="003F66E5">
        <w:rPr>
          <w:rFonts w:asciiTheme="majorHAnsi" w:hAnsiTheme="majorHAnsi" w:cs="Calibri Light"/>
        </w:rPr>
        <w:tab/>
        <w:t>od -40 do +85 / od -40 do +185</w:t>
      </w:r>
    </w:p>
    <w:p w14:paraId="5739F3A4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Stopień ochrony:</w:t>
      </w:r>
      <w:r w:rsidRPr="003F66E5">
        <w:rPr>
          <w:rFonts w:asciiTheme="majorHAnsi" w:hAnsiTheme="majorHAnsi" w:cs="Calibri Light"/>
        </w:rPr>
        <w:tab/>
        <w:t>IP68</w:t>
      </w:r>
    </w:p>
    <w:p w14:paraId="6544B670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Wilgotność względna:</w:t>
      </w:r>
      <w:r w:rsidRPr="003F66E5">
        <w:rPr>
          <w:rFonts w:asciiTheme="majorHAnsi" w:hAnsiTheme="majorHAnsi" w:cs="Calibri Light"/>
        </w:rPr>
        <w:tab/>
        <w:t>0-100%</w:t>
      </w:r>
    </w:p>
    <w:p w14:paraId="1817DB0E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</w:p>
    <w:p w14:paraId="663B5EEE" w14:textId="03B2DED6" w:rsidR="003F66E5" w:rsidRPr="003F66E5" w:rsidRDefault="003F66E5" w:rsidP="003F66E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Konstrukcja nośna</w:t>
      </w:r>
    </w:p>
    <w:p w14:paraId="0EB5CF2B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W każdym miejscu, gdzie wyspecyfikowano wymagania dotyczące robót, materiałów i urządzeń Zamawiający może dopuścić w ofercie rozwiązania równoważne do opisanych przez niego przy czym Wykonawca może złożyć ofertę z rozwiązaniem równoważnym, które przedstawia przedmiot zamówienia o cechach odpowiadających cechom wskazanym w opisie. </w:t>
      </w:r>
    </w:p>
    <w:p w14:paraId="6FD95E03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Do zabudowy paneli należy zastosować konstrukcję systemową:</w:t>
      </w:r>
    </w:p>
    <w:p w14:paraId="00F89E8B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a.</w:t>
      </w:r>
      <w:r w:rsidRPr="003F66E5">
        <w:rPr>
          <w:rFonts w:asciiTheme="majorHAnsi" w:hAnsiTheme="majorHAnsi" w:cs="Calibri Light"/>
        </w:rPr>
        <w:tab/>
        <w:t>Dla budynku Olszówka przeznaczoną do mocowania paneli fotowoltaicznych w układzie dla dachów ukośnych z montażem do blachy stalowej</w:t>
      </w:r>
    </w:p>
    <w:p w14:paraId="5CE6DAF0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b.</w:t>
      </w:r>
      <w:r w:rsidRPr="003F66E5">
        <w:rPr>
          <w:rFonts w:asciiTheme="majorHAnsi" w:hAnsiTheme="majorHAnsi" w:cs="Calibri Light"/>
        </w:rPr>
        <w:tab/>
        <w:t>Dla budynku Kardiologii przeznaczoną do mocowania paneli fotowoltaicznych w układzie dla dachów płaskich</w:t>
      </w:r>
    </w:p>
    <w:p w14:paraId="1F6A1BFB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Które umożliwią każdorazowo:</w:t>
      </w:r>
    </w:p>
    <w:p w14:paraId="44C0359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 xml:space="preserve">zainstalowanie wymaganej liczby paneli fotowoltaicznych o wymiarach (mm) 1868 x 1134 x 30, </w:t>
      </w:r>
    </w:p>
    <w:p w14:paraId="1CD5A22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−</w:t>
      </w:r>
      <w:r w:rsidRPr="003F66E5">
        <w:rPr>
          <w:rFonts w:asciiTheme="majorHAnsi" w:hAnsiTheme="majorHAnsi" w:cs="Calibri Light"/>
        </w:rPr>
        <w:tab/>
        <w:t>dostosowana do obciążeń stałych (od paneli) i klimatycznych tj. wiatr dla strefy 1 wg PN-B-02011:1977/Az-1 oraz śnieg dla strefy 2 wg PN-80/B-02010/Az-1.</w:t>
      </w:r>
    </w:p>
    <w:p w14:paraId="4ABB5F87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</w:p>
    <w:p w14:paraId="114CAD51" w14:textId="4069CA51" w:rsidR="003F66E5" w:rsidRPr="003F66E5" w:rsidRDefault="003F66E5" w:rsidP="003F66E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Kable i przewody </w:t>
      </w:r>
    </w:p>
    <w:p w14:paraId="45A1A5C9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Przy budowie linii kablowych dla potrzeb instalacji elektrycznych (DC oraz AC) stosować kable zgodne </w:t>
      </w:r>
    </w:p>
    <w:p w14:paraId="6561F40C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z dokumentacją projektową. </w:t>
      </w:r>
    </w:p>
    <w:p w14:paraId="79DC5D0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Linie kablowe wykonać zgodnie z przedmiotowymi normami w tym zakresie. </w:t>
      </w:r>
    </w:p>
    <w:p w14:paraId="15E8D7BE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Przepusty kablowe powinny być wykonane z materiałów niepalnych, z tworzyw sztucznych, wytrzymałych mechanicznie, chemicznie i odpornych na działanie łuku elektrycznego. </w:t>
      </w:r>
    </w:p>
    <w:p w14:paraId="20A9488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Rury używane na przepusty powinny być dostatecznie wytrzymałe na działanie sił ściskających, </w:t>
      </w:r>
    </w:p>
    <w:p w14:paraId="1951095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z jakimi należy liczyć się w miejscu ich ułożenia. Wnętrza ścianek powinny być gładkie lub powleczone warstwą wygładzającą ich powierzchnię, dla ułatwienia przesuwania się kabli. </w:t>
      </w:r>
    </w:p>
    <w:p w14:paraId="54E0FAD8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lastRenderedPageBreak/>
        <w:t xml:space="preserve">Zaleca się stosowanie na przepusty kablowe rur z polichlorku winylu (PCW). </w:t>
      </w:r>
    </w:p>
    <w:p w14:paraId="560403F0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Przekrój żył powinien być dobrany w zależności od dopuszczalnego spadku napięcia, dopuszczalnej temperatury nagrzania kabla przez prądy robocze i zwarciowe oraz skuteczności ochrony przeciwporażeniowej. </w:t>
      </w:r>
    </w:p>
    <w:p w14:paraId="7317F55C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Bębny z kablami i przewodami należy przechowywać w miejscach zadaszonych, zabezpieczonych przed opadami atmosferycznymi i bezpośrednim działaniem promieni słonecznych, na utwardzonym podłożu. </w:t>
      </w:r>
    </w:p>
    <w:p w14:paraId="792CCF31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Instalacje elektryczne winny być ułożone zgodnie z odpowiednimi arkuszami normy PN-IEC 60364.</w:t>
      </w:r>
    </w:p>
    <w:p w14:paraId="471585E8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</w:p>
    <w:p w14:paraId="1FBEFFE8" w14:textId="0F6AAE79" w:rsidR="003F66E5" w:rsidRPr="003F66E5" w:rsidRDefault="003F66E5" w:rsidP="003F66E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Rozdzielnica nN </w:t>
      </w:r>
    </w:p>
    <w:p w14:paraId="7D6C2CF6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Rozdzielnica niskiego napięcia według PN-EN 60439-1-5. Napięcie izolacji rozdzielnic powinno być dostosowane do największego napięcia znamionowego instalacji. Rozdzielnica powinna zapewniać poprawną i bezpieczną pracę instalacji i urządzeń elektrycznych w obiekcie, zaciski rozdzielnic powinny być dostosowane do przekrojów i średnic przewodów, rurek oraz uchwytów stosowanych podczas robót. Stopień ochrony rozdzielnic zgodnie z podanym w dokumentacji projektowej. </w:t>
      </w:r>
    </w:p>
    <w:p w14:paraId="3A05D6B9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Rozdzielnica powinna posiadać oznakowania wykonane w sposób wyraźny, jasny i w kolorze kontrastowym z kolorem rozdzielnicy. Na rozdzielnicach umieścić oznakowanie ostrzegawcze. </w:t>
      </w:r>
    </w:p>
    <w:p w14:paraId="0D0B4CB4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Rozdzielnice należy wyposażyć w aktualny schemat elektryczny.</w:t>
      </w:r>
    </w:p>
    <w:p w14:paraId="058A5289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</w:p>
    <w:p w14:paraId="268D0DA4" w14:textId="249518F1" w:rsidR="003F66E5" w:rsidRPr="003F66E5" w:rsidRDefault="003F66E5" w:rsidP="003F66E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Miejsce włączenia instalacji do układu sieci elektroenergetycznej obiektu </w:t>
      </w:r>
    </w:p>
    <w:p w14:paraId="0C510514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Układ Olszówka - Budynek Olszówka </w:t>
      </w:r>
    </w:p>
    <w:p w14:paraId="1B3C8218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- rozdzielnia główna oznaczenie - TG w korytarzu ( przyziemie - stara kuchnia)</w:t>
      </w:r>
    </w:p>
    <w:p w14:paraId="7B57A48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- złącze kablowe na ścianie ( wyjście na zewnątrz od strony agregatu - możliwość także podłączenia w rozdzielni NN gdzie zamontowany jest agregat prądotwórczy - decyzja wykonawcy po wizji lokalnej. Jednak połączenia z obiektami rozdzielni NN musiałyby być wykonane kablem ziemnym lub przewieszka).</w:t>
      </w:r>
    </w:p>
    <w:p w14:paraId="6C502975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Układ Kardiologia – Budynek Jagiellonka  </w:t>
      </w:r>
    </w:p>
    <w:p w14:paraId="5A5359E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- rozdzielnia ( brak oznaczenia) w części dobudowanej -  (wejście dolne do obiektu przy windzie)</w:t>
      </w:r>
    </w:p>
    <w:p w14:paraId="4AADACA4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- możliwość techniczna podłączenia w rozdzielni NN gdzie zamontowany jest agregat prądotwórczy - decyzja wykonawcy po wizji lokalnej. Jednak połączenia z obiektami rozdzielni NN musiałyby być wykonane kablem ziemnym lub przewieszka.</w:t>
      </w:r>
    </w:p>
    <w:p w14:paraId="03C4FDBA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</w:p>
    <w:p w14:paraId="37467C7F" w14:textId="2A08701D" w:rsidR="003F66E5" w:rsidRPr="003F66E5" w:rsidRDefault="003F66E5" w:rsidP="003F66E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Wymagania ogólne dla komponentów instalacji</w:t>
      </w:r>
    </w:p>
    <w:p w14:paraId="2622E94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Panele PV:</w:t>
      </w:r>
    </w:p>
    <w:p w14:paraId="245B49A4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 xml:space="preserve">Długość gwarancji: 15 lat na produkt, 30 lat stałej degradacji, </w:t>
      </w:r>
    </w:p>
    <w:p w14:paraId="5D24E90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Odporność na wiatr i śnieg: Śnieg: 6000 Pa, Wiatr: 4000 Pa</w:t>
      </w:r>
    </w:p>
    <w:p w14:paraId="6C0D74B5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Współczynnik temperaturowy mocy [P max]: -0.290 %/°C</w:t>
      </w:r>
    </w:p>
    <w:p w14:paraId="5B432D8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</w:p>
    <w:p w14:paraId="3B376658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Falownik</w:t>
      </w:r>
    </w:p>
    <w:p w14:paraId="575E1BED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Gwarancja fabryczna: nie mniej niż 5 lat gwarancji</w:t>
      </w:r>
    </w:p>
    <w:p w14:paraId="50624AC2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Funkcja wykrywania łuku elektrycznego: tak</w:t>
      </w:r>
    </w:p>
    <w:p w14:paraId="65DAD163" w14:textId="77777777" w:rsidR="003F66E5" w:rsidRPr="003F66E5" w:rsidRDefault="003F66E5" w:rsidP="003F66E5">
      <w:pPr>
        <w:pStyle w:val="Akapitzlist"/>
        <w:spacing w:line="276" w:lineRule="auto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Stopień ochrony IP: nie mniej niż IP65</w:t>
      </w:r>
    </w:p>
    <w:p w14:paraId="340D60C7" w14:textId="169FA5CC" w:rsidR="003F66E5" w:rsidRDefault="003F66E5" w:rsidP="003F66E5">
      <w:pPr>
        <w:pStyle w:val="Akapitzlist"/>
        <w:spacing w:line="276" w:lineRule="auto"/>
        <w:ind w:left="0" w:firstLine="709"/>
        <w:jc w:val="both"/>
        <w:rPr>
          <w:rFonts w:asciiTheme="majorHAnsi" w:hAnsiTheme="majorHAnsi" w:cs="Calibri Light"/>
        </w:rPr>
      </w:pPr>
      <w:r w:rsidRPr="003F66E5">
        <w:rPr>
          <w:rFonts w:asciiTheme="majorHAnsi" w:hAnsiTheme="majorHAnsi" w:cs="Calibri Light"/>
        </w:rPr>
        <w:t>Europejska sprawność ważona: nie mniej niż 96,7%</w:t>
      </w:r>
    </w:p>
    <w:p w14:paraId="2B02627A" w14:textId="77777777" w:rsidR="003F66E5" w:rsidRDefault="003F66E5" w:rsidP="00312550">
      <w:pPr>
        <w:pStyle w:val="Akapitzlist"/>
        <w:spacing w:line="276" w:lineRule="auto"/>
        <w:ind w:left="0"/>
        <w:jc w:val="both"/>
        <w:rPr>
          <w:rFonts w:asciiTheme="majorHAnsi" w:hAnsiTheme="majorHAnsi" w:cs="Calibri Light"/>
        </w:rPr>
      </w:pPr>
    </w:p>
    <w:p w14:paraId="3779AA0B" w14:textId="77777777" w:rsidR="003F66E5" w:rsidRPr="00312550" w:rsidRDefault="003F66E5" w:rsidP="00312550">
      <w:pPr>
        <w:pStyle w:val="Akapitzlist"/>
        <w:spacing w:line="276" w:lineRule="auto"/>
        <w:ind w:left="0"/>
        <w:jc w:val="both"/>
        <w:rPr>
          <w:rFonts w:asciiTheme="majorHAnsi" w:hAnsiTheme="majorHAnsi"/>
        </w:rPr>
      </w:pPr>
    </w:p>
    <w:p w14:paraId="0B20FCC3" w14:textId="77777777" w:rsidR="00D80D20" w:rsidRPr="003F66E5" w:rsidRDefault="003B54D4" w:rsidP="003F66E5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Theme="majorHAnsi" w:hAnsiTheme="majorHAnsi" w:cs="Calibri Light"/>
        </w:rPr>
      </w:pPr>
      <w:r w:rsidRPr="00312550">
        <w:rPr>
          <w:rFonts w:asciiTheme="majorHAnsi" w:hAnsiTheme="majorHAnsi" w:cs="Calibri Light"/>
        </w:rPr>
        <w:lastRenderedPageBreak/>
        <w:t>Wszystkie zastosowane – wymienione lub zainstalowane elementy i urządzenia muszą być fabrycznie nowe oraz będą posiadać niezbędne deklaracje zgodności i poświadczenia jakości.</w:t>
      </w:r>
    </w:p>
    <w:p w14:paraId="0B8D81FA" w14:textId="77777777" w:rsidR="00D80D20" w:rsidRPr="003F66E5" w:rsidRDefault="003B54D4" w:rsidP="003F66E5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Theme="majorHAnsi" w:hAnsiTheme="majorHAnsi" w:cs="Calibri Light"/>
        </w:rPr>
      </w:pPr>
      <w:r w:rsidRPr="00312550">
        <w:rPr>
          <w:rFonts w:asciiTheme="majorHAnsi" w:hAnsiTheme="majorHAnsi" w:cs="Calibri Light"/>
        </w:rPr>
        <w:t>Wykonawca wykona wszystkie prace będące przedmiotem zamówienia zgodnie z aktualnie obowiązującymi przepisami i normami.</w:t>
      </w:r>
    </w:p>
    <w:p w14:paraId="370B32D1" w14:textId="7FD2780B" w:rsidR="00D80D20" w:rsidRPr="003F66E5" w:rsidRDefault="003B54D4" w:rsidP="003F66E5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Theme="majorHAnsi" w:hAnsiTheme="majorHAnsi" w:cs="Calibri Light"/>
        </w:rPr>
      </w:pPr>
      <w:r w:rsidRPr="00312550">
        <w:rPr>
          <w:rFonts w:asciiTheme="majorHAnsi" w:hAnsiTheme="majorHAnsi" w:cs="Calibri Light"/>
        </w:rPr>
        <w:t xml:space="preserve">W ramach udzielonej gwarancji wykonawca zapewnia wszystkie czynności mające na celu utrzymanie </w:t>
      </w:r>
      <w:r w:rsidR="003F66E5">
        <w:rPr>
          <w:rFonts w:asciiTheme="majorHAnsi" w:hAnsiTheme="majorHAnsi" w:cs="Calibri Light"/>
        </w:rPr>
        <w:t>instalacji</w:t>
      </w:r>
      <w:r w:rsidRPr="00312550">
        <w:rPr>
          <w:rFonts w:asciiTheme="majorHAnsi" w:hAnsiTheme="majorHAnsi" w:cs="Calibri Light"/>
        </w:rPr>
        <w:t xml:space="preserve"> w ruchu (w tym konserwacja, naprawy, utrzymanie serwisu) zgodnie z aktualnie obowiązującymi przepisami.</w:t>
      </w:r>
    </w:p>
    <w:sectPr w:rsidR="00D80D20" w:rsidRPr="003F66E5" w:rsidSect="00312550">
      <w:footerReference w:type="default" r:id="rId7"/>
      <w:pgSz w:w="11906" w:h="16838"/>
      <w:pgMar w:top="993" w:right="1274" w:bottom="1134" w:left="1276" w:header="0" w:footer="3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FE570" w14:textId="77777777" w:rsidR="008F42C9" w:rsidRDefault="008F42C9" w:rsidP="00312550">
      <w:pPr>
        <w:spacing w:after="0" w:line="240" w:lineRule="auto"/>
      </w:pPr>
      <w:r>
        <w:separator/>
      </w:r>
    </w:p>
  </w:endnote>
  <w:endnote w:type="continuationSeparator" w:id="0">
    <w:p w14:paraId="1C86CA5E" w14:textId="77777777" w:rsidR="008F42C9" w:rsidRDefault="008F42C9" w:rsidP="0031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8"/>
        <w:szCs w:val="18"/>
      </w:rPr>
      <w:id w:val="916516777"/>
      <w:docPartObj>
        <w:docPartGallery w:val="Page Numbers (Bottom of Page)"/>
        <w:docPartUnique/>
      </w:docPartObj>
    </w:sdtPr>
    <w:sdtContent>
      <w:p w14:paraId="24906264" w14:textId="3284942E" w:rsidR="00312550" w:rsidRPr="00312550" w:rsidRDefault="00312550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312550">
          <w:rPr>
            <w:rFonts w:asciiTheme="majorHAnsi" w:eastAsiaTheme="majorEastAsia" w:hAnsiTheme="majorHAnsi" w:cstheme="majorBidi"/>
            <w:sz w:val="18"/>
            <w:szCs w:val="18"/>
          </w:rPr>
          <w:t xml:space="preserve"> </w:t>
        </w:r>
        <w:r w:rsidRPr="00312550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312550">
          <w:rPr>
            <w:sz w:val="18"/>
            <w:szCs w:val="18"/>
          </w:rPr>
          <w:instrText>PAGE    \* MERGEFORMAT</w:instrText>
        </w:r>
        <w:r w:rsidRPr="00312550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Pr="00312550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312550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4FD159DC" w14:textId="77777777" w:rsidR="00312550" w:rsidRPr="00312550" w:rsidRDefault="00312550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B02C3" w14:textId="77777777" w:rsidR="008F42C9" w:rsidRDefault="008F42C9" w:rsidP="00312550">
      <w:pPr>
        <w:spacing w:after="0" w:line="240" w:lineRule="auto"/>
      </w:pPr>
      <w:r>
        <w:separator/>
      </w:r>
    </w:p>
  </w:footnote>
  <w:footnote w:type="continuationSeparator" w:id="0">
    <w:p w14:paraId="4A9C0734" w14:textId="77777777" w:rsidR="008F42C9" w:rsidRDefault="008F42C9" w:rsidP="00312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08D2"/>
    <w:multiLevelType w:val="multilevel"/>
    <w:tmpl w:val="4678B72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33333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6E0410"/>
    <w:multiLevelType w:val="multilevel"/>
    <w:tmpl w:val="0D0287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2463856"/>
    <w:multiLevelType w:val="hybridMultilevel"/>
    <w:tmpl w:val="DF58E660"/>
    <w:lvl w:ilvl="0" w:tplc="AA8406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E2ACC"/>
    <w:multiLevelType w:val="multilevel"/>
    <w:tmpl w:val="05B084E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9BE3F62"/>
    <w:multiLevelType w:val="multilevel"/>
    <w:tmpl w:val="87506A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68A3F54"/>
    <w:multiLevelType w:val="multilevel"/>
    <w:tmpl w:val="723E3A5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242182D"/>
    <w:multiLevelType w:val="multilevel"/>
    <w:tmpl w:val="78E6A2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EBA00E4"/>
    <w:multiLevelType w:val="hybridMultilevel"/>
    <w:tmpl w:val="9A38BF56"/>
    <w:lvl w:ilvl="0" w:tplc="B7D87DB4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9259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5290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1A38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80CA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D256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105F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E836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E24F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0F0A34"/>
    <w:multiLevelType w:val="multilevel"/>
    <w:tmpl w:val="3EDA87D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33333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ADE5896"/>
    <w:multiLevelType w:val="hybridMultilevel"/>
    <w:tmpl w:val="F2706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843779">
    <w:abstractNumId w:val="5"/>
  </w:num>
  <w:num w:numId="2" w16cid:durableId="393159291">
    <w:abstractNumId w:val="3"/>
  </w:num>
  <w:num w:numId="3" w16cid:durableId="1453133035">
    <w:abstractNumId w:val="8"/>
  </w:num>
  <w:num w:numId="4" w16cid:durableId="180314211">
    <w:abstractNumId w:val="0"/>
  </w:num>
  <w:num w:numId="5" w16cid:durableId="601375176">
    <w:abstractNumId w:val="6"/>
  </w:num>
  <w:num w:numId="6" w16cid:durableId="136261895">
    <w:abstractNumId w:val="1"/>
  </w:num>
  <w:num w:numId="7" w16cid:durableId="902984440">
    <w:abstractNumId w:val="7"/>
  </w:num>
  <w:num w:numId="8" w16cid:durableId="729572359">
    <w:abstractNumId w:val="2"/>
  </w:num>
  <w:num w:numId="9" w16cid:durableId="1114209561">
    <w:abstractNumId w:val="4"/>
  </w:num>
  <w:num w:numId="10" w16cid:durableId="17655686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20"/>
    <w:rsid w:val="000B5F66"/>
    <w:rsid w:val="00290DFD"/>
    <w:rsid w:val="00312550"/>
    <w:rsid w:val="00347CA5"/>
    <w:rsid w:val="0038269B"/>
    <w:rsid w:val="003B54D4"/>
    <w:rsid w:val="003F2278"/>
    <w:rsid w:val="003F66E5"/>
    <w:rsid w:val="005F3FCA"/>
    <w:rsid w:val="00632B13"/>
    <w:rsid w:val="006D46AE"/>
    <w:rsid w:val="00787BE0"/>
    <w:rsid w:val="00796E96"/>
    <w:rsid w:val="008F42C9"/>
    <w:rsid w:val="0091600D"/>
    <w:rsid w:val="00932006"/>
    <w:rsid w:val="00955A65"/>
    <w:rsid w:val="00A43D70"/>
    <w:rsid w:val="00A86538"/>
    <w:rsid w:val="00B2195B"/>
    <w:rsid w:val="00B90378"/>
    <w:rsid w:val="00B91CE4"/>
    <w:rsid w:val="00CB6232"/>
    <w:rsid w:val="00CF009B"/>
    <w:rsid w:val="00CF5471"/>
    <w:rsid w:val="00D80D20"/>
    <w:rsid w:val="00DC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F8982"/>
  <w15:docId w15:val="{7EEC346A-7E44-4A5B-94E6-110C1DC7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ED2"/>
    <w:pPr>
      <w:spacing w:after="160" w:line="254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624ED2"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Tekstpodstawowy"/>
    <w:qFormat/>
    <w:rsid w:val="00624ED2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624ED2"/>
    <w:rPr>
      <w:rFonts w:ascii="Symbol" w:hAnsi="Symbol" w:cs="Symbol"/>
      <w:sz w:val="24"/>
      <w:szCs w:val="24"/>
    </w:rPr>
  </w:style>
  <w:style w:type="character" w:customStyle="1" w:styleId="WW8Num1z1">
    <w:name w:val="WW8Num1z1"/>
    <w:qFormat/>
    <w:rsid w:val="00624ED2"/>
    <w:rPr>
      <w:rFonts w:ascii="Courier New" w:hAnsi="Courier New" w:cs="Courier New"/>
    </w:rPr>
  </w:style>
  <w:style w:type="character" w:customStyle="1" w:styleId="WW8Num1z2">
    <w:name w:val="WW8Num1z2"/>
    <w:qFormat/>
    <w:rsid w:val="00624ED2"/>
    <w:rPr>
      <w:rFonts w:ascii="Wingdings" w:hAnsi="Wingdings" w:cs="Wingdings"/>
    </w:rPr>
  </w:style>
  <w:style w:type="character" w:customStyle="1" w:styleId="WW8Num2z0">
    <w:name w:val="WW8Num2z0"/>
    <w:qFormat/>
    <w:rsid w:val="00624ED2"/>
    <w:rPr>
      <w:rFonts w:ascii="Symbol" w:hAnsi="Symbol" w:cs="Symbol"/>
      <w:color w:val="333333"/>
      <w:sz w:val="24"/>
      <w:szCs w:val="24"/>
      <w:shd w:val="clear" w:color="auto" w:fill="FFFFFF"/>
    </w:rPr>
  </w:style>
  <w:style w:type="character" w:customStyle="1" w:styleId="WW8Num2z1">
    <w:name w:val="WW8Num2z1"/>
    <w:qFormat/>
    <w:rsid w:val="00624ED2"/>
    <w:rPr>
      <w:rFonts w:ascii="Courier New" w:hAnsi="Courier New" w:cs="Courier New"/>
    </w:rPr>
  </w:style>
  <w:style w:type="character" w:customStyle="1" w:styleId="WW8Num2z2">
    <w:name w:val="WW8Num2z2"/>
    <w:qFormat/>
    <w:rsid w:val="00624ED2"/>
    <w:rPr>
      <w:rFonts w:ascii="Wingdings" w:hAnsi="Wingdings" w:cs="Wingdings"/>
    </w:rPr>
  </w:style>
  <w:style w:type="character" w:customStyle="1" w:styleId="WW8Num3z0">
    <w:name w:val="WW8Num3z0"/>
    <w:qFormat/>
    <w:rsid w:val="00624ED2"/>
    <w:rPr>
      <w:rFonts w:ascii="Symbol" w:hAnsi="Symbol" w:cs="Symbol"/>
    </w:rPr>
  </w:style>
  <w:style w:type="character" w:customStyle="1" w:styleId="WW8Num3z1">
    <w:name w:val="WW8Num3z1"/>
    <w:qFormat/>
    <w:rsid w:val="00624ED2"/>
    <w:rPr>
      <w:rFonts w:ascii="Courier New" w:hAnsi="Courier New" w:cs="Courier New"/>
    </w:rPr>
  </w:style>
  <w:style w:type="character" w:customStyle="1" w:styleId="WW8Num3z2">
    <w:name w:val="WW8Num3z2"/>
    <w:qFormat/>
    <w:rsid w:val="00624ED2"/>
    <w:rPr>
      <w:rFonts w:ascii="Wingdings" w:hAnsi="Wingdings" w:cs="Wingdings"/>
    </w:rPr>
  </w:style>
  <w:style w:type="character" w:customStyle="1" w:styleId="WW8Num4z0">
    <w:name w:val="WW8Num4z0"/>
    <w:qFormat/>
    <w:rsid w:val="00624ED2"/>
    <w:rPr>
      <w:rFonts w:ascii="Symbol" w:hAnsi="Symbol" w:cs="Symbol"/>
      <w:color w:val="333333"/>
      <w:sz w:val="24"/>
      <w:szCs w:val="24"/>
      <w:shd w:val="clear" w:color="auto" w:fill="FFFFFF"/>
    </w:rPr>
  </w:style>
  <w:style w:type="character" w:customStyle="1" w:styleId="WW8Num4z1">
    <w:name w:val="WW8Num4z1"/>
    <w:qFormat/>
    <w:rsid w:val="00624ED2"/>
    <w:rPr>
      <w:rFonts w:ascii="Courier New" w:hAnsi="Courier New" w:cs="Courier New"/>
    </w:rPr>
  </w:style>
  <w:style w:type="character" w:customStyle="1" w:styleId="WW8Num4z2">
    <w:name w:val="WW8Num4z2"/>
    <w:qFormat/>
    <w:rsid w:val="00624ED2"/>
    <w:rPr>
      <w:rFonts w:ascii="Wingdings" w:hAnsi="Wingdings" w:cs="Wingdings"/>
    </w:rPr>
  </w:style>
  <w:style w:type="character" w:customStyle="1" w:styleId="WW8Num5z0">
    <w:name w:val="WW8Num5z0"/>
    <w:qFormat/>
    <w:rsid w:val="00624ED2"/>
    <w:rPr>
      <w:rFonts w:ascii="Symbol" w:hAnsi="Symbol" w:cs="Symbol"/>
    </w:rPr>
  </w:style>
  <w:style w:type="character" w:customStyle="1" w:styleId="WW8Num5z1">
    <w:name w:val="WW8Num5z1"/>
    <w:qFormat/>
    <w:rsid w:val="00624ED2"/>
    <w:rPr>
      <w:rFonts w:ascii="Courier New" w:hAnsi="Courier New" w:cs="Courier New"/>
    </w:rPr>
  </w:style>
  <w:style w:type="character" w:customStyle="1" w:styleId="WW8Num5z2">
    <w:name w:val="WW8Num5z2"/>
    <w:qFormat/>
    <w:rsid w:val="00624ED2"/>
    <w:rPr>
      <w:rFonts w:ascii="Wingdings" w:hAnsi="Wingdings" w:cs="Wingdings"/>
    </w:rPr>
  </w:style>
  <w:style w:type="character" w:customStyle="1" w:styleId="WW8Num6z0">
    <w:name w:val="WW8Num6z0"/>
    <w:qFormat/>
    <w:rsid w:val="00624ED2"/>
    <w:rPr>
      <w:rFonts w:ascii="Symbol" w:hAnsi="Symbol" w:cs="Symbol"/>
    </w:rPr>
  </w:style>
  <w:style w:type="character" w:customStyle="1" w:styleId="WW8Num6z1">
    <w:name w:val="WW8Num6z1"/>
    <w:qFormat/>
    <w:rsid w:val="00624ED2"/>
    <w:rPr>
      <w:rFonts w:ascii="Courier New" w:hAnsi="Courier New" w:cs="Courier New"/>
    </w:rPr>
  </w:style>
  <w:style w:type="character" w:customStyle="1" w:styleId="WW8Num6z2">
    <w:name w:val="WW8Num6z2"/>
    <w:qFormat/>
    <w:rsid w:val="00624ED2"/>
    <w:rPr>
      <w:rFonts w:ascii="Wingdings" w:hAnsi="Wingdings" w:cs="Wingdings"/>
    </w:rPr>
  </w:style>
  <w:style w:type="character" w:customStyle="1" w:styleId="WW8Num7z0">
    <w:name w:val="WW8Num7z0"/>
    <w:qFormat/>
    <w:rsid w:val="00624ED2"/>
    <w:rPr>
      <w:rFonts w:ascii="Calibri Light" w:hAnsi="Calibri Light" w:cs="Calibri Light"/>
      <w:sz w:val="24"/>
      <w:szCs w:val="24"/>
    </w:rPr>
  </w:style>
  <w:style w:type="character" w:customStyle="1" w:styleId="WW8Num7z1">
    <w:name w:val="WW8Num7z1"/>
    <w:qFormat/>
    <w:rsid w:val="00624ED2"/>
  </w:style>
  <w:style w:type="character" w:customStyle="1" w:styleId="WW8Num7z2">
    <w:name w:val="WW8Num7z2"/>
    <w:qFormat/>
    <w:rsid w:val="00624ED2"/>
  </w:style>
  <w:style w:type="character" w:customStyle="1" w:styleId="WW8Num7z3">
    <w:name w:val="WW8Num7z3"/>
    <w:qFormat/>
    <w:rsid w:val="00624ED2"/>
  </w:style>
  <w:style w:type="character" w:customStyle="1" w:styleId="WW8Num7z4">
    <w:name w:val="WW8Num7z4"/>
    <w:qFormat/>
    <w:rsid w:val="00624ED2"/>
  </w:style>
  <w:style w:type="character" w:customStyle="1" w:styleId="WW8Num7z5">
    <w:name w:val="WW8Num7z5"/>
    <w:qFormat/>
    <w:rsid w:val="00624ED2"/>
  </w:style>
  <w:style w:type="character" w:customStyle="1" w:styleId="WW8Num7z6">
    <w:name w:val="WW8Num7z6"/>
    <w:qFormat/>
    <w:rsid w:val="00624ED2"/>
  </w:style>
  <w:style w:type="character" w:customStyle="1" w:styleId="WW8Num7z7">
    <w:name w:val="WW8Num7z7"/>
    <w:qFormat/>
    <w:rsid w:val="00624ED2"/>
  </w:style>
  <w:style w:type="character" w:customStyle="1" w:styleId="WW8Num7z8">
    <w:name w:val="WW8Num7z8"/>
    <w:qFormat/>
    <w:rsid w:val="00624ED2"/>
  </w:style>
  <w:style w:type="character" w:customStyle="1" w:styleId="Domylnaczcionkaakapitu1">
    <w:name w:val="Domyślna czcionka akapitu1"/>
    <w:qFormat/>
    <w:rsid w:val="00624ED2"/>
  </w:style>
  <w:style w:type="character" w:customStyle="1" w:styleId="Nagwek2Znak">
    <w:name w:val="Nagłówek 2 Znak"/>
    <w:qFormat/>
    <w:rsid w:val="00624ED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ipercze">
    <w:name w:val="Hyperlink"/>
    <w:rsid w:val="00624ED2"/>
    <w:rPr>
      <w:color w:val="0000FF"/>
      <w:u w:val="single"/>
    </w:rPr>
  </w:style>
  <w:style w:type="character" w:customStyle="1" w:styleId="ZagicieodgryformularzaZnak">
    <w:name w:val="Zagięcie od góry formularza Znak"/>
    <w:qFormat/>
    <w:rsid w:val="00624ED2"/>
    <w:rPr>
      <w:rFonts w:ascii="Arial" w:eastAsia="Times New Roman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qFormat/>
    <w:rsid w:val="00624ED2"/>
    <w:rPr>
      <w:rFonts w:ascii="Arial" w:eastAsia="Times New Roman" w:hAnsi="Arial" w:cs="Arial"/>
      <w:vanish/>
      <w:sz w:val="16"/>
      <w:szCs w:val="16"/>
    </w:rPr>
  </w:style>
  <w:style w:type="character" w:customStyle="1" w:styleId="aq14fc">
    <w:name w:val="aq14fc"/>
    <w:basedOn w:val="Domylnaczcionkaakapitu1"/>
    <w:qFormat/>
    <w:rsid w:val="00624ED2"/>
  </w:style>
  <w:style w:type="character" w:customStyle="1" w:styleId="hqzqac">
    <w:name w:val="hqzqac"/>
    <w:basedOn w:val="Domylnaczcionkaakapitu1"/>
    <w:qFormat/>
    <w:rsid w:val="00624ED2"/>
  </w:style>
  <w:style w:type="character" w:customStyle="1" w:styleId="yhemcb">
    <w:name w:val="yhemcb"/>
    <w:basedOn w:val="Domylnaczcionkaakapitu1"/>
    <w:qFormat/>
    <w:rsid w:val="00624ED2"/>
  </w:style>
  <w:style w:type="character" w:customStyle="1" w:styleId="d2awrb">
    <w:name w:val="d2awrb"/>
    <w:basedOn w:val="Domylnaczcionkaakapitu1"/>
    <w:qFormat/>
    <w:rsid w:val="00624ED2"/>
  </w:style>
  <w:style w:type="character" w:customStyle="1" w:styleId="w8qarf">
    <w:name w:val="w8qarf"/>
    <w:basedOn w:val="Domylnaczcionkaakapitu1"/>
    <w:qFormat/>
    <w:rsid w:val="00624ED2"/>
  </w:style>
  <w:style w:type="character" w:customStyle="1" w:styleId="lrzxr">
    <w:name w:val="lrzxr"/>
    <w:basedOn w:val="Domylnaczcionkaakapitu1"/>
    <w:qFormat/>
    <w:rsid w:val="00624ED2"/>
  </w:style>
  <w:style w:type="character" w:customStyle="1" w:styleId="jjswrd">
    <w:name w:val="jjswrd"/>
    <w:basedOn w:val="Domylnaczcionkaakapitu1"/>
    <w:qFormat/>
    <w:rsid w:val="00624ED2"/>
  </w:style>
  <w:style w:type="character" w:customStyle="1" w:styleId="wowtd">
    <w:name w:val="wowtd"/>
    <w:basedOn w:val="Domylnaczcionkaakapitu1"/>
    <w:qFormat/>
    <w:rsid w:val="00624ED2"/>
  </w:style>
  <w:style w:type="character" w:styleId="Pogrubienie">
    <w:name w:val="Strong"/>
    <w:qFormat/>
    <w:rsid w:val="00624ED2"/>
    <w:rPr>
      <w:b/>
      <w:bCs/>
    </w:rPr>
  </w:style>
  <w:style w:type="character" w:customStyle="1" w:styleId="Nagwek1Znak">
    <w:name w:val="Nagłówek 1 Znak"/>
    <w:qFormat/>
    <w:rsid w:val="00624ED2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24ED2"/>
    <w:pPr>
      <w:spacing w:after="140" w:line="276" w:lineRule="auto"/>
    </w:pPr>
  </w:style>
  <w:style w:type="paragraph" w:styleId="Lista">
    <w:name w:val="List"/>
    <w:basedOn w:val="Tekstpodstawowy"/>
    <w:rsid w:val="00624ED2"/>
    <w:rPr>
      <w:rFonts w:cs="Arial Unicode MS"/>
    </w:rPr>
  </w:style>
  <w:style w:type="paragraph" w:styleId="Legenda">
    <w:name w:val="caption"/>
    <w:basedOn w:val="Normalny"/>
    <w:qFormat/>
    <w:rsid w:val="00624ED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24ED2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624ED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Zagicieodgryformularza">
    <w:name w:val="HTML Top of Form"/>
    <w:basedOn w:val="Normalny"/>
    <w:next w:val="Normalny"/>
    <w:qFormat/>
    <w:rsid w:val="00624ED2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qFormat/>
    <w:rsid w:val="00624ED2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Akapitzlist">
    <w:name w:val="List Paragraph"/>
    <w:basedOn w:val="Normalny"/>
    <w:uiPriority w:val="34"/>
    <w:qFormat/>
    <w:rsid w:val="00624ED2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624ED2"/>
    <w:pPr>
      <w:suppressLineNumbers/>
    </w:pPr>
  </w:style>
  <w:style w:type="paragraph" w:customStyle="1" w:styleId="Nagwektabeli">
    <w:name w:val="Nagłówek tabeli"/>
    <w:basedOn w:val="Zawartotabeli"/>
    <w:qFormat/>
    <w:rsid w:val="00624ED2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312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550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1424</Words>
  <Characters>8544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Kasperowski</dc:creator>
  <dc:description/>
  <cp:lastModifiedBy>Piotr Budny</cp:lastModifiedBy>
  <cp:revision>9</cp:revision>
  <cp:lastPrinted>1995-11-21T16:41:00Z</cp:lastPrinted>
  <dcterms:created xsi:type="dcterms:W3CDTF">2024-09-13T21:48:00Z</dcterms:created>
  <dcterms:modified xsi:type="dcterms:W3CDTF">2025-04-11T17:39:00Z</dcterms:modified>
  <dc:language>pl-PL</dc:language>
</cp:coreProperties>
</file>