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77777777"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1.1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1CF062F7" w14:textId="1A9553F5" w:rsidR="008B1DFA" w:rsidRPr="00B81AA1" w:rsidRDefault="008B1DFA" w:rsidP="008B1DFA">
      <w:pPr>
        <w:rPr>
          <w:rFonts w:cs="Calibri"/>
          <w:b/>
          <w:bCs/>
          <w:color w:val="FF0000"/>
          <w:kern w:val="36"/>
          <w:lang w:eastAsia="pl-PL"/>
        </w:rPr>
      </w:pPr>
      <w:r w:rsidRPr="00B81AA1">
        <w:rPr>
          <w:rFonts w:cs="Calibri"/>
        </w:rPr>
        <w:t xml:space="preserve">Wykonanie kompletnej dokumentacji projektowej, dokumentacji powykonawczej oraz wykonanie robót budowlanych polegających na rozbiórce nawierzchni utwardzonej wraz z podbudową, zastąpieniu jej ziemią urodzajną oraz wykonanie nasadzeń we wskazanej lokalizacji objętej realizacją części projektu </w:t>
      </w:r>
      <w:r w:rsidRPr="00B81AA1">
        <w:rPr>
          <w:rFonts w:cs="Calibri"/>
          <w:b/>
          <w:bCs/>
        </w:rPr>
        <w:t>BO nr 105 na 2025 rok pn. ”Więcej zieleni, mniej betonu przy ulicach Ursusa”.</w:t>
      </w:r>
    </w:p>
    <w:p w14:paraId="4D1167C2" w14:textId="77777777" w:rsidR="008B1DFA" w:rsidRPr="00B81AA1" w:rsidRDefault="008B1DFA" w:rsidP="00B84B04">
      <w:pPr>
        <w:spacing w:before="100" w:beforeAutospacing="1" w:after="0" w:line="276" w:lineRule="auto"/>
        <w:rPr>
          <w:rFonts w:cs="Calibri"/>
          <w:b/>
        </w:rPr>
      </w:pPr>
      <w:r w:rsidRPr="00B81AA1">
        <w:rPr>
          <w:rFonts w:cs="Calibri"/>
          <w:b/>
        </w:rPr>
        <w:t>ADRES REALIZACJI:</w:t>
      </w:r>
    </w:p>
    <w:p w14:paraId="2FC66900" w14:textId="77777777" w:rsidR="008B1DFA" w:rsidRPr="00B81AA1" w:rsidRDefault="008B1DFA" w:rsidP="008B1DFA">
      <w:pPr>
        <w:numPr>
          <w:ilvl w:val="0"/>
          <w:numId w:val="13"/>
        </w:numPr>
        <w:spacing w:after="0" w:line="276" w:lineRule="auto"/>
        <w:rPr>
          <w:rFonts w:cs="Calibri"/>
        </w:rPr>
      </w:pPr>
      <w:r w:rsidRPr="00B81AA1">
        <w:rPr>
          <w:rFonts w:cs="Calibri"/>
        </w:rPr>
        <w:t xml:space="preserve">Rondo T. </w:t>
      </w:r>
      <w:proofErr w:type="spellStart"/>
      <w:r w:rsidRPr="00B81AA1">
        <w:rPr>
          <w:rFonts w:cs="Calibri"/>
        </w:rPr>
        <w:t>Kifera</w:t>
      </w:r>
      <w:proofErr w:type="spellEnd"/>
      <w:r w:rsidRPr="00B81AA1">
        <w:rPr>
          <w:rFonts w:cs="Calibri"/>
        </w:rPr>
        <w:t xml:space="preserve"> „Kruszynki”, skrzyżowanie ul. </w:t>
      </w:r>
      <w:proofErr w:type="spellStart"/>
      <w:r w:rsidRPr="00B81AA1">
        <w:rPr>
          <w:rFonts w:cs="Calibri"/>
        </w:rPr>
        <w:t>Cierlickiej</w:t>
      </w:r>
      <w:proofErr w:type="spellEnd"/>
      <w:r w:rsidRPr="00B81AA1">
        <w:rPr>
          <w:rFonts w:cs="Calibri"/>
        </w:rPr>
        <w:t xml:space="preserve"> z ul. T. Kościuszki, dz. ew. nr 87/23, 87/24, 27/25 i 87/26 z obrębu 21106, dzielnica Ursus, Warszawa.</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1AAA8F6D" w14:textId="77777777" w:rsidR="008B1DFA" w:rsidRPr="00B81AA1" w:rsidRDefault="008B1DFA" w:rsidP="00B84B04">
      <w:pPr>
        <w:spacing w:after="0" w:line="276" w:lineRule="auto"/>
        <w:rPr>
          <w:rFonts w:cs="Calibri"/>
        </w:rPr>
      </w:pPr>
      <w:r w:rsidRPr="00B81AA1">
        <w:rPr>
          <w:rFonts w:cs="Calibri"/>
        </w:rPr>
        <w:t>71220000-6 Usługi projektowania architektonicznego</w:t>
      </w:r>
    </w:p>
    <w:p w14:paraId="1C4D0BA9" w14:textId="77777777" w:rsidR="008B1DFA" w:rsidRPr="00B81AA1" w:rsidRDefault="008B1DFA" w:rsidP="00B84B04">
      <w:pPr>
        <w:spacing w:before="120" w:after="0" w:line="276" w:lineRule="auto"/>
        <w:rPr>
          <w:rFonts w:cs="Calibri"/>
          <w:b/>
        </w:rPr>
      </w:pPr>
      <w:r w:rsidRPr="00B81AA1">
        <w:rPr>
          <w:rFonts w:cs="Calibri"/>
          <w:b/>
        </w:rPr>
        <w:t>NAZWA I ADRES INWESTORA:</w:t>
      </w:r>
    </w:p>
    <w:p w14:paraId="6EC3880C" w14:textId="6333F4A2" w:rsidR="008B1DFA" w:rsidRPr="00B81AA1" w:rsidRDefault="008B1DFA" w:rsidP="008B1DFA">
      <w:pPr>
        <w:spacing w:line="276" w:lineRule="auto"/>
        <w:rPr>
          <w:rFonts w:cs="Calibri"/>
        </w:rPr>
      </w:pPr>
      <w:r w:rsidRPr="00B81AA1">
        <w:rPr>
          <w:rFonts w:cs="Calibri"/>
        </w:rPr>
        <w:t>Zamawiający: Miasto st. Warszawa Plac Bankowy 3/5. 00-950 Warszawa,</w:t>
      </w:r>
      <w:r w:rsidR="00B84B04">
        <w:rPr>
          <w:rFonts w:cs="Calibri"/>
        </w:rPr>
        <w:br/>
      </w:r>
      <w:r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02548B73" w:rsidR="00557363" w:rsidRPr="00B81AA1" w:rsidRDefault="00557363" w:rsidP="00557363">
      <w:pPr>
        <w:spacing w:line="276" w:lineRule="auto"/>
        <w:rPr>
          <w:rFonts w:cs="Calibri"/>
          <w:b/>
        </w:rPr>
      </w:pPr>
      <w:r w:rsidRPr="00B81AA1">
        <w:rPr>
          <w:rFonts w:cs="Calibri"/>
          <w:b/>
        </w:rPr>
        <w:t xml:space="preserve">I </w:t>
      </w:r>
      <w:r w:rsidR="00A1628B">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677E8442" w:rsidR="00557363" w:rsidRPr="00B81AA1" w:rsidRDefault="00557363" w:rsidP="00557363">
      <w:pPr>
        <w:spacing w:line="276" w:lineRule="auto"/>
        <w:rPr>
          <w:rFonts w:cs="Calibri"/>
          <w:b/>
        </w:rPr>
      </w:pPr>
      <w:r w:rsidRPr="00B81AA1">
        <w:rPr>
          <w:rFonts w:cs="Calibri"/>
          <w:b/>
        </w:rPr>
        <w:t>II Cz</w:t>
      </w:r>
      <w:r w:rsidR="00A82913">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4A91BB8F" w14:textId="658125E5" w:rsidR="003B2C14" w:rsidRDefault="003B2C14" w:rsidP="001C0CF8">
      <w:pPr>
        <w:rPr>
          <w:rFonts w:cs="Calibri"/>
        </w:rPr>
      </w:pPr>
    </w:p>
    <w:p w14:paraId="5DECBDBB" w14:textId="77777777" w:rsidR="002626E6" w:rsidRDefault="002626E6" w:rsidP="001C0CF8"/>
    <w:p w14:paraId="323D0CDC" w14:textId="77777777" w:rsidR="00557363" w:rsidRDefault="00557363" w:rsidP="001C0CF8"/>
    <w:p w14:paraId="3CAB6586" w14:textId="77777777" w:rsidR="00557363" w:rsidRDefault="00557363" w:rsidP="001C0CF8"/>
    <w:p w14:paraId="46BDB788" w14:textId="77777777" w:rsidR="00557363" w:rsidRDefault="00557363" w:rsidP="001C0CF8"/>
    <w:p w14:paraId="2A5A7180" w14:textId="293A86AC" w:rsidR="0017605F" w:rsidRPr="00915EFE" w:rsidRDefault="0017605F" w:rsidP="002A73A8">
      <w:pPr>
        <w:pStyle w:val="Podtytu"/>
      </w:pPr>
      <w:r w:rsidRPr="00915EFE">
        <w:lastRenderedPageBreak/>
        <w:t xml:space="preserve">I </w:t>
      </w:r>
      <w:r w:rsidR="007211F9">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0B3A2958" w14:textId="77777777" w:rsidR="0017605F" w:rsidRDefault="0017605F" w:rsidP="0017605F">
      <w:r>
        <w:t>Przedmiotem zamówienia jest wykonanie kompletnej dokumentacji projektowej umożliwiającej skuteczne uzyskanie zgłoszenia robót budowalnych w 2 egzemplarzach (w tym projektu architektoniczno-budowalnego), wykonanie, zatwierdzenie i wprowadzenie  czasowej organizacji ruchu (COR) na czas prowadzenia robót oraz wprowadzenie części sporządzonego przez ZDM projektu stałej organizacji ruchu (SOR) uwzględniającego zmiany zagospodarowania pasa drogowego. Przedmiot zamówienia obejmuje również wykonanie dokumentacji powykonawczej oraz wykonanie robót budowlanych polegających na rozbiórce nieprzepuszczalnych nawierzchni utwardzonych na uprzednio wymienionych działkach na terenie dzielnicy Ursus w m.st. Warszawie w ramach części projektu z Budżetu Obywatelskiego na 2025 rok pn.  „Więcej zieleni, mniej betonu przy ulicach Ursusa” nr 105.</w:t>
      </w:r>
    </w:p>
    <w:p w14:paraId="5150C23A" w14:textId="77777777" w:rsidR="0017605F" w:rsidRDefault="0017605F" w:rsidP="0017605F">
      <w:r>
        <w:t xml:space="preserve">Zgodnie z Przedmiotem Zamówienia na ww. nieruchomościach należy rozebrać nawierzchnię utwardzoną wraz z podbudową i zastąpić ją nowym wypełnieniem z ziemi urodzajnej oraz wykonać nasadzenia roślin. </w:t>
      </w:r>
    </w:p>
    <w:p w14:paraId="2237F9D2" w14:textId="25DE8F94" w:rsidR="0017605F" w:rsidRDefault="0017605F" w:rsidP="0017605F">
      <w:r>
        <w:t>Wykonawca w ramach Przedmiotu Zamówienia uzyska wszystkie wymagane opinie, uzgodnienia, decyzje, zgłoszenia i zatwierdzenia sporządzonej i zaakceptowanej przez Zamawiającego</w:t>
      </w:r>
      <w:r w:rsidR="00462A47">
        <w:t xml:space="preserve"> </w:t>
      </w:r>
      <w:r>
        <w:t xml:space="preserve">dokumentacji projektowej, o której mowa powyżej oraz zrealizuje roboty nią objęte. </w:t>
      </w:r>
    </w:p>
    <w:p w14:paraId="5877C375" w14:textId="6403709B" w:rsidR="0017605F" w:rsidRDefault="0017605F" w:rsidP="0017605F">
      <w:r>
        <w:t xml:space="preserve">Przedmiot i zakres zamówienia został szczegółowo opisany w rozdziale 1.4.1. Programu Funkcjonalno-Użytkowego. </w:t>
      </w:r>
    </w:p>
    <w:p w14:paraId="5507FE24" w14:textId="19236490" w:rsidR="0017605F" w:rsidRDefault="0017605F" w:rsidP="0017605F">
      <w:r>
        <w:t xml:space="preserve">Szczegółowa lokalizacja rozpłytowań przedstawiona została w punkcie 1.2.1. </w:t>
      </w:r>
    </w:p>
    <w:p w14:paraId="2EAD8D4F" w14:textId="77777777" w:rsidR="0017605F" w:rsidRDefault="0017605F" w:rsidP="008113D9">
      <w:pPr>
        <w:ind w:left="284" w:hanging="284"/>
      </w:pPr>
      <w:r>
        <w:t>Zamówienie obejmuje w szczególności:</w:t>
      </w:r>
    </w:p>
    <w:p w14:paraId="5312EE8F" w14:textId="77777777" w:rsidR="0017605F" w:rsidRDefault="0017605F" w:rsidP="006246BD">
      <w:pPr>
        <w:spacing w:after="120"/>
        <w:ind w:left="284" w:hanging="284"/>
      </w:pPr>
      <w:r>
        <w:t>•</w:t>
      </w:r>
      <w:r>
        <w:tab/>
        <w:t>wizytację w terenie i wykonanie aktualnej inwentaryzacji oraz dokumentacji fotograficznej przed przystąpieniem do wykonania projektu i rozpoczęciem robót budowlanych;</w:t>
      </w:r>
    </w:p>
    <w:p w14:paraId="1856BC24" w14:textId="77777777" w:rsidR="0017605F" w:rsidRDefault="0017605F" w:rsidP="006246BD">
      <w:pPr>
        <w:spacing w:after="120"/>
        <w:ind w:left="284" w:hanging="284"/>
      </w:pPr>
      <w:r>
        <w:t>•</w:t>
      </w:r>
      <w:r>
        <w:tab/>
        <w:t xml:space="preserve">inwentaryzację istniejącej roślinności, przy której będą prowadzone prace; </w:t>
      </w:r>
    </w:p>
    <w:p w14:paraId="527C82E6" w14:textId="77777777" w:rsidR="0017605F" w:rsidRDefault="0017605F" w:rsidP="006246BD">
      <w:pPr>
        <w:spacing w:after="120"/>
        <w:ind w:left="284" w:hanging="284"/>
      </w:pPr>
      <w:r>
        <w:t>•</w:t>
      </w:r>
      <w:r>
        <w:tab/>
        <w:t xml:space="preserve">uzyskanie materiałów wyjściowych do projektowania, w tym mapy zasadniczej; </w:t>
      </w:r>
    </w:p>
    <w:p w14:paraId="0DB698E2" w14:textId="77777777" w:rsidR="0017605F" w:rsidRDefault="0017605F" w:rsidP="006246BD">
      <w:pPr>
        <w:spacing w:after="120"/>
        <w:ind w:left="284" w:hanging="284"/>
      </w:pPr>
      <w:r>
        <w:t>•</w:t>
      </w:r>
      <w:r>
        <w:tab/>
        <w:t>opracowanie projektu budowlanego, w tym projektu zagospodarowania terenu (zawierającego projekt rozbiórek, nowego zagospodarowania przestrzeni i nasadzeń) oraz zatwierdzonych przez ZDM przekroi konstrukcyjnych nawierzchni, wraz ze wszystkimi wymaganymi uzgodnieniami, opiniami, wytycznymi - zgodnie z obowiązującymi przepisami prawa wymienionymi w punkcie 2.1 oraz 2.2. Projekt budowlany powinien zostać sporządzony w stopniu dokładności niezbędnym do prawidłowego wykonania robót budowlanych i uzyskania skutecznego zgłoszenia robót budowalnych;</w:t>
      </w:r>
    </w:p>
    <w:p w14:paraId="3113DC16" w14:textId="77777777" w:rsidR="0017605F" w:rsidRDefault="0017605F" w:rsidP="006246BD">
      <w:pPr>
        <w:spacing w:after="120"/>
        <w:ind w:left="284" w:hanging="284"/>
      </w:pPr>
      <w:r>
        <w:t>•</w:t>
      </w:r>
      <w:r>
        <w:tab/>
        <w:t>wykonanie projektu czasowej organizacji ruchu na czas prowadzenia robót w terenie,;</w:t>
      </w:r>
    </w:p>
    <w:p w14:paraId="61EF047E" w14:textId="77777777" w:rsidR="0017605F" w:rsidRDefault="0017605F" w:rsidP="006246BD">
      <w:pPr>
        <w:spacing w:after="120"/>
        <w:ind w:left="284" w:hanging="284"/>
      </w:pPr>
      <w:r>
        <w:lastRenderedPageBreak/>
        <w:t>•</w:t>
      </w:r>
      <w:r>
        <w:tab/>
        <w:t>wykonanie innych technicznych opracowani np. projektu zabezpieczenia infrastruktury podziemnej (jeśli będą wymagane);</w:t>
      </w:r>
    </w:p>
    <w:p w14:paraId="298C4113" w14:textId="77777777" w:rsidR="0017605F" w:rsidRDefault="0017605F" w:rsidP="006246BD">
      <w:pPr>
        <w:spacing w:after="120"/>
        <w:ind w:left="284" w:hanging="284"/>
      </w:pPr>
      <w:r>
        <w:t>•</w:t>
      </w:r>
      <w:r>
        <w:tab/>
        <w:t>wykonanie robót budowlanych, w tym rozbiórka nawierzchni utwardzonych w celu jej regulacji przy nowopowstałych rabatach oraz montaż elementów zagospodarowania np. wygrodzenia, ławki, stojaki rowerowe, kosze na śmieci itp. (jeśli są wymagane);</w:t>
      </w:r>
    </w:p>
    <w:p w14:paraId="04A92D94" w14:textId="77777777" w:rsidR="0017605F" w:rsidRDefault="0017605F" w:rsidP="006246BD">
      <w:pPr>
        <w:spacing w:after="120"/>
        <w:ind w:left="284" w:hanging="284"/>
      </w:pPr>
      <w:r>
        <w:t>•</w:t>
      </w:r>
      <w:r>
        <w:tab/>
        <w:t xml:space="preserve">zapewnienia nadzoru podczas wykonywania robót przez osobę posiadającą uprawnienia budowlane do kierowania robotami budowlanymi; </w:t>
      </w:r>
    </w:p>
    <w:p w14:paraId="694638AA" w14:textId="77777777" w:rsidR="0017605F" w:rsidRDefault="0017605F" w:rsidP="006246BD">
      <w:pPr>
        <w:spacing w:after="120"/>
        <w:ind w:left="284" w:hanging="284"/>
      </w:pPr>
      <w:r>
        <w:t>•</w:t>
      </w:r>
      <w:r>
        <w:tab/>
        <w:t xml:space="preserve">zapewnienia nadzoru podczas wykonywania robót przez osobę pełniącą funkcję inspektora nadzoru zieleni; </w:t>
      </w:r>
    </w:p>
    <w:p w14:paraId="75735DD9" w14:textId="49883D19" w:rsidR="0017605F" w:rsidRDefault="0017605F" w:rsidP="006246BD">
      <w:pPr>
        <w:spacing w:after="120"/>
        <w:ind w:left="284" w:hanging="284"/>
      </w:pPr>
      <w:r>
        <w:t>•</w:t>
      </w:r>
      <w:r>
        <w:tab/>
        <w:t>sprawowanie nadzoru autorskiego nad opracowaną dokumentacją projektową zgodnie z</w:t>
      </w:r>
      <w:r w:rsidR="001C4D0B">
        <w:t> </w:t>
      </w:r>
      <w:r>
        <w:t>przepisami Ustawy Prawo Budowlane oraz aktami wykonawczymi;</w:t>
      </w:r>
    </w:p>
    <w:p w14:paraId="65E43A8D" w14:textId="3DE76874" w:rsidR="0017605F" w:rsidRDefault="0017605F" w:rsidP="006246BD">
      <w:pPr>
        <w:spacing w:after="120"/>
        <w:ind w:left="284" w:hanging="284"/>
      </w:pPr>
      <w:r>
        <w:t>•</w:t>
      </w:r>
      <w:r>
        <w:tab/>
        <w:t>opracowanie dokumentacji powykonawczej wraz z inwentaryzacją geodezyjną oraz zgodnie z</w:t>
      </w:r>
      <w:r w:rsidR="001C4D0B">
        <w:t> </w:t>
      </w:r>
      <w:r>
        <w:t>Zarządzeniem Prezydenta nr 3479/2009.</w:t>
      </w:r>
    </w:p>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10B4F70E" w14:textId="5F7E08AD" w:rsidR="0017605F" w:rsidRDefault="0017605F" w:rsidP="0017605F">
      <w:r>
        <w:t>Zakres prac budowlanych obejmuje wykonanie rozbiórki nawierzchni utwardzonych wraz z podbudową, wykonanie nowych obrzeży, wykonanie zabezpieczeń sieci podziemnych (o ile występują) na podstawie uprzednio sporządzonych projektów, uzupełnienie rozpłytowanych powierzchni ziemią urodzajną, wykonanie nasadzeń, a także wprowadzenie zmian w stałej organizacji ruchu zgodnie z częścią projektu opracowanego przez ZDM, a zatwierdzonego przez Biuro Zarządzania Ruchem Drogowym, a także wykonanie wszelkich prac niezbędnych do prawidłowego wykonania zadania. Roboty budowlane muszą zostać zrealizowane w sposób zapewniający bezpieczeństwo ludzi i mienia, zgodny z obowiązującymi przepisami prawa, wymogami oraz normami, w tym między innymi:</w:t>
      </w:r>
    </w:p>
    <w:p w14:paraId="231EC948" w14:textId="3880193D" w:rsidR="0017605F" w:rsidRDefault="0017605F" w:rsidP="0055125E">
      <w:pPr>
        <w:ind w:left="284" w:hanging="284"/>
      </w:pPr>
      <w:r>
        <w:t>•</w:t>
      </w:r>
      <w:r>
        <w:tab/>
      </w:r>
      <w:r w:rsidRPr="0055125E">
        <w:t>zabezpieczenie szaty roślinnej na czas prowadzenia robót budowlanych, w tym prowadzenie robót w sposób, który nie będzie kolidować z systemami korzeniowymi istniejących drzew i ich nie uszkodzi - zgodnie z zapisami Zarządzenia nr 1911/2022 Prezydenta m.st. W-wy z dnia 30.11.2022 r. w sprawie przyjęcia standardu ochrony zieleni w procesach inwestycyjnych na terenie m.st. W</w:t>
      </w:r>
      <w:r w:rsidR="00493897" w:rsidRPr="0055125E">
        <w:t>-</w:t>
      </w:r>
      <w:r w:rsidR="007613FA" w:rsidRPr="0055125E">
        <w:t> </w:t>
      </w:r>
      <w:r w:rsidRPr="0055125E">
        <w:t>wy; Standardy ochrony zieleni w procesach inwestycyjnych na terenie m.st. Warszawy;</w:t>
      </w:r>
      <w:r>
        <w:t xml:space="preserve"> </w:t>
      </w:r>
    </w:p>
    <w:p w14:paraId="6F1CA253" w14:textId="77777777" w:rsidR="0017605F" w:rsidRDefault="0017605F" w:rsidP="006246BD">
      <w:pPr>
        <w:spacing w:after="120"/>
        <w:ind w:left="284" w:hanging="284"/>
      </w:pPr>
      <w:r>
        <w:t>•</w:t>
      </w:r>
      <w:r>
        <w:tab/>
        <w:t xml:space="preserve">prowadzenie robót budowlanych przy zachowaniu należytej odległości od istniejącej infrastruktury podziemnej i naziemnej, wykonywanie prac w pobliżu infrastruktury podziemnej pod nadzorem gestorów poszczególnych sieci (jeśli jest to wymagane); </w:t>
      </w:r>
    </w:p>
    <w:p w14:paraId="388C3BD2" w14:textId="77777777" w:rsidR="0017605F" w:rsidRDefault="0017605F" w:rsidP="006246BD">
      <w:pPr>
        <w:spacing w:after="120"/>
        <w:ind w:left="284" w:hanging="284"/>
      </w:pPr>
      <w:r>
        <w:t>•</w:t>
      </w:r>
      <w:r>
        <w:tab/>
        <w:t>prace związane z odtworzeniem istniejącej szaty roślinnej zniszczonej w trakcie prowadzonych robót budowlanych;</w:t>
      </w:r>
    </w:p>
    <w:p w14:paraId="76DFAFE4" w14:textId="77777777" w:rsidR="0017605F" w:rsidRDefault="0017605F" w:rsidP="00D3575A">
      <w:pPr>
        <w:spacing w:after="120"/>
        <w:ind w:left="284" w:hanging="284"/>
      </w:pPr>
      <w:r>
        <w:t>•</w:t>
      </w:r>
      <w:r>
        <w:tab/>
        <w:t xml:space="preserve">wykonanie innych niezbędnych prac; </w:t>
      </w:r>
    </w:p>
    <w:p w14:paraId="7E6BBE67" w14:textId="77777777" w:rsidR="0017605F" w:rsidRDefault="0017605F" w:rsidP="00D3575A">
      <w:pPr>
        <w:spacing w:after="120"/>
        <w:ind w:left="284" w:hanging="284"/>
      </w:pPr>
      <w:r>
        <w:t>•</w:t>
      </w:r>
      <w:r>
        <w:tab/>
        <w:t>uporządkowanie terenu budowy.</w:t>
      </w:r>
    </w:p>
    <w:p w14:paraId="0BD6A2A5" w14:textId="1102D1D3" w:rsidR="0017605F" w:rsidRDefault="0017605F" w:rsidP="0017605F">
      <w:r>
        <w:lastRenderedPageBreak/>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442A49F7" w14:textId="77777777" w:rsidR="0017605F" w:rsidRDefault="0017605F" w:rsidP="00AD1F84">
      <w:pPr>
        <w:pStyle w:val="Nagwek2"/>
      </w:pPr>
      <w:r>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041FDF97" w14:textId="1F6BA559" w:rsidR="0017605F" w:rsidRDefault="0017605F" w:rsidP="0017605F">
      <w:r>
        <w:t>Prace obejmują teren rozpłytowań o łącznej powierzchni ok. 37 m², lokalizacja znajduje się na terenie dzielnicy Ursus m.st. Warszawy na działkach ewidencyjnych nr 87/23, 87/24, 27/25 i 87/26 z obrębu 21106.</w:t>
      </w:r>
    </w:p>
    <w:p w14:paraId="584189E2" w14:textId="0121C70D" w:rsidR="0017605F" w:rsidRDefault="0017605F" w:rsidP="0017605F">
      <w:r>
        <w:t xml:space="preserve">Teren objęty zadaniem stanowi utwardzone rondo na skrzyżowaniu ul. </w:t>
      </w:r>
      <w:proofErr w:type="spellStart"/>
      <w:r>
        <w:t>Cierlickiej</w:t>
      </w:r>
      <w:proofErr w:type="spellEnd"/>
      <w:r>
        <w:t xml:space="preserve"> i ul. T. Kościuszki. W</w:t>
      </w:r>
      <w:r w:rsidR="00C03D66">
        <w:t> </w:t>
      </w:r>
      <w:r>
        <w:t>obszarze ronda znajdują się sieci uzbrojenia podziemnego (kanalizacja, sieć energetyczna), latarnia uliczna, właz do studzienki i donice betonowe. Teren nie jest ogrodzony.</w:t>
      </w:r>
    </w:p>
    <w:p w14:paraId="655376F2" w14:textId="77777777" w:rsidR="0017605F" w:rsidRDefault="0017605F" w:rsidP="0017605F">
      <w:r>
        <w:t>Wskazana jest wizyta w terenie przed przystąpieniem do przetargu.</w:t>
      </w:r>
    </w:p>
    <w:p w14:paraId="6556F75E" w14:textId="77777777" w:rsidR="00994427" w:rsidRDefault="00994427" w:rsidP="00994427">
      <w:pPr>
        <w:keepNext/>
      </w:pPr>
      <w:r>
        <w:rPr>
          <w:rFonts w:eastAsia="Open Sans" w:cs="Calibri"/>
          <w:noProof/>
        </w:rPr>
        <w:drawing>
          <wp:inline distT="0" distB="0" distL="0" distR="0" wp14:anchorId="0643885F" wp14:editId="29413455">
            <wp:extent cx="5760720" cy="320886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l="4793"/>
                    <a:stretch>
                      <a:fillRect/>
                    </a:stretch>
                  </pic:blipFill>
                  <pic:spPr bwMode="auto">
                    <a:xfrm>
                      <a:off x="0" y="0"/>
                      <a:ext cx="5760720" cy="3208864"/>
                    </a:xfrm>
                    <a:prstGeom prst="rect">
                      <a:avLst/>
                    </a:prstGeom>
                    <a:noFill/>
                    <a:ln>
                      <a:noFill/>
                    </a:ln>
                  </pic:spPr>
                </pic:pic>
              </a:graphicData>
            </a:graphic>
          </wp:inline>
        </w:drawing>
      </w:r>
    </w:p>
    <w:p w14:paraId="4934E416" w14:textId="63B6BB34" w:rsidR="0017605F" w:rsidRDefault="00994427" w:rsidP="00994427">
      <w:pPr>
        <w:spacing w:after="120"/>
      </w:pPr>
      <w:r>
        <w:t xml:space="preserve">Rysunek </w:t>
      </w:r>
      <w:fldSimple w:instr=" SEQ Rysunek \* ARABIC ">
        <w:r>
          <w:rPr>
            <w:noProof/>
          </w:rPr>
          <w:t>1</w:t>
        </w:r>
      </w:fldSimple>
      <w:r w:rsidRPr="00994427">
        <w:t xml:space="preserve"> </w:t>
      </w:r>
      <w:r>
        <w:t xml:space="preserve">Orientacyjna lokalizacja zakresu prac - rondo </w:t>
      </w:r>
      <w:proofErr w:type="spellStart"/>
      <w:r>
        <w:t>Kifera</w:t>
      </w:r>
      <w:proofErr w:type="spellEnd"/>
      <w:r>
        <w:t xml:space="preserve"> 'Kruszynki'</w:t>
      </w:r>
    </w:p>
    <w:p w14:paraId="0D1EF8EF" w14:textId="77777777" w:rsidR="0017605F" w:rsidRDefault="0017605F" w:rsidP="000C19F3">
      <w:pPr>
        <w:pStyle w:val="Nagwek3"/>
      </w:pPr>
      <w:r>
        <w:t>1.2.2.</w:t>
      </w:r>
      <w:r>
        <w:tab/>
        <w:t>Uwarunkowania planistyczne</w:t>
      </w:r>
    </w:p>
    <w:p w14:paraId="7840B399" w14:textId="77777777" w:rsidR="0017605F" w:rsidRDefault="0017605F" w:rsidP="0017605F">
      <w:r>
        <w:t>Przedmiot zamówienia nie leży na terenie, dla którego obowiązuje lub jest sporządzany miejscowy plan zagospodarowania przestrzennego.</w:t>
      </w:r>
    </w:p>
    <w:p w14:paraId="6536FF6C" w14:textId="77777777" w:rsidR="0017605F" w:rsidRDefault="0017605F" w:rsidP="000C19F3">
      <w:pPr>
        <w:pStyle w:val="Nagwek3"/>
      </w:pPr>
      <w:r>
        <w:t>1.2.3.</w:t>
      </w:r>
      <w:r>
        <w:tab/>
        <w:t>Uwarunkowania konserwatorskie</w:t>
      </w:r>
    </w:p>
    <w:p w14:paraId="09F1C268" w14:textId="77777777" w:rsidR="0017605F" w:rsidRDefault="0017605F" w:rsidP="0017605F">
      <w:r>
        <w:t>Przedmiot zamówienia nie znajduje się na terenie objętym formą ochrony zabytków.</w:t>
      </w:r>
    </w:p>
    <w:p w14:paraId="1ABBC00A" w14:textId="77777777" w:rsidR="0017605F" w:rsidRDefault="0017605F" w:rsidP="000C19F3">
      <w:pPr>
        <w:pStyle w:val="Nagwek3"/>
      </w:pPr>
      <w:r>
        <w:lastRenderedPageBreak/>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64D2CC65" w14:textId="77777777" w:rsidR="0017605F" w:rsidRDefault="0017605F" w:rsidP="00AD1F84">
      <w:pPr>
        <w:pStyle w:val="Nagwek2"/>
      </w:pPr>
      <w:r>
        <w:t>1.3.</w:t>
      </w:r>
      <w:r>
        <w:tab/>
        <w:t xml:space="preserve"> Ogólne </w:t>
      </w:r>
      <w:r w:rsidRPr="00AD1F84">
        <w:t>właściwości</w:t>
      </w:r>
      <w:r>
        <w:t xml:space="preserve"> funkcjonalno-użytkowe</w:t>
      </w:r>
    </w:p>
    <w:p w14:paraId="05F8232D" w14:textId="77777777" w:rsidR="0017605F" w:rsidRDefault="0017605F" w:rsidP="0017605F">
      <w:r>
        <w:t xml:space="preserve">Przedmiot zamówienia realizowany jest w ramach Budżetu Obywatelskiego. Celem projektu jest  zwiększenie powierzchni biologicznie czynnej poprzez rozpłytowanie około 37 m2 obszaru pokrytego obecnie nawierzchnią nieprzepuszczalną, którą należy zastąpić ziemią urodzajną i nasadzeniami roślin. Projekt rozpłytowań musi spełniać standardy dostępności dla m.st. Warszawy. W sytuacjach szczególnych dopuszczalne jest uzyskanie odstępstw od standardów miejskich, jeśli będzie to uzasadnione wskazaniami lub opiniami odpowiednich jednostek np. Mazowieckiego Wojewódzkiego Konserwatora Zabytków (MWKZ), Biura Stołecznego Konserwatora Zabytków (BSKZ) i/ lub Biura Architektury i Planowania Przestrzennego (BAiPP) m.st. W-wy. Zakres prac budowalnych określa dokumentacja projektowa, który uzyskała wymagane decyzje właściwego organu. 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5042F421" w14:textId="77777777" w:rsidR="0017605F" w:rsidRDefault="0017605F" w:rsidP="0017605F">
      <w:r>
        <w:t xml:space="preserve">Wykonawca ma obowiązek zweryfikowania w terenie lokalizacji rozpłytowań w kontekście kolizji </w:t>
      </w:r>
    </w:p>
    <w:p w14:paraId="339C730D" w14:textId="77777777" w:rsidR="0017605F" w:rsidRDefault="0017605F" w:rsidP="0017605F">
      <w:r>
        <w:t xml:space="preserve">z istniejącą infrastruktury podziemną i zagospodarowaniem terenu. </w:t>
      </w:r>
    </w:p>
    <w:p w14:paraId="13F68421" w14:textId="77777777" w:rsidR="0017605F" w:rsidRDefault="0017605F" w:rsidP="000C19F3">
      <w:pPr>
        <w:pStyle w:val="Nagwek3"/>
      </w:pPr>
      <w:r>
        <w:t>1.4.1.</w:t>
      </w:r>
      <w:r>
        <w:tab/>
        <w:t>Zakres podstawowy zamówienia</w:t>
      </w:r>
    </w:p>
    <w:p w14:paraId="7337A79F" w14:textId="77777777" w:rsidR="0017605F" w:rsidRDefault="0017605F" w:rsidP="0017605F">
      <w:r>
        <w:t>Wykonawca powinien zaprojektować i wykonać roboty budowlane zgodnie z programem funkcjonalno-użytkowym. Zakres podstawowy zamówienia przestawiony został w punktach 1.4.1.1.-1.4.1.2.</w:t>
      </w:r>
    </w:p>
    <w:p w14:paraId="39268376" w14:textId="77777777" w:rsidR="0017605F" w:rsidRDefault="0017605F" w:rsidP="003B269A">
      <w:pPr>
        <w:spacing w:after="120"/>
      </w:pPr>
      <w:r>
        <w:t>Zakres dotyczący prac:</w:t>
      </w:r>
    </w:p>
    <w:p w14:paraId="158E13B8" w14:textId="77777777" w:rsidR="0017605F" w:rsidRDefault="0017605F" w:rsidP="00994427">
      <w:pPr>
        <w:spacing w:after="120"/>
        <w:ind w:left="284" w:hanging="284"/>
      </w:pPr>
      <w:r>
        <w:t>•</w:t>
      </w:r>
      <w:r>
        <w:tab/>
        <w:t>wykonanie rozpłytowania i nasadzeń na powierzchni około 37 m2;</w:t>
      </w:r>
    </w:p>
    <w:p w14:paraId="0697491F" w14:textId="77777777" w:rsidR="0017605F" w:rsidRDefault="0017605F" w:rsidP="00994427">
      <w:pPr>
        <w:spacing w:after="120"/>
        <w:ind w:left="284" w:hanging="284"/>
      </w:pPr>
      <w:r>
        <w:t>•</w:t>
      </w:r>
      <w:r>
        <w:tab/>
        <w:t>zastosowanie odpowiednich obrzeży rabaty;</w:t>
      </w:r>
    </w:p>
    <w:p w14:paraId="74DCE47A" w14:textId="4250916D" w:rsidR="0017605F" w:rsidRDefault="0017605F" w:rsidP="00994427">
      <w:pPr>
        <w:spacing w:after="120"/>
        <w:ind w:left="284" w:hanging="284"/>
      </w:pPr>
      <w:r>
        <w:t>•</w:t>
      </w:r>
      <w:r>
        <w:tab/>
        <w:t xml:space="preserve">preferowane rośliny do nasadzeń: </w:t>
      </w:r>
      <w:proofErr w:type="spellStart"/>
      <w:r w:rsidRPr="00222F6F">
        <w:rPr>
          <w:i/>
          <w:iCs/>
        </w:rPr>
        <w:t>Achillea</w:t>
      </w:r>
      <w:proofErr w:type="spellEnd"/>
      <w:r w:rsidRPr="00222F6F">
        <w:rPr>
          <w:i/>
          <w:iCs/>
        </w:rPr>
        <w:t xml:space="preserve"> </w:t>
      </w:r>
      <w:proofErr w:type="spellStart"/>
      <w:r w:rsidRPr="00222F6F">
        <w:rPr>
          <w:i/>
          <w:iCs/>
        </w:rPr>
        <w:t>millefolium</w:t>
      </w:r>
      <w:proofErr w:type="spellEnd"/>
      <w:r w:rsidRPr="00222F6F">
        <w:rPr>
          <w:i/>
          <w:iCs/>
        </w:rPr>
        <w:t xml:space="preserve">, </w:t>
      </w:r>
      <w:proofErr w:type="spellStart"/>
      <w:r w:rsidRPr="00222F6F">
        <w:rPr>
          <w:i/>
          <w:iCs/>
        </w:rPr>
        <w:t>Tanacetum</w:t>
      </w:r>
      <w:proofErr w:type="spellEnd"/>
      <w:r w:rsidRPr="00222F6F">
        <w:rPr>
          <w:i/>
          <w:iCs/>
        </w:rPr>
        <w:t xml:space="preserve"> </w:t>
      </w:r>
      <w:proofErr w:type="spellStart"/>
      <w:r w:rsidRPr="00222F6F">
        <w:rPr>
          <w:i/>
          <w:iCs/>
        </w:rPr>
        <w:t>vulgare</w:t>
      </w:r>
      <w:proofErr w:type="spellEnd"/>
      <w:r w:rsidRPr="00222F6F">
        <w:rPr>
          <w:i/>
          <w:iCs/>
        </w:rPr>
        <w:t xml:space="preserve">, </w:t>
      </w:r>
      <w:proofErr w:type="spellStart"/>
      <w:r w:rsidRPr="00222F6F">
        <w:rPr>
          <w:i/>
          <w:iCs/>
        </w:rPr>
        <w:t>Salvia</w:t>
      </w:r>
      <w:proofErr w:type="spellEnd"/>
      <w:r w:rsidRPr="00222F6F">
        <w:rPr>
          <w:i/>
          <w:iCs/>
        </w:rPr>
        <w:t xml:space="preserve"> </w:t>
      </w:r>
      <w:proofErr w:type="spellStart"/>
      <w:r w:rsidRPr="00222F6F">
        <w:rPr>
          <w:i/>
          <w:iCs/>
        </w:rPr>
        <w:t>pratensis</w:t>
      </w:r>
      <w:proofErr w:type="spellEnd"/>
      <w:r w:rsidRPr="00222F6F">
        <w:rPr>
          <w:i/>
          <w:iCs/>
        </w:rPr>
        <w:t xml:space="preserve">, </w:t>
      </w:r>
      <w:proofErr w:type="spellStart"/>
      <w:r w:rsidRPr="00222F6F">
        <w:rPr>
          <w:i/>
          <w:iCs/>
        </w:rPr>
        <w:t>Salvia</w:t>
      </w:r>
      <w:proofErr w:type="spellEnd"/>
      <w:r w:rsidRPr="00222F6F">
        <w:rPr>
          <w:i/>
          <w:iCs/>
        </w:rPr>
        <w:t xml:space="preserve"> </w:t>
      </w:r>
      <w:proofErr w:type="spellStart"/>
      <w:r w:rsidRPr="00222F6F">
        <w:rPr>
          <w:i/>
          <w:iCs/>
        </w:rPr>
        <w:t>nemorosa</w:t>
      </w:r>
      <w:proofErr w:type="spellEnd"/>
      <w:r w:rsidRPr="00222F6F">
        <w:rPr>
          <w:i/>
          <w:iCs/>
        </w:rPr>
        <w:t xml:space="preserve">, </w:t>
      </w:r>
      <w:proofErr w:type="spellStart"/>
      <w:r w:rsidRPr="00222F6F">
        <w:rPr>
          <w:i/>
          <w:iCs/>
        </w:rPr>
        <w:t>Calamagrostis</w:t>
      </w:r>
      <w:proofErr w:type="spellEnd"/>
      <w:r w:rsidRPr="00222F6F">
        <w:rPr>
          <w:i/>
          <w:iCs/>
        </w:rPr>
        <w:t xml:space="preserve"> ×</w:t>
      </w:r>
      <w:proofErr w:type="spellStart"/>
      <w:r w:rsidRPr="00222F6F">
        <w:rPr>
          <w:i/>
          <w:iCs/>
        </w:rPr>
        <w:t>acutiflora</w:t>
      </w:r>
      <w:proofErr w:type="spellEnd"/>
      <w:r w:rsidRPr="00222F6F">
        <w:rPr>
          <w:i/>
          <w:iCs/>
        </w:rPr>
        <w:t xml:space="preserve">, </w:t>
      </w:r>
      <w:proofErr w:type="spellStart"/>
      <w:r w:rsidRPr="00222F6F">
        <w:rPr>
          <w:i/>
          <w:iCs/>
        </w:rPr>
        <w:t>Centaurea</w:t>
      </w:r>
      <w:proofErr w:type="spellEnd"/>
      <w:r w:rsidRPr="00222F6F">
        <w:rPr>
          <w:i/>
          <w:iCs/>
        </w:rPr>
        <w:t xml:space="preserve"> </w:t>
      </w:r>
      <w:proofErr w:type="spellStart"/>
      <w:r w:rsidRPr="00222F6F">
        <w:rPr>
          <w:i/>
          <w:iCs/>
        </w:rPr>
        <w:t>scabiosa</w:t>
      </w:r>
      <w:proofErr w:type="spellEnd"/>
      <w:r w:rsidRPr="00222F6F">
        <w:rPr>
          <w:i/>
          <w:iCs/>
        </w:rPr>
        <w:t xml:space="preserve">, Geranium </w:t>
      </w:r>
      <w:proofErr w:type="spellStart"/>
      <w:r w:rsidRPr="00222F6F">
        <w:rPr>
          <w:i/>
          <w:iCs/>
        </w:rPr>
        <w:t>sanguineum</w:t>
      </w:r>
      <w:proofErr w:type="spellEnd"/>
      <w:r w:rsidRPr="00222F6F">
        <w:rPr>
          <w:i/>
          <w:iCs/>
        </w:rPr>
        <w:t xml:space="preserve">, </w:t>
      </w:r>
      <w:proofErr w:type="spellStart"/>
      <w:r w:rsidRPr="00222F6F">
        <w:rPr>
          <w:i/>
          <w:iCs/>
        </w:rPr>
        <w:t>Cota</w:t>
      </w:r>
      <w:proofErr w:type="spellEnd"/>
      <w:r w:rsidRPr="00222F6F">
        <w:rPr>
          <w:i/>
          <w:iCs/>
        </w:rPr>
        <w:t xml:space="preserve"> </w:t>
      </w:r>
      <w:proofErr w:type="spellStart"/>
      <w:r w:rsidRPr="00222F6F">
        <w:rPr>
          <w:i/>
          <w:iCs/>
        </w:rPr>
        <w:t>tinctoria</w:t>
      </w:r>
      <w:proofErr w:type="spellEnd"/>
      <w:r w:rsidRPr="00222F6F">
        <w:rPr>
          <w:i/>
          <w:iCs/>
        </w:rPr>
        <w:t xml:space="preserve">, </w:t>
      </w:r>
      <w:proofErr w:type="spellStart"/>
      <w:r w:rsidRPr="00222F6F">
        <w:rPr>
          <w:i/>
          <w:iCs/>
        </w:rPr>
        <w:t>Linaria</w:t>
      </w:r>
      <w:proofErr w:type="spellEnd"/>
      <w:r w:rsidRPr="00222F6F">
        <w:rPr>
          <w:i/>
          <w:iCs/>
        </w:rPr>
        <w:t xml:space="preserve"> </w:t>
      </w:r>
      <w:proofErr w:type="spellStart"/>
      <w:r w:rsidRPr="00222F6F">
        <w:rPr>
          <w:i/>
          <w:iCs/>
        </w:rPr>
        <w:t>vulgaris</w:t>
      </w:r>
      <w:proofErr w:type="spellEnd"/>
      <w:r>
        <w:t xml:space="preserve"> – rośliny w pojemnikach P9/P11</w:t>
      </w:r>
      <w:r w:rsidR="003A0D2B">
        <w:t xml:space="preserve"> oraz</w:t>
      </w:r>
      <w:r>
        <w:t xml:space="preserve"> rośliny cebulowe. Nasadzenia zgodnie z</w:t>
      </w:r>
      <w:r w:rsidR="003A0D2B">
        <w:t> </w:t>
      </w:r>
      <w:r>
        <w:t xml:space="preserve">projektem koncepcyjnym, stanowiącym załącznik nr 5 do PFU.    </w:t>
      </w:r>
    </w:p>
    <w:p w14:paraId="0CB7696E" w14:textId="77777777" w:rsidR="0017605F" w:rsidRPr="0011334B" w:rsidRDefault="0017605F" w:rsidP="0011334B">
      <w:pPr>
        <w:spacing w:before="240" w:after="120"/>
        <w:rPr>
          <w:b/>
          <w:bCs/>
        </w:rPr>
      </w:pPr>
      <w:r w:rsidRPr="0011334B">
        <w:rPr>
          <w:b/>
          <w:bCs/>
        </w:rPr>
        <w:t xml:space="preserve">Oznaczenia z budżetu obywatelskiego </w:t>
      </w:r>
    </w:p>
    <w:p w14:paraId="73546A8A" w14:textId="77777777" w:rsidR="0017605F" w:rsidRDefault="0017605F" w:rsidP="0017605F">
      <w:r>
        <w:t xml:space="preserve">Elementy objęte niniejszym zamówieniem powinny zostać oznaczone jako zamierzenie zrealizowane w ramach projektu z Budżetu Obywatelskiego. Oznaczenie musi być zgodne z Poradnikiem oznaczania projektów zrealizowanych z budżetu obywatelskiego. Preferowany sposób oznaczenia </w:t>
      </w:r>
      <w:r>
        <w:lastRenderedPageBreak/>
        <w:t xml:space="preserve">elementów: umieszczenie tabliczki wbijanej w ziemię – </w:t>
      </w:r>
      <w:proofErr w:type="spellStart"/>
      <w:r>
        <w:t>dibond</w:t>
      </w:r>
      <w:proofErr w:type="spellEnd"/>
      <w:r>
        <w:t xml:space="preserve"> drukowany, rekomendowane rozmiary: 10x32 cm.</w:t>
      </w:r>
    </w:p>
    <w:p w14:paraId="757D7EB5" w14:textId="77777777" w:rsidR="00E1193E" w:rsidRDefault="00E1193E" w:rsidP="00E1193E">
      <w:pPr>
        <w:keepNext/>
        <w:spacing w:line="276" w:lineRule="auto"/>
        <w:jc w:val="center"/>
      </w:pPr>
      <w:bookmarkStart w:id="1" w:name="_Hlk158981210"/>
      <w:r w:rsidRPr="00B81AA1">
        <w:rPr>
          <w:rFonts w:cs="Calibri"/>
          <w:noProof/>
          <w:color w:val="FF0000"/>
        </w:rPr>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1"/>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77777777" w:rsidR="0017605F" w:rsidRDefault="0017605F" w:rsidP="00FE4841">
      <w:pPr>
        <w:spacing w:after="120"/>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t>1.4.2.</w:t>
      </w:r>
      <w:r w:rsidRPr="000C19F3">
        <w:tab/>
        <w:t>Kolizje z infrastrukturą</w:t>
      </w:r>
    </w:p>
    <w:p w14:paraId="6F377BE8" w14:textId="67C86AB7" w:rsidR="0017605F" w:rsidRDefault="0017605F" w:rsidP="0017605F">
      <w:r>
        <w:t>Na terenach wskazanych do realizacji znajdują się sieci uzbrojenia podziemnego. Zamawiający wymaga, by przedmiot umowy był realizowany w taki sposób, aby nie zostały one</w:t>
      </w:r>
      <w:r w:rsidR="008942EF">
        <w:t xml:space="preserve"> </w:t>
      </w:r>
      <w:r>
        <w:t xml:space="preserve">naruszone/uszkodzone podczas prowadzenia robót. W przypadku, gdy w trakcie prowadzenia robót </w:t>
      </w:r>
      <w:r>
        <w:lastRenderedPageBreak/>
        <w:t xml:space="preserve">potrzebne byłyby dodatkowe ustalenia z gestorem sieci, wykonanie projektu przebudowy lub zabezpieczenia kolidującego odcinka itp., Wykonawca na podstawie pełnomocnictwa otrzymanego </w:t>
      </w:r>
    </w:p>
    <w:p w14:paraId="3E99652C" w14:textId="77777777" w:rsidR="0017605F" w:rsidRDefault="0017605F" w:rsidP="0017605F">
      <w:r>
        <w:t>z ZZW na swój koszt wykona wymagane projekty i uzgodni je z gestorem sieci i niezbędnymi jednostkami miejskimi. Naprawy uszkodzonych sieci uzbrojenia podziemnego podczas prowadzenia prac oraz dodatkowe koszty związane z ich usunięciem ponosi Wykonawca. Wykonawca ma także obowiązek zabezpieczenia oraz oznaczenia ewentualnych zaworów, studzienek lub innych elementów sieci uzbrojenia podziemnego, a także oświetlenia i elementów MSI (Miejski System Informacji) jeśli występują. Ponadto każde prace w bliskiej okolicy sieci uzbrojenia podziemnego powinny być skonsultowane oraz (jeśli to wymagane) prowadzone pod nadzorem Inspektorów nadzoru z ramienia gestorów sieci.</w:t>
      </w:r>
    </w:p>
    <w:p w14:paraId="158DC41F" w14:textId="0100C8AA" w:rsidR="0017605F" w:rsidRDefault="0017605F" w:rsidP="0017605F">
      <w:r>
        <w:t>Należy mieć na uwadze, że zarządca drogi może wymagać, by prace prowadzone w rejonie elementu MSI lub oświetlenia i jego przyłącza, prowadzone były pod nadzorem reprezentanta zarządcy drogi lub wskazanego przez niego operatora, a także może wymagać np. przeprowadzenia badania bezpieczeństwa przyłącza oraz dostarczenia go zarządcy drogi. Omawiane zadania mogą wiązać się z</w:t>
      </w:r>
      <w:r w:rsidR="00443BF0">
        <w:t> k</w:t>
      </w:r>
      <w:r>
        <w:t>oniecznością dysponowania przez Wykonawcę odpowiednim pracownikiem branżowym.</w:t>
      </w:r>
    </w:p>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0A45D555" w:rsidR="0017605F" w:rsidRDefault="0017605F" w:rsidP="00ED7D02">
      <w:pPr>
        <w:spacing w:after="120"/>
        <w:ind w:left="284" w:hanging="284"/>
      </w:pPr>
      <w:r>
        <w:t>•</w:t>
      </w:r>
      <w:r>
        <w:tab/>
        <w:t xml:space="preserve">Powstały w trakcie prac urobek z wykopów Wykonawca musi wywieźć poza teren budowy, a jego zagospodarowanie musi być zgodne z zasadami utylizacji składowania materiałów odpadowych </w:t>
      </w:r>
      <w:r>
        <w:lastRenderedPageBreak/>
        <w:t>określonymi w Ustawie z dnia 14 grudnia 2012 r. o odpadach. Wykonawca zawrze w swoich cenach koszty związane z zagospodarowaniem urobku, a także jest zobowiązany do przekazania Zamawiającemu wszystkich niezbędnych protokołów z tym związanych.</w:t>
      </w:r>
    </w:p>
    <w:p w14:paraId="7C3A4175" w14:textId="77777777" w:rsidR="0017605F" w:rsidRDefault="0017605F" w:rsidP="007F75C1">
      <w:pPr>
        <w:pStyle w:val="Nagwek2"/>
      </w:pPr>
      <w:r>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wytyczne wynikające ze standardów projektowych dla infrastruktury dla pieszych w m.st. W-</w:t>
      </w:r>
      <w:proofErr w:type="spellStart"/>
      <w:r>
        <w:t>wa</w:t>
      </w:r>
      <w:proofErr w:type="spellEnd"/>
      <w:r>
        <w:t xml:space="preserve">, </w:t>
      </w:r>
    </w:p>
    <w:p w14:paraId="10DC92EE" w14:textId="77777777"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t>Wraz z Harmonogramem Wykonawca przekaże dokumentację fotograficzną z wizyty w terenie opracowania. Zamawiający ma prawo przekazać uwagi do przedstawionego Harmonogramu 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 xml:space="preserve">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w:t>
      </w:r>
      <w:r>
        <w:lastRenderedPageBreak/>
        <w:t>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Wykonawca przygotuje kompletną dokumentację projektową umożliwiającą skuteczne uzyskanie decyzji zgłoszenia robót budowalnych w 2 egzemplarzach (zgodnie z wymaganiami opisanymi 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52CE9B28" w14:textId="77777777" w:rsidR="0017605F" w:rsidRDefault="0017605F" w:rsidP="00EC6527">
      <w:pPr>
        <w:ind w:left="284" w:hanging="284"/>
      </w:pPr>
      <w:r>
        <w:t>•</w:t>
      </w:r>
      <w:r>
        <w:tab/>
        <w:t xml:space="preserve">Prace projektowe będące przedmiotem zamówienia należy dostarczyć w następującej formie: </w:t>
      </w:r>
    </w:p>
    <w:p w14:paraId="6F67F0A5" w14:textId="77777777" w:rsidR="0017605F" w:rsidRDefault="0017605F" w:rsidP="00EC6527">
      <w:pPr>
        <w:ind w:firstLine="284"/>
      </w:pPr>
      <w:r>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0AF7B723" w14:textId="7EB7D327"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 xml:space="preserve">terminie wyznaczonym przez ww. jednostki lub Zamawiającego. Kopie materiałów wraz </w:t>
      </w:r>
    </w:p>
    <w:p w14:paraId="5C396EC3" w14:textId="77777777" w:rsidR="0017605F" w:rsidRDefault="0017605F" w:rsidP="0017605F">
      <w:r>
        <w:lastRenderedPageBreak/>
        <w:t>z 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Przed rozpoczęciem prac Wykonawca zobowiązany jest dokonać wizji lokalnej terenu, wykonania inwentaryzacji oraz dokumentacji fotograficznej miejsc rozpłytowań oraz terenów otaczających. Przed wejściem w teren Wykonawca podpisze protokół wprowadzenia na teren budowy. 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lastRenderedPageBreak/>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 xml:space="preserve">stanie estetycznym </w:t>
      </w:r>
      <w:proofErr w:type="spellStart"/>
      <w:r>
        <w:t>wygrodzeń</w:t>
      </w:r>
      <w:proofErr w:type="spellEnd"/>
      <w:r>
        <w:t>;</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 xml:space="preserve">zapewnienia we własnym zakresie i własnym staraniem zabezpieczenia przeciwpożarowego, ochrony znajdującego się na terenie robót budowlanych mienia oraz zapewnienia warunków </w:t>
      </w:r>
      <w:r>
        <w:lastRenderedPageBreak/>
        <w:t>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06594C1A" w14:textId="17E52786" w:rsidR="0017605F" w:rsidRDefault="0017605F" w:rsidP="003C628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19F1DA2F" w:rsidR="0017605F" w:rsidRDefault="0017605F" w:rsidP="00587F2E">
      <w:pPr>
        <w:pStyle w:val="Podtytu"/>
      </w:pPr>
      <w:r>
        <w:t>II Cz</w:t>
      </w:r>
      <w:r w:rsidR="003C57DD">
        <w:t>ę</w:t>
      </w:r>
      <w:r>
        <w:t>ść informacyjna</w:t>
      </w:r>
    </w:p>
    <w:p w14:paraId="029303D6" w14:textId="77777777" w:rsidR="0017605F" w:rsidRDefault="0017605F" w:rsidP="00587F2E">
      <w:pPr>
        <w:pStyle w:val="Nagwek1"/>
      </w:pPr>
      <w:r>
        <w:t>1.</w:t>
      </w:r>
      <w:r>
        <w:tab/>
        <w:t>Informacje ogólne</w:t>
      </w:r>
    </w:p>
    <w:p w14:paraId="5D06CE0E" w14:textId="77777777" w:rsidR="0017605F" w:rsidRDefault="0017605F" w:rsidP="0017605F">
      <w:r>
        <w:t xml:space="preserve">Zamawiający informuje, że jest zobowiązany stosować postanowienia wynikające z Ustawy z dnia </w:t>
      </w:r>
    </w:p>
    <w:p w14:paraId="691BDA75" w14:textId="77777777" w:rsidR="0017605F" w:rsidRDefault="0017605F" w:rsidP="0017605F">
      <w:r>
        <w:t>11 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t>3.</w:t>
      </w:r>
      <w:r>
        <w:tab/>
        <w:t>Przepisy prawne i normy związane z projektowaniem zamierzenia budowlanego</w:t>
      </w:r>
    </w:p>
    <w:p w14:paraId="6D897D85" w14:textId="1238C8C9" w:rsidR="0017605F" w:rsidRDefault="00A159D4"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lastRenderedPageBreak/>
        <w:t>4)</w:t>
      </w:r>
      <w:r>
        <w:tab/>
        <w:t>Ustawy z dnia 11 września 2019 r. - Prawo zamówień publicznych (Dz.U.2022.0.1710 t.j.),</w:t>
      </w:r>
    </w:p>
    <w:p w14:paraId="02BF6DA7" w14:textId="77777777" w:rsidR="0017605F" w:rsidRDefault="0017605F" w:rsidP="00FE6C9D">
      <w:pPr>
        <w:spacing w:after="120"/>
        <w:ind w:left="284" w:hanging="284"/>
      </w:pPr>
      <w:r>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1EC0944B" w14:textId="483F47D3" w:rsidR="0017605F" w:rsidRPr="00D34618" w:rsidRDefault="0017605F" w:rsidP="00FE6C9D">
      <w:pPr>
        <w:spacing w:before="120"/>
        <w:rPr>
          <w:b/>
          <w:bCs/>
        </w:rPr>
      </w:pPr>
      <w:r>
        <w:t>Oraz innymi obowiązującymi przepisami prawa, dotyczącymi przedmiotowej inwestycji. Wykonawca jest zobowiązany do bieżącego śledzenia i stosowania ewentualnych zmian w w/w przepisach.</w:t>
      </w:r>
      <w:r w:rsidR="0028412A">
        <w:br/>
      </w:r>
      <w:r w:rsidR="00E66588">
        <w:br/>
      </w:r>
      <w:r w:rsidR="00A159D4">
        <w:rPr>
          <w:rStyle w:val="Nagwek2Znak"/>
        </w:rPr>
        <w:t>3</w:t>
      </w:r>
      <w:r w:rsidRPr="00E66588">
        <w:rPr>
          <w:rStyle w:val="Nagwek2Znak"/>
        </w:rPr>
        <w:t>.2.</w:t>
      </w:r>
      <w:r w:rsidR="002C11BB">
        <w:rPr>
          <w:rStyle w:val="Nagwek2Znak"/>
        </w:rPr>
        <w:tab/>
      </w:r>
      <w:r w:rsidRPr="00E66588">
        <w:rPr>
          <w:rStyle w:val="Nagwek2Znak"/>
        </w:rPr>
        <w:t>Normy, warunki oraz inne przepisy techniczne</w:t>
      </w:r>
    </w:p>
    <w:p w14:paraId="3F578A5A" w14:textId="0B8EB69E"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F74A3A">
        <w:t> </w:t>
      </w:r>
      <w:r>
        <w:t>uchylające dyrektywę Rady 89/106/EWG oraz Ustawę z dnia 16 kwietnia 2004 r. o wyrobach budowlanych. Jednocześnie Zamawiający dopuszcza stosowanie materiałów równoważnych.</w:t>
      </w:r>
    </w:p>
    <w:p w14:paraId="1C63814E" w14:textId="26C73814" w:rsidR="0017605F" w:rsidRDefault="00114565" w:rsidP="00114565">
      <w:pPr>
        <w:pStyle w:val="Nagwek1"/>
      </w:pPr>
      <w:r>
        <w:lastRenderedPageBreak/>
        <w:t>4.</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63F55FCC" w14:textId="77777777" w:rsidR="0017605F" w:rsidRDefault="0017605F" w:rsidP="00575D7D">
      <w:pPr>
        <w:ind w:left="284" w:hanging="284"/>
      </w:pPr>
      <w:r>
        <w:t>•</w:t>
      </w:r>
      <w:r>
        <w:tab/>
        <w:t>Odbiór prac będzie polegał na protokolarnym potwierdzeniu przez Zamawiającego wykonania Przedmiotu Zamówienia zgodnie z HRF – odbiorze bez istotnych uwag.</w:t>
      </w:r>
    </w:p>
    <w:p w14:paraId="5768F0AC" w14:textId="433E8F15" w:rsidR="0017605F" w:rsidRDefault="0017605F" w:rsidP="00575D7D">
      <w:pPr>
        <w:pStyle w:val="Podtytu"/>
        <w:ind w:left="426" w:hanging="426"/>
      </w:pPr>
      <w:r>
        <w:t>III Załączniki</w:t>
      </w:r>
    </w:p>
    <w:p w14:paraId="6FE5CEF9" w14:textId="5CBD780A" w:rsidR="0017605F" w:rsidRDefault="0017605F" w:rsidP="003123BF">
      <w:pPr>
        <w:pStyle w:val="Akapitzlist"/>
        <w:numPr>
          <w:ilvl w:val="0"/>
          <w:numId w:val="18"/>
        </w:numPr>
        <w:spacing w:after="120"/>
        <w:ind w:left="284" w:hanging="284"/>
        <w:contextualSpacing w:val="0"/>
      </w:pPr>
      <w:r>
        <w:t>Lokalizacja rozpłytowań,</w:t>
      </w:r>
    </w:p>
    <w:p w14:paraId="5E421427" w14:textId="5BC58CCB" w:rsidR="0017605F" w:rsidRDefault="0017605F" w:rsidP="003123BF">
      <w:pPr>
        <w:pStyle w:val="Akapitzlist"/>
        <w:numPr>
          <w:ilvl w:val="0"/>
          <w:numId w:val="18"/>
        </w:numPr>
        <w:spacing w:after="120"/>
        <w:ind w:left="284" w:hanging="284"/>
        <w:contextualSpacing w:val="0"/>
      </w:pPr>
      <w:r>
        <w:t>Opinie jednostek do projektu BO,</w:t>
      </w:r>
    </w:p>
    <w:p w14:paraId="6D768192" w14:textId="12296E58" w:rsidR="0017605F" w:rsidRDefault="0017605F" w:rsidP="003123BF">
      <w:pPr>
        <w:pStyle w:val="Akapitzlist"/>
        <w:numPr>
          <w:ilvl w:val="0"/>
          <w:numId w:val="18"/>
        </w:numPr>
        <w:spacing w:after="120"/>
        <w:ind w:left="284" w:hanging="284"/>
        <w:contextualSpacing w:val="0"/>
      </w:pPr>
      <w:r>
        <w:t xml:space="preserve">Projekt Stałej Organizacji Ruchu dla skrzyżowania ul. </w:t>
      </w:r>
      <w:proofErr w:type="spellStart"/>
      <w:r>
        <w:t>Cierlickiej</w:t>
      </w:r>
      <w:proofErr w:type="spellEnd"/>
      <w:r>
        <w:t xml:space="preserve"> i ul. Tadeusza Kościuszki</w:t>
      </w:r>
      <w:r w:rsidR="00E052D7">
        <w:t xml:space="preserve"> </w:t>
      </w:r>
      <w:r>
        <w:t>z</w:t>
      </w:r>
      <w:r w:rsidR="00E052D7">
        <w:t> </w:t>
      </w:r>
      <w:r>
        <w:t>oznaczeniem fragmentu do realizacji objętej niniejszym zamówieniem,</w:t>
      </w:r>
    </w:p>
    <w:p w14:paraId="7655A2D1" w14:textId="377759C3" w:rsidR="0017605F" w:rsidRDefault="0017605F" w:rsidP="003123BF">
      <w:pPr>
        <w:pStyle w:val="Akapitzlist"/>
        <w:numPr>
          <w:ilvl w:val="0"/>
          <w:numId w:val="18"/>
        </w:numPr>
        <w:spacing w:after="120"/>
        <w:ind w:left="284" w:hanging="284"/>
        <w:contextualSpacing w:val="0"/>
      </w:pPr>
      <w:r>
        <w:t>Porozumienie pomiędzy ZDM a ZZW,</w:t>
      </w:r>
    </w:p>
    <w:p w14:paraId="4E54119A" w14:textId="7E05892A" w:rsidR="0017605F" w:rsidRDefault="0017605F" w:rsidP="003123BF">
      <w:pPr>
        <w:pStyle w:val="Akapitzlist"/>
        <w:numPr>
          <w:ilvl w:val="0"/>
          <w:numId w:val="18"/>
        </w:numPr>
        <w:spacing w:after="120"/>
        <w:ind w:left="284" w:hanging="284"/>
        <w:contextualSpacing w:val="0"/>
      </w:pPr>
      <w:r>
        <w:t>Projekt koncepcyjny nasadzeń.</w:t>
      </w:r>
    </w:p>
    <w:p w14:paraId="0A342D85" w14:textId="77777777" w:rsidR="0017605F" w:rsidRDefault="0017605F" w:rsidP="0017605F"/>
    <w:p w14:paraId="0EC3025D" w14:textId="77777777" w:rsidR="0017605F" w:rsidRDefault="0017605F" w:rsidP="0017605F">
      <w:r>
        <w:t xml:space="preserve"> </w:t>
      </w:r>
    </w:p>
    <w:sectPr w:rsidR="0017605F"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D647D" w14:textId="77777777" w:rsidR="00A761CB" w:rsidRDefault="00A761CB" w:rsidP="003B2C14">
      <w:pPr>
        <w:spacing w:after="0" w:line="240" w:lineRule="auto"/>
      </w:pPr>
      <w:r>
        <w:separator/>
      </w:r>
    </w:p>
  </w:endnote>
  <w:endnote w:type="continuationSeparator" w:id="0">
    <w:p w14:paraId="5C68FB5B" w14:textId="77777777" w:rsidR="00A761CB" w:rsidRDefault="00A761CB"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EndPr/>
    <w:sdtContent>
      <w:p w14:paraId="68778A5B" w14:textId="48688E02" w:rsidR="0017605F" w:rsidRDefault="0017605F">
        <w:pPr>
          <w:pStyle w:val="Stopka"/>
          <w:jc w:val="right"/>
        </w:pPr>
        <w:r>
          <w:fldChar w:fldCharType="begin"/>
        </w:r>
        <w:r>
          <w:instrText>PAGE   \* MERGEFORMAT</w:instrText>
        </w:r>
        <w:r>
          <w:fldChar w:fldCharType="separate"/>
        </w:r>
        <w:r>
          <w:t>2</w:t>
        </w:r>
        <w:r>
          <w:fldChar w:fldCharType="end"/>
        </w:r>
        <w:r>
          <w:t>/</w:t>
        </w:r>
        <w:r w:rsidR="001A5B29">
          <w:t>15</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A9E011" w14:textId="77777777" w:rsidR="00A761CB" w:rsidRDefault="00A761CB" w:rsidP="003B2C14">
      <w:pPr>
        <w:spacing w:after="0" w:line="240" w:lineRule="auto"/>
      </w:pPr>
      <w:r>
        <w:separator/>
      </w:r>
    </w:p>
  </w:footnote>
  <w:footnote w:type="continuationSeparator" w:id="0">
    <w:p w14:paraId="29E85B62" w14:textId="77777777" w:rsidR="00A761CB" w:rsidRDefault="00A761CB"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4"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7"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5" w15:restartNumberingAfterBreak="0">
    <w:nsid w:val="4BC74509"/>
    <w:multiLevelType w:val="hybridMultilevel"/>
    <w:tmpl w:val="4AB20998"/>
    <w:lvl w:ilvl="0" w:tplc="34367C0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48653F"/>
    <w:multiLevelType w:val="hybridMultilevel"/>
    <w:tmpl w:val="DA9E7A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8244283">
    <w:abstractNumId w:val="4"/>
  </w:num>
  <w:num w:numId="2" w16cid:durableId="1937323497">
    <w:abstractNumId w:val="2"/>
  </w:num>
  <w:num w:numId="3" w16cid:durableId="1565406930">
    <w:abstractNumId w:val="12"/>
  </w:num>
  <w:num w:numId="4" w16cid:durableId="1283264031">
    <w:abstractNumId w:val="8"/>
  </w:num>
  <w:num w:numId="5" w16cid:durableId="666247340">
    <w:abstractNumId w:val="13"/>
  </w:num>
  <w:num w:numId="6" w16cid:durableId="2125611429">
    <w:abstractNumId w:val="16"/>
  </w:num>
  <w:num w:numId="7" w16cid:durableId="1527524596">
    <w:abstractNumId w:val="9"/>
  </w:num>
  <w:num w:numId="8" w16cid:durableId="2075620219">
    <w:abstractNumId w:val="10"/>
  </w:num>
  <w:num w:numId="9" w16cid:durableId="374744366">
    <w:abstractNumId w:val="6"/>
  </w:num>
  <w:num w:numId="10" w16cid:durableId="1548251131">
    <w:abstractNumId w:val="11"/>
  </w:num>
  <w:num w:numId="11" w16cid:durableId="1337077609">
    <w:abstractNumId w:val="3"/>
  </w:num>
  <w:num w:numId="12" w16cid:durableId="97332604">
    <w:abstractNumId w:val="14"/>
  </w:num>
  <w:num w:numId="13" w16cid:durableId="1303343488">
    <w:abstractNumId w:val="7"/>
  </w:num>
  <w:num w:numId="14" w16cid:durableId="400058448">
    <w:abstractNumId w:val="0"/>
  </w:num>
  <w:num w:numId="15" w16cid:durableId="478881718">
    <w:abstractNumId w:val="5"/>
  </w:num>
  <w:num w:numId="16" w16cid:durableId="1021130722">
    <w:abstractNumId w:val="1"/>
  </w:num>
  <w:num w:numId="17" w16cid:durableId="362365494">
    <w:abstractNumId w:val="17"/>
  </w:num>
  <w:num w:numId="18" w16cid:durableId="76651090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553E7"/>
    <w:rsid w:val="0006195F"/>
    <w:rsid w:val="00065023"/>
    <w:rsid w:val="00071339"/>
    <w:rsid w:val="00076614"/>
    <w:rsid w:val="00086F78"/>
    <w:rsid w:val="000A4643"/>
    <w:rsid w:val="000B52C3"/>
    <w:rsid w:val="000B70F7"/>
    <w:rsid w:val="000C19F3"/>
    <w:rsid w:val="000D5667"/>
    <w:rsid w:val="000E3B7D"/>
    <w:rsid w:val="000F29CF"/>
    <w:rsid w:val="000F412A"/>
    <w:rsid w:val="000F4FA6"/>
    <w:rsid w:val="001067DA"/>
    <w:rsid w:val="0011334B"/>
    <w:rsid w:val="00114565"/>
    <w:rsid w:val="00117A7E"/>
    <w:rsid w:val="00122069"/>
    <w:rsid w:val="0014571A"/>
    <w:rsid w:val="00146D4E"/>
    <w:rsid w:val="00157201"/>
    <w:rsid w:val="0016312F"/>
    <w:rsid w:val="001730E3"/>
    <w:rsid w:val="0017605F"/>
    <w:rsid w:val="00181CE8"/>
    <w:rsid w:val="00182321"/>
    <w:rsid w:val="00195757"/>
    <w:rsid w:val="001A05FF"/>
    <w:rsid w:val="001A5B29"/>
    <w:rsid w:val="001C0CF8"/>
    <w:rsid w:val="001C4D0B"/>
    <w:rsid w:val="001E583E"/>
    <w:rsid w:val="001E5C4F"/>
    <w:rsid w:val="001F4724"/>
    <w:rsid w:val="00220D77"/>
    <w:rsid w:val="00222F6F"/>
    <w:rsid w:val="002253DC"/>
    <w:rsid w:val="00236256"/>
    <w:rsid w:val="00241B11"/>
    <w:rsid w:val="00260F1E"/>
    <w:rsid w:val="002626E6"/>
    <w:rsid w:val="002776B1"/>
    <w:rsid w:val="00283BE3"/>
    <w:rsid w:val="0028412A"/>
    <w:rsid w:val="00287AC9"/>
    <w:rsid w:val="002A06AC"/>
    <w:rsid w:val="002A1BD4"/>
    <w:rsid w:val="002A73A8"/>
    <w:rsid w:val="002A7611"/>
    <w:rsid w:val="002C11BB"/>
    <w:rsid w:val="002E4B81"/>
    <w:rsid w:val="002F012B"/>
    <w:rsid w:val="00303312"/>
    <w:rsid w:val="003070E8"/>
    <w:rsid w:val="003123BF"/>
    <w:rsid w:val="00326CE0"/>
    <w:rsid w:val="00342705"/>
    <w:rsid w:val="00364971"/>
    <w:rsid w:val="0036605C"/>
    <w:rsid w:val="00366F95"/>
    <w:rsid w:val="003673B9"/>
    <w:rsid w:val="00375830"/>
    <w:rsid w:val="00385013"/>
    <w:rsid w:val="00387F56"/>
    <w:rsid w:val="003A0D2B"/>
    <w:rsid w:val="003A32D1"/>
    <w:rsid w:val="003B269A"/>
    <w:rsid w:val="003B2C14"/>
    <w:rsid w:val="003B6FD9"/>
    <w:rsid w:val="003C23C5"/>
    <w:rsid w:val="003C57DD"/>
    <w:rsid w:val="003C5F19"/>
    <w:rsid w:val="003C6288"/>
    <w:rsid w:val="003C6D52"/>
    <w:rsid w:val="003D114A"/>
    <w:rsid w:val="003F09FA"/>
    <w:rsid w:val="00412ADD"/>
    <w:rsid w:val="00413107"/>
    <w:rsid w:val="00417D2D"/>
    <w:rsid w:val="00424597"/>
    <w:rsid w:val="004338F1"/>
    <w:rsid w:val="00443B2A"/>
    <w:rsid w:val="00443BF0"/>
    <w:rsid w:val="00462A47"/>
    <w:rsid w:val="004749B4"/>
    <w:rsid w:val="00475A0C"/>
    <w:rsid w:val="00476C10"/>
    <w:rsid w:val="00493897"/>
    <w:rsid w:val="004A53BF"/>
    <w:rsid w:val="004B229C"/>
    <w:rsid w:val="004B367E"/>
    <w:rsid w:val="004B5737"/>
    <w:rsid w:val="004C2110"/>
    <w:rsid w:val="004D5B81"/>
    <w:rsid w:val="004D5F75"/>
    <w:rsid w:val="004F09A1"/>
    <w:rsid w:val="004F7CA5"/>
    <w:rsid w:val="00511CB2"/>
    <w:rsid w:val="00521C0B"/>
    <w:rsid w:val="00542847"/>
    <w:rsid w:val="005433AD"/>
    <w:rsid w:val="0055125E"/>
    <w:rsid w:val="00554D42"/>
    <w:rsid w:val="00557363"/>
    <w:rsid w:val="00562EDA"/>
    <w:rsid w:val="00567C3C"/>
    <w:rsid w:val="005714DB"/>
    <w:rsid w:val="00575D7D"/>
    <w:rsid w:val="00577FC1"/>
    <w:rsid w:val="00581EA4"/>
    <w:rsid w:val="00586EA0"/>
    <w:rsid w:val="00587F2E"/>
    <w:rsid w:val="00595FC2"/>
    <w:rsid w:val="005C12B9"/>
    <w:rsid w:val="005D0C3F"/>
    <w:rsid w:val="005E30F9"/>
    <w:rsid w:val="00614DD3"/>
    <w:rsid w:val="006246BD"/>
    <w:rsid w:val="00636DCF"/>
    <w:rsid w:val="00637184"/>
    <w:rsid w:val="00637967"/>
    <w:rsid w:val="00643EA8"/>
    <w:rsid w:val="006628E5"/>
    <w:rsid w:val="00683EC8"/>
    <w:rsid w:val="00685F41"/>
    <w:rsid w:val="006A0C65"/>
    <w:rsid w:val="006A1C6A"/>
    <w:rsid w:val="006C0AA6"/>
    <w:rsid w:val="006D769B"/>
    <w:rsid w:val="006F323F"/>
    <w:rsid w:val="007211F9"/>
    <w:rsid w:val="00724568"/>
    <w:rsid w:val="00726BEE"/>
    <w:rsid w:val="00732EF6"/>
    <w:rsid w:val="00740BF1"/>
    <w:rsid w:val="00742A55"/>
    <w:rsid w:val="00755866"/>
    <w:rsid w:val="007613FA"/>
    <w:rsid w:val="0076223E"/>
    <w:rsid w:val="0076426C"/>
    <w:rsid w:val="00766385"/>
    <w:rsid w:val="00775BE8"/>
    <w:rsid w:val="00776096"/>
    <w:rsid w:val="00782929"/>
    <w:rsid w:val="00792B6A"/>
    <w:rsid w:val="00797C61"/>
    <w:rsid w:val="007B5DCE"/>
    <w:rsid w:val="007C1273"/>
    <w:rsid w:val="007D2D62"/>
    <w:rsid w:val="007D3881"/>
    <w:rsid w:val="007E25AB"/>
    <w:rsid w:val="007E5E2F"/>
    <w:rsid w:val="007F68D2"/>
    <w:rsid w:val="007F75C1"/>
    <w:rsid w:val="008113D9"/>
    <w:rsid w:val="00826110"/>
    <w:rsid w:val="0083422B"/>
    <w:rsid w:val="00834B38"/>
    <w:rsid w:val="008400DD"/>
    <w:rsid w:val="0085127F"/>
    <w:rsid w:val="0085744A"/>
    <w:rsid w:val="00866A1F"/>
    <w:rsid w:val="008765D1"/>
    <w:rsid w:val="008768EF"/>
    <w:rsid w:val="00883ED7"/>
    <w:rsid w:val="008900C7"/>
    <w:rsid w:val="00893FF2"/>
    <w:rsid w:val="008942EF"/>
    <w:rsid w:val="008A2C55"/>
    <w:rsid w:val="008B1DFA"/>
    <w:rsid w:val="008C7357"/>
    <w:rsid w:val="008D5C92"/>
    <w:rsid w:val="008E1474"/>
    <w:rsid w:val="008F5B40"/>
    <w:rsid w:val="00915EFE"/>
    <w:rsid w:val="00955B4E"/>
    <w:rsid w:val="009634F5"/>
    <w:rsid w:val="0099101C"/>
    <w:rsid w:val="00994427"/>
    <w:rsid w:val="009C4D1A"/>
    <w:rsid w:val="009D15BA"/>
    <w:rsid w:val="009E04D0"/>
    <w:rsid w:val="009E3539"/>
    <w:rsid w:val="009E596B"/>
    <w:rsid w:val="009F7921"/>
    <w:rsid w:val="00A159D4"/>
    <w:rsid w:val="00A1628B"/>
    <w:rsid w:val="00A207F5"/>
    <w:rsid w:val="00A20A45"/>
    <w:rsid w:val="00A2574D"/>
    <w:rsid w:val="00A30191"/>
    <w:rsid w:val="00A32857"/>
    <w:rsid w:val="00A37547"/>
    <w:rsid w:val="00A63E36"/>
    <w:rsid w:val="00A7354F"/>
    <w:rsid w:val="00A761CB"/>
    <w:rsid w:val="00A82913"/>
    <w:rsid w:val="00AD0934"/>
    <w:rsid w:val="00AD113E"/>
    <w:rsid w:val="00AD1F84"/>
    <w:rsid w:val="00AE3156"/>
    <w:rsid w:val="00AF32DA"/>
    <w:rsid w:val="00AF386D"/>
    <w:rsid w:val="00B108FC"/>
    <w:rsid w:val="00B33B58"/>
    <w:rsid w:val="00B366C8"/>
    <w:rsid w:val="00B42DF8"/>
    <w:rsid w:val="00B53B33"/>
    <w:rsid w:val="00B6279D"/>
    <w:rsid w:val="00B72D9D"/>
    <w:rsid w:val="00B83D94"/>
    <w:rsid w:val="00B84B04"/>
    <w:rsid w:val="00B92881"/>
    <w:rsid w:val="00BB5183"/>
    <w:rsid w:val="00BB785B"/>
    <w:rsid w:val="00BD5E4A"/>
    <w:rsid w:val="00BE0F67"/>
    <w:rsid w:val="00BE1727"/>
    <w:rsid w:val="00BF1D07"/>
    <w:rsid w:val="00C00BE0"/>
    <w:rsid w:val="00C0155F"/>
    <w:rsid w:val="00C01567"/>
    <w:rsid w:val="00C032E4"/>
    <w:rsid w:val="00C03D66"/>
    <w:rsid w:val="00C05C2F"/>
    <w:rsid w:val="00C10E40"/>
    <w:rsid w:val="00C11E47"/>
    <w:rsid w:val="00C14982"/>
    <w:rsid w:val="00C208CA"/>
    <w:rsid w:val="00C30AC4"/>
    <w:rsid w:val="00C47FB3"/>
    <w:rsid w:val="00C515D6"/>
    <w:rsid w:val="00C7216D"/>
    <w:rsid w:val="00C82A84"/>
    <w:rsid w:val="00C830C3"/>
    <w:rsid w:val="00C8510A"/>
    <w:rsid w:val="00CA3607"/>
    <w:rsid w:val="00CB1970"/>
    <w:rsid w:val="00CB1E6F"/>
    <w:rsid w:val="00CF53BE"/>
    <w:rsid w:val="00D038C9"/>
    <w:rsid w:val="00D105F0"/>
    <w:rsid w:val="00D11313"/>
    <w:rsid w:val="00D20534"/>
    <w:rsid w:val="00D24912"/>
    <w:rsid w:val="00D327E2"/>
    <w:rsid w:val="00D34618"/>
    <w:rsid w:val="00D3575A"/>
    <w:rsid w:val="00D37C7C"/>
    <w:rsid w:val="00D44F8B"/>
    <w:rsid w:val="00D459F0"/>
    <w:rsid w:val="00D5389A"/>
    <w:rsid w:val="00D71F9B"/>
    <w:rsid w:val="00D85843"/>
    <w:rsid w:val="00D87B53"/>
    <w:rsid w:val="00D9029E"/>
    <w:rsid w:val="00DB1D71"/>
    <w:rsid w:val="00DC302D"/>
    <w:rsid w:val="00DC4207"/>
    <w:rsid w:val="00DD3492"/>
    <w:rsid w:val="00DE20CF"/>
    <w:rsid w:val="00DE3F1A"/>
    <w:rsid w:val="00DE6EB5"/>
    <w:rsid w:val="00DF79DA"/>
    <w:rsid w:val="00E0138E"/>
    <w:rsid w:val="00E023DD"/>
    <w:rsid w:val="00E052D7"/>
    <w:rsid w:val="00E06CCC"/>
    <w:rsid w:val="00E07714"/>
    <w:rsid w:val="00E1193E"/>
    <w:rsid w:val="00E3279D"/>
    <w:rsid w:val="00E447A3"/>
    <w:rsid w:val="00E45B33"/>
    <w:rsid w:val="00E65AD5"/>
    <w:rsid w:val="00E66588"/>
    <w:rsid w:val="00E71DE1"/>
    <w:rsid w:val="00E76E13"/>
    <w:rsid w:val="00E84F85"/>
    <w:rsid w:val="00E95939"/>
    <w:rsid w:val="00EA0F58"/>
    <w:rsid w:val="00EC6527"/>
    <w:rsid w:val="00ED7D02"/>
    <w:rsid w:val="00EE6D40"/>
    <w:rsid w:val="00EF1400"/>
    <w:rsid w:val="00F1120E"/>
    <w:rsid w:val="00F1164C"/>
    <w:rsid w:val="00F55D26"/>
    <w:rsid w:val="00F620C2"/>
    <w:rsid w:val="00F64792"/>
    <w:rsid w:val="00F74A3A"/>
    <w:rsid w:val="00F82E26"/>
    <w:rsid w:val="00F83AB2"/>
    <w:rsid w:val="00F951ED"/>
    <w:rsid w:val="00FB633B"/>
    <w:rsid w:val="00FB65E4"/>
    <w:rsid w:val="00FE4841"/>
    <w:rsid w:val="00FE541B"/>
    <w:rsid w:val="00FE6C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00e5991-715e-4e93-8a17-f0a4e8b0596f">
      <Terms xmlns="http://schemas.microsoft.com/office/infopath/2007/PartnerControls"/>
    </lcf76f155ced4ddcb4097134ff3c332f>
    <_x0036__x0142_awek xmlns="a00e5991-715e-4e93-8a17-f0a4e8b0596f"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CCD601F-C122-4496-BABD-E80731BC8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5650B6-30A6-452F-8DAF-4E9084203193}">
  <ds:schemaRefs>
    <ds:schemaRef ds:uri="http://schemas.microsoft.com/sharepoint/v3/contenttype/forms"/>
  </ds:schemaRefs>
</ds:datastoreItem>
</file>

<file path=customXml/itemProps3.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4.xml><?xml version="1.0" encoding="utf-8"?>
<ds:datastoreItem xmlns:ds="http://schemas.openxmlformats.org/officeDocument/2006/customXml" ds:itemID="{7B4BE7F9-9F6B-4009-9CE4-94AA507BBA87}">
  <ds:schemaRefs>
    <ds:schemaRef ds:uri="http://schemas.microsoft.com/office/2006/metadata/properties"/>
    <ds:schemaRef ds:uri="http://schemas.microsoft.com/office/infopath/2007/PartnerControls"/>
    <ds:schemaRef ds:uri="a00e5991-715e-4e93-8a17-f0a4e8b0596f"/>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4758</Words>
  <Characters>28550</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 do SWZ - PFU (Ursus)</dc:title>
  <dc:subject/>
  <dc:creator>Karnecki Arkadiusz</dc:creator>
  <cp:keywords/>
  <dc:description/>
  <cp:lastModifiedBy>Karnecki Arkadiusz</cp:lastModifiedBy>
  <cp:revision>23</cp:revision>
  <cp:lastPrinted>2025-02-10T08:04:00Z</cp:lastPrinted>
  <dcterms:created xsi:type="dcterms:W3CDTF">2025-04-01T13:06:00Z</dcterms:created>
  <dcterms:modified xsi:type="dcterms:W3CDTF">2025-04-02T12:56:00Z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0x010100D27846079476D34A860B4E6DEDC57D64</vt:lpwstr>
  </property>
</Properties>
</file>