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B573B" w14:textId="767FBD33" w:rsidR="00723202" w:rsidRPr="009E6273" w:rsidRDefault="00723202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 xml:space="preserve">Znak sprawy: SIM-P-4/2025 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  <w:t xml:space="preserve">         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ab/>
        <w:t>Załącznik nr 1</w:t>
      </w:r>
      <w:r w:rsidR="00B85FC0"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 xml:space="preserve"> do SWZ</w:t>
      </w:r>
    </w:p>
    <w:p w14:paraId="4D432060" w14:textId="77777777" w:rsidR="00723202" w:rsidRPr="009E6273" w:rsidRDefault="00723202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</w:p>
    <w:p w14:paraId="180401C0" w14:textId="77777777" w:rsidR="00723202" w:rsidRPr="009E6273" w:rsidRDefault="00723202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</w:p>
    <w:p w14:paraId="3006E05B" w14:textId="77777777" w:rsidR="00723202" w:rsidRPr="009E6273" w:rsidRDefault="00723202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</w:p>
    <w:p w14:paraId="59D557E2" w14:textId="7FBE8B2C" w:rsidR="007756EF" w:rsidRPr="009E6273" w:rsidRDefault="00B2073A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 xml:space="preserve">OPIS PRZEDMIOTU ZAMÓWIENIA </w:t>
      </w:r>
    </w:p>
    <w:p w14:paraId="45F15CFC" w14:textId="77777777" w:rsidR="00716B5D" w:rsidRPr="009E6273" w:rsidRDefault="00716B5D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</w:pPr>
    </w:p>
    <w:p w14:paraId="68996AC4" w14:textId="7642552E" w:rsidR="007756EF" w:rsidRPr="009E6273" w:rsidRDefault="007756EF" w:rsidP="007756EF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Wykonanie </w:t>
      </w:r>
      <w:bookmarkStart w:id="0" w:name="_Hlk187233420"/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dokumentacji </w:t>
      </w:r>
      <w:r w:rsidR="00E72A7F"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projektowej dla</w:t>
      </w: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budynków mieszkalnych  wielorodzinnych </w:t>
      </w:r>
      <w:r w:rsidRPr="009E6273"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na działce nr </w:t>
      </w:r>
      <w:r w:rsidRPr="009E6273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643 obręb </w:t>
      </w:r>
      <w:r w:rsidR="00E72A7F" w:rsidRPr="009E6273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 xml:space="preserve">0003 </w:t>
      </w:r>
      <w:bookmarkStart w:id="1" w:name="_Hlk190079352"/>
      <w:r w:rsidRPr="009E6273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Gietrzwałd</w:t>
      </w:r>
      <w:bookmarkEnd w:id="1"/>
      <w:r w:rsidR="00E72A7F" w:rsidRPr="009E6273"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, gmina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E72A7F" w:rsidRPr="009E6273"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Gietrzwałd</w:t>
      </w:r>
      <w:r w:rsidR="00E72A7F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, 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powiat olsztyński, województwo warmińsko-mazurskie</w:t>
      </w:r>
      <w:bookmarkEnd w:id="0"/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.</w:t>
      </w:r>
    </w:p>
    <w:p w14:paraId="401742AE" w14:textId="77777777" w:rsidR="00716B5D" w:rsidRPr="009E6273" w:rsidRDefault="00716B5D" w:rsidP="007756E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0A1D018" w14:textId="77777777" w:rsidR="007756EF" w:rsidRPr="009E6273" w:rsidRDefault="007756EF" w:rsidP="007756EF">
      <w:pPr>
        <w:tabs>
          <w:tab w:val="left" w:pos="36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13"/>
          <w:kern w:val="0"/>
          <w:sz w:val="22"/>
          <w:szCs w:val="22"/>
          <w:lang w:eastAsia="ar-SA"/>
          <w14:ligatures w14:val="none"/>
        </w:rPr>
        <w:t>1.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WSTĘP</w:t>
      </w:r>
    </w:p>
    <w:p w14:paraId="5E3C94EF" w14:textId="77777777" w:rsidR="00716B5D" w:rsidRPr="009E6273" w:rsidRDefault="007756EF" w:rsidP="00716B5D">
      <w:pPr>
        <w:spacing w:after="0" w:line="276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1.1. Przedmiot dokumentacji projektowej</w:t>
      </w:r>
    </w:p>
    <w:p w14:paraId="6B66C2C9" w14:textId="0686418D" w:rsidR="007756EF" w:rsidRPr="009E6273" w:rsidRDefault="007756EF" w:rsidP="00716B5D">
      <w:pPr>
        <w:spacing w:after="0" w:line="276" w:lineRule="auto"/>
        <w:ind w:left="14"/>
        <w:jc w:val="both"/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Przedmiotem niniejszego opisu przedmiotu umowy są wymagania dotyczące wykonania i odbioru kompletnej, wielobranżowej dokumentacji projektowej dla projektu budowlanego i wykonawczego </w:t>
      </w:r>
      <w:r w:rsid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(z uzyskaniem decyzji o pozwoleniu na budowę), dla zadania inwestycyjnego pn.: 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„Budowa budynków mieszkalnych wielorodzinn</w:t>
      </w:r>
      <w:r w:rsidR="0062077D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ych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554E68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wraz z infrastrukturą techniczną, zlokalizowanych na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działce </w:t>
      </w:r>
      <w:r w:rsidR="00D16C3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nr 643</w:t>
      </w:r>
      <w:r w:rsidR="00554E68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, 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obręb</w:t>
      </w:r>
      <w:r w:rsidR="00554E68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0003</w:t>
      </w:r>
      <w:r w:rsidRPr="009E6273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Gietrzwałd</w:t>
      </w:r>
      <w:r w:rsidR="00554E68" w:rsidRPr="009E6273"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, gmina</w:t>
      </w:r>
      <w:r w:rsidRPr="009E6273">
        <w:rPr>
          <w:rFonts w:ascii="Times New Roman" w:eastAsiaTheme="majorEastAsia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Gietrzwałd,  powiat olsztyński, woj. województwo warmińsko-mazurskie”.</w:t>
      </w:r>
    </w:p>
    <w:p w14:paraId="2495C27B" w14:textId="77777777" w:rsidR="00E72A7F" w:rsidRPr="009E6273" w:rsidRDefault="00E72A7F" w:rsidP="00716B5D">
      <w:pPr>
        <w:spacing w:after="0" w:line="276" w:lineRule="auto"/>
        <w:ind w:left="14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</w:p>
    <w:p w14:paraId="4C0BD671" w14:textId="678D6136" w:rsidR="007756EF" w:rsidRPr="009E6273" w:rsidRDefault="007756EF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Projekt budynków należy dostosować</w:t>
      </w:r>
      <w:r w:rsidR="001064C9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do </w:t>
      </w:r>
      <w:r w:rsidR="00CA655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obowiązującego</w:t>
      </w:r>
      <w:r w:rsidR="004B29A5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4B29A5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M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iejscowego</w:t>
      </w:r>
      <w:r w:rsidR="004B29A5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 P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lanu </w:t>
      </w:r>
      <w:r w:rsidR="004B29A5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Z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agospodarowania </w:t>
      </w:r>
      <w:r w:rsidR="004B29A5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P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rzestrzennego </w:t>
      </w:r>
      <w:r w:rsidRPr="009E6273">
        <w:rPr>
          <w:rFonts w:ascii="Times New Roman" w:eastAsia="Times New Roman" w:hAnsi="Times New Roman" w:cs="Times New Roman"/>
          <w:b/>
          <w:kern w:val="3"/>
          <w:sz w:val="22"/>
          <w:szCs w:val="22"/>
          <w:lang w:eastAsia="en-GB"/>
          <w14:ligatures w14:val="none"/>
        </w:rPr>
        <w:t>dla działki 643</w:t>
      </w:r>
      <w:r w:rsidR="00BF2566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 </w:t>
      </w:r>
      <w:r w:rsidR="00E72A7F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–</w:t>
      </w:r>
      <w:r w:rsidR="00E72A7F" w:rsidRPr="009E6273">
        <w:rPr>
          <w:rFonts w:ascii="Times New Roman" w:eastAsia="Times New Roman" w:hAnsi="Times New Roman" w:cs="Times New Roman"/>
          <w:b/>
          <w:kern w:val="3"/>
          <w:sz w:val="22"/>
          <w:szCs w:val="22"/>
          <w:lang w:eastAsia="en-GB"/>
          <w14:ligatures w14:val="none"/>
        </w:rPr>
        <w:t xml:space="preserve"> U</w:t>
      </w:r>
      <w:r w:rsidRPr="009E6273">
        <w:rPr>
          <w:rFonts w:ascii="Times New Roman" w:eastAsia="Times New Roman" w:hAnsi="Times New Roman" w:cs="Times New Roman"/>
          <w:b/>
          <w:kern w:val="3"/>
          <w:sz w:val="22"/>
          <w:szCs w:val="22"/>
          <w:lang w:eastAsia="en-GB"/>
          <w14:ligatures w14:val="none"/>
        </w:rPr>
        <w:t>chwała Nr XIII/98/2019 Rady Gminy Gietrzwałd z dnia 25 września 2019 r</w:t>
      </w:r>
      <w:r w:rsidR="00E72A7F" w:rsidRPr="009E6273">
        <w:rPr>
          <w:rFonts w:ascii="Times New Roman" w:eastAsia="Times New Roman" w:hAnsi="Times New Roman" w:cs="Times New Roman"/>
          <w:b/>
          <w:kern w:val="3"/>
          <w:sz w:val="22"/>
          <w:szCs w:val="22"/>
          <w:lang w:eastAsia="en-GB"/>
          <w14:ligatures w14:val="none"/>
        </w:rPr>
        <w:t>oku</w:t>
      </w:r>
      <w:r w:rsidR="00E72A7F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.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Teren</w:t>
      </w:r>
      <w:r w:rsidR="0082690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, na którym planowana jest inwestycja zlokalizowany jest na Obszarze Chronionego Krajobrazu Doliny Pasłęki, na którym obowiązują odrębne przepisy w sprawie </w:t>
      </w:r>
      <w:r w:rsid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82690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ww. obszaru chronionego krajobrazu. Teren, na który</w:t>
      </w:r>
      <w:r w:rsidR="00E72A7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</w:t>
      </w:r>
      <w:r w:rsidR="0082690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planowana jest inwestycja nie znajdują się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82690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strefie ochrony konserwatorskiej;</w:t>
      </w:r>
    </w:p>
    <w:p w14:paraId="4C04367A" w14:textId="77777777" w:rsidR="006276A9" w:rsidRPr="009E6273" w:rsidRDefault="006276A9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1E0483FD" w14:textId="77777777" w:rsidR="006276A9" w:rsidRPr="009E6273" w:rsidRDefault="006276A9" w:rsidP="006276A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Przedmiotowe zamówienie będzie realizowane z wykorzystaniem z finansowego wsparcia z Funduszu Dopłat oraz finansowania zwrotnego w ramach realizacji przez Bank Gospodarstwa Krajowego rządowego programu popierania budownictwa mieszkaniowego.</w:t>
      </w:r>
    </w:p>
    <w:p w14:paraId="47F1981E" w14:textId="77777777" w:rsidR="00CA655D" w:rsidRPr="009E6273" w:rsidRDefault="00CA655D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</w:pPr>
    </w:p>
    <w:p w14:paraId="40DC4457" w14:textId="76D6B15C" w:rsidR="007756EF" w:rsidRPr="009E6273" w:rsidRDefault="007756EF" w:rsidP="007756EF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pacing w:val="-1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spacing w:val="-1"/>
          <w:kern w:val="0"/>
          <w:sz w:val="22"/>
          <w:szCs w:val="22"/>
          <w:u w:val="single"/>
          <w:lang w:eastAsia="ar-SA"/>
          <w14:ligatures w14:val="none"/>
        </w:rPr>
        <w:t>W skład przedmiotu umowy wchodzą następujące opracowania:</w:t>
      </w:r>
    </w:p>
    <w:p w14:paraId="139EB39B" w14:textId="5EFAD044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Koncepcja </w:t>
      </w:r>
      <w:r w:rsidR="00BF2566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architektoniczna i zagospodarowanie terenu</w:t>
      </w:r>
      <w:r w:rsidR="002C0028"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– w liczbie </w:t>
      </w:r>
      <w:r w:rsidR="00D20A62"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>1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egzemplarz</w:t>
      </w:r>
      <w:r w:rsidR="00EF638D"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w formie papierowej oraz </w:t>
      </w:r>
      <w:r w:rsidR="000912D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1 egzemplarz w formie cyfrowej (edytowalnej i nieedytowalnej) </w:t>
      </w:r>
    </w:p>
    <w:p w14:paraId="7C5B919C" w14:textId="5D369FD6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Mapa sytuacyjno-wysokościowa do celów projektowych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- w liczbie 3 egzemplarzy w formie papierowego oryginału w skali 1:500 oraz w wersji cyfrowej (.dxf i .pdf);</w:t>
      </w:r>
    </w:p>
    <w:p w14:paraId="5FEE09FA" w14:textId="77777777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Projekt budowlany, w tym:</w:t>
      </w:r>
    </w:p>
    <w:p w14:paraId="4A01A2D9" w14:textId="3AF89699" w:rsidR="007756EF" w:rsidRPr="009E6273" w:rsidRDefault="00CA655D" w:rsidP="007756EF">
      <w:pPr>
        <w:widowControl w:val="0"/>
        <w:numPr>
          <w:ilvl w:val="3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  </w:t>
      </w:r>
      <w:r w:rsidR="007756EF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Projekt zagospodarowania działki lub terenu (w skali 1:500)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i</w:t>
      </w:r>
      <w:r w:rsidR="007756EF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Projekt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7756EF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architektoniczno – budowlany (w skali 1:50, opcjonalnie za zgodą SIM KZN-Północ </w:t>
      </w:r>
      <w:r w:rsid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br/>
      </w:r>
      <w:r w:rsidR="007756EF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w skali 1:100)  wraz z załącznikami 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– 3 egzemplarze w formie papierowej </w:t>
      </w:r>
      <w:r w:rsid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oraz </w:t>
      </w:r>
      <w:bookmarkStart w:id="2" w:name="_Hlk190083597"/>
      <w:r w:rsidR="0015764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egzemplarz </w:t>
      </w:r>
      <w:r w:rsidR="0015764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 formie cyfrowej (edytowalnej i nieedytowalnej) na nośniku cyfrowym </w:t>
      </w:r>
      <w:bookmarkEnd w:id="2"/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uwzględniający</w:t>
      </w:r>
      <w:r w:rsidR="0015764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wszystkie branże niezbędne do uzyskania pozwolenia na budowę; </w:t>
      </w:r>
    </w:p>
    <w:p w14:paraId="3BD12F4E" w14:textId="6DB64066" w:rsidR="007756EF" w:rsidRPr="009E6273" w:rsidRDefault="00CA655D" w:rsidP="007756EF">
      <w:pPr>
        <w:widowControl w:val="0"/>
        <w:numPr>
          <w:ilvl w:val="3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  </w:t>
      </w:r>
      <w:r w:rsidR="007756EF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Projekt techniczny (w skali 1:50, opcjonalnie za zgodą SIM KZN-Północ w skali 1:100) 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– </w:t>
      </w:r>
      <w:r w:rsidR="000912D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   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3 egzemplarze w formie papierowej oraz </w:t>
      </w:r>
      <w:r w:rsidR="0015764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</w:t>
      </w:r>
      <w:r w:rsidR="000912D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               </w:t>
      </w:r>
      <w:r w:rsidR="0015764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i nieedytowalnej) na nośniku cyfrowym 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– uwzględniający wszystkie branże niezbędne do opracowania dokumentacji projektowej, zgodnej z projektem zagospodarowania działki lub terenu oraz projektem architektoniczno-budowlanym, zatwierdzonych w decyzji</w:t>
      </w:r>
      <w:r w:rsid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 pozwoleniu na budowę;</w:t>
      </w:r>
    </w:p>
    <w:p w14:paraId="43B6A81E" w14:textId="77777777" w:rsidR="00CA655D" w:rsidRPr="009E6273" w:rsidRDefault="00CA655D" w:rsidP="00CA655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</w:p>
    <w:p w14:paraId="6310A052" w14:textId="77777777" w:rsidR="007756EF" w:rsidRPr="009E6273" w:rsidRDefault="007756EF" w:rsidP="007756E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lastRenderedPageBreak/>
        <w:t>UWAGA: - w przypadku wybrania przez Projektanta ścieżki uzyskania pozwolenia na budowę w formie papierowej, należy przewidzieć dostarczenie Zamawiającemu 3 egzemplarzy kompletnego projektu budowlanego w wersji papierowej wraz z decyzją udzielającą pozwolenia na budowę.</w:t>
      </w:r>
    </w:p>
    <w:p w14:paraId="1A97DBB9" w14:textId="77777777" w:rsidR="00CA655D" w:rsidRPr="009E6273" w:rsidRDefault="00CA655D" w:rsidP="007756E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u w:val="single"/>
          <w:lang w:eastAsia="ar-SA"/>
          <w14:ligatures w14:val="none"/>
        </w:rPr>
      </w:pPr>
    </w:p>
    <w:p w14:paraId="6B0DB34F" w14:textId="77777777" w:rsidR="00627C27" w:rsidRPr="009E6273" w:rsidRDefault="00627C27" w:rsidP="007756EF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u w:val="single"/>
          <w:lang w:eastAsia="ar-SA"/>
          <w14:ligatures w14:val="none"/>
        </w:rPr>
      </w:pPr>
    </w:p>
    <w:p w14:paraId="0FE35397" w14:textId="242CE400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Projekt wykonawczy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– 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(rzuty -w skali 1:50, opcjonalnie za zgodą SIM KZN-Północ w skali 1:100; rysunki </w:t>
      </w:r>
      <w:r w:rsidR="00226AD4"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detali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w skali od 1:5 do 1:10)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– 3 egzemplarze w formie papierowej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 i nieedytowalnej) na nośniku cyfrowym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– będący uszczegółowieniem projektu budowlanego w stopniu pozwalającym prawidłowo wycenić i zrealizować roboty budowlane;. </w:t>
      </w:r>
    </w:p>
    <w:p w14:paraId="0832CEB9" w14:textId="32BE0A47" w:rsidR="00627C27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Szczegółowa specyfikacja techniczna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wykonania i odbioru robót budowlanych –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3 egzemplarze w formie papierowej 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1 egzemplarz w formie cyfrowej (edytowalnej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i nieedytowalnej) na nośniku cyfrowym </w:t>
      </w:r>
    </w:p>
    <w:p w14:paraId="72E79DFE" w14:textId="7DD1EC16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Przedmiar robót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 układzie specyfikacyjnym – 3 egzemplarze w formie papierowej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 i nieedytowalnej) na nośniku cyfrowym</w:t>
      </w:r>
      <w:r w:rsidR="00BF256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</w:p>
    <w:p w14:paraId="3AA510EF" w14:textId="7F2BE7D2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Kosztorys inwestorski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szczegółowy w układzie specyfikacyjnym – 2 egzemplarze w formie papierowej 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 i nieedytowalnej) na nośniku</w:t>
      </w:r>
      <w:r w:rsidR="00BF256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cyfrowym</w:t>
      </w:r>
      <w:r w:rsidR="00BF256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</w:p>
    <w:p w14:paraId="69877DCF" w14:textId="52695CAC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Kosztorys ofertowy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– 2 egzemplarze w formie papierowej 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 i nieedytowalnej) na nośniku cyfrowym</w:t>
      </w:r>
      <w:r w:rsidR="00BF2566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</w:p>
    <w:p w14:paraId="0DF25800" w14:textId="795AFD8D" w:rsidR="007756EF" w:rsidRPr="009E6273" w:rsidRDefault="007756EF" w:rsidP="007756EF">
      <w:pPr>
        <w:widowControl w:val="0"/>
        <w:numPr>
          <w:ilvl w:val="2"/>
          <w:numId w:val="1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Karty informacyjne lokali mieszkalnych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– 3 egzemplarze w formie papierowej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oraz </w:t>
      </w:r>
      <w:r w:rsidR="00627C27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1 egzemplarz w formie cyfrowej (edytowalnej i nieedytowalnej) na nośniku cyfrowym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, 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>uwzględniając</w:t>
      </w:r>
      <w:r w:rsidR="00627C27"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>y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przykładową aranżację, przebiegi instalacji, sytuację w terenie i lokalizację na danej kondygnacji budynku, które posłużą Zamawiającemu w celach marketingowych.</w:t>
      </w:r>
    </w:p>
    <w:p w14:paraId="2526BDC3" w14:textId="77777777" w:rsidR="007756EF" w:rsidRPr="009E6273" w:rsidRDefault="007756EF" w:rsidP="007756E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5A4A996F" w14:textId="77777777" w:rsidR="007756EF" w:rsidRPr="009E6273" w:rsidRDefault="007756EF" w:rsidP="00D16C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Ponadto w ramach realizacji niniejszego zamówienia Wykonawca zobowiązany będzie do podjęcia na swój koszt wszelkich działań faktycznych i prawnych niezbędnych do realizacji przedmiotu zamówienia, a w szczególności do:</w:t>
      </w:r>
    </w:p>
    <w:p w14:paraId="7AED2EFB" w14:textId="493BDE73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Uzyskania w imieniu i na rzecz Zamawiającego wszelkich opinii, sprawdzeń i uzgodnień rozwiązań projektowych oraz decyzji administracyjnych niezbędnych do uzyskania pozwolenia na budowę.</w:t>
      </w:r>
    </w:p>
    <w:p w14:paraId="78305674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Uzgodnienia projektów branżowych z właściwymi gestorami sieci oraz uzyskania wszelkich niezbędnych opinii, uzgodnień i warunków technicznych;</w:t>
      </w:r>
    </w:p>
    <w:p w14:paraId="7171A955" w14:textId="3F9D099A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Sporządzenia informacji dotyczącej bezpieczeństwa i ochrony zdrowia ze względu na specyfikę projektowanego obiektu budowlanego, uwzględnianej w planie bezpieczeństwa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i ochrony zdrowia;</w:t>
      </w:r>
    </w:p>
    <w:p w14:paraId="4BF55E1E" w14:textId="35D74E27" w:rsidR="002C0028" w:rsidRPr="009E6273" w:rsidRDefault="00535F0D" w:rsidP="00D16C33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Uzyskania opinii geotechnicznej na potrzeby planowanej Inwestycji w celu rozpoznania warunków gruntowo-wodnych i przyjęcia sposobu posadowienia obiektu budowlanego,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a w zależności od potrzeb - dokumentację geologiczno-inżynierską lub geotechniczne warunki posadowienia obiektów budowlanych;</w:t>
      </w:r>
    </w:p>
    <w:p w14:paraId="307A1233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Uzyskania (o ile zajdzie taka potrzeba) stosownych odstępstw od właściwych przepisów techniczno-budowlanych;</w:t>
      </w:r>
    </w:p>
    <w:p w14:paraId="5618ECCB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Zapewnia uczestnictwa osoby, pełniącej funkcję głównego projektanta, jak i projektantów branżowych we wszystkich spotkaniach z Zamawiającym, związanych z realizacją przedmiotowej dokumentacji, w szczególności na etapie przyjmowania założeń projektowych;</w:t>
      </w:r>
    </w:p>
    <w:p w14:paraId="1540FF6A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Przedłożenia pozostałych opracowań objętych przedmiotem umowy w formie i postaci zgodnej z przepisami prawa i określonymi przez Zamawiającego wymogami.</w:t>
      </w:r>
    </w:p>
    <w:p w14:paraId="79934CE9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lastRenderedPageBreak/>
        <w:t>Uzyskania decyzji o pozwoleniu na budowę dla przedmiotowej inwestycji, na podstawie udzielonego upoważnienia przez Zamawiającego.</w:t>
      </w:r>
    </w:p>
    <w:p w14:paraId="22FA8AD2" w14:textId="21B85F7D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Świadczenia usług wsparcia technicznego dla Zamawiającego, na etapie przygotowania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i prowadzenia postępowania przetargowego na wybór wykonawcy robót budowlanych,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zakresie odnoszącym się do technicznych wymagań wynikających ze zrealizowanych przez Wykonawcę opracowań, w szczególności przygotowywania projektów odpowiedzi na pytania potencjalnych wykonawców robót budowlanych dotyczących tych opracowań.</w:t>
      </w:r>
    </w:p>
    <w:p w14:paraId="00AC5DA7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ramach gwarancji jakości, dokonywania niezbędnych poprawek i uzupełnień w projekcie, w przypadku braków lub błędów w dokumentacji zauważonych na etapie uzyskania pozwolenia na budowę jak i realizowania robót budowlanych.</w:t>
      </w:r>
    </w:p>
    <w:p w14:paraId="6F918E75" w14:textId="77777777" w:rsidR="007756EF" w:rsidRPr="009E6273" w:rsidRDefault="007756EF" w:rsidP="00D16C33">
      <w:pPr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Świadczenia usług nadzoru autorskiego nad projektem w toku wykonywania robót budowlanych (po zawarciu odrębnej umowy).</w:t>
      </w:r>
    </w:p>
    <w:p w14:paraId="5EB9585C" w14:textId="77777777" w:rsidR="00CA655D" w:rsidRPr="009E6273" w:rsidRDefault="00CA655D" w:rsidP="00CA655D">
      <w:pPr>
        <w:shd w:val="clear" w:color="auto" w:fill="FFFFFF"/>
        <w:spacing w:after="0" w:line="276" w:lineRule="auto"/>
        <w:ind w:left="1085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3E130096" w14:textId="77777777" w:rsidR="007756EF" w:rsidRPr="009E6273" w:rsidRDefault="007756EF" w:rsidP="007756EF">
      <w:pPr>
        <w:tabs>
          <w:tab w:val="left" w:pos="360"/>
        </w:tabs>
        <w:spacing w:after="0" w:line="276" w:lineRule="auto"/>
        <w:ind w:left="5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9"/>
          <w:kern w:val="0"/>
          <w:sz w:val="22"/>
          <w:szCs w:val="22"/>
          <w:lang w:eastAsia="ar-SA"/>
          <w14:ligatures w14:val="none"/>
        </w:rPr>
        <w:t>2.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WYMAGANIA DLA PROJEKTOWANEJ INWESTYCJI</w:t>
      </w:r>
    </w:p>
    <w:p w14:paraId="7A0A5707" w14:textId="77777777" w:rsidR="007756EF" w:rsidRPr="009E6273" w:rsidRDefault="007756EF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Opracowania wyszczególnione w ppkt. 1.1. powinny zostać wykonane w szczególności w oparciu o:</w:t>
      </w:r>
    </w:p>
    <w:p w14:paraId="79B98DE4" w14:textId="77777777" w:rsidR="007756EF" w:rsidRPr="009E6273" w:rsidRDefault="007756EF" w:rsidP="007756EF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Ustawę z dnia 7 lipca 1994 r. Prawo budowlane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(Dz. U. z 2021 r., poz. 2351);</w:t>
      </w:r>
    </w:p>
    <w:p w14:paraId="5E8568D3" w14:textId="393411A8" w:rsidR="007756EF" w:rsidRPr="009E6273" w:rsidRDefault="007756EF" w:rsidP="007756EF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Rozporządzenie Ministra Infrastruktury z dnia 12 kwietnia 2002 r. w sprawie warunków technicznych, jakim powinny odpowiadać budynki i ich usytuowanie (Dz. U. z 2002 r. Nr 75 poz. 690), z uwzględnieniem zmian wprowadzonych rozporządzeniem Ministra Transportu, Budownictwa i Gospodarki Morskiej z dnia 15.04.2022r. zmieniającym rozporządzenie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sprawie warunków technicznych, jakim powinny odpowiadać budynki i ich usytuowanie (Dz. U. z 2022r. poz. 1225);</w:t>
      </w:r>
    </w:p>
    <w:p w14:paraId="3F135060" w14:textId="77777777" w:rsidR="007756EF" w:rsidRPr="009E6273" w:rsidRDefault="007756EF" w:rsidP="007756EF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Wytyczne zawarte w Rozporządzeniu Rady Ministrów z dnia 20 października 2015 r. w sprawie warunków i trybu finansowania zwrotnego w ramach realizacji przez Bank Gospodarstwa Krajowego rządowego programu popierania budownictwa mieszkaniowego oraz minimalnych wymagań dotyczących lokali powstałych przy udziale tego finansowania;</w:t>
      </w:r>
    </w:p>
    <w:p w14:paraId="362AA7C9" w14:textId="1D962C4E" w:rsidR="00535F0D" w:rsidRPr="009E6273" w:rsidRDefault="007756EF" w:rsidP="00535F0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Wytyczne zawarte w Rozporządzeniu Ministra Inwestycji i Rozwoju z dnia 4 marca 2019 r.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sprawie standardów dotyczących przestrzennego kształtowania budynku i jego otoczenia, technologii wykonania i wyposażenia technicznego budynku oraz lokalizacji przedsięwzięć realizowanych z wykorzystaniem finansowego wsparcia z Funduszu Dopłat;</w:t>
      </w:r>
    </w:p>
    <w:p w14:paraId="06F08498" w14:textId="0886453F" w:rsidR="00535F0D" w:rsidRPr="009E6273" w:rsidRDefault="00535F0D" w:rsidP="00535F0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Wytyczne zawarte w obowiązującym Miejscowym Planie Zagospodarowania Przestrzennego (MPZP)</w:t>
      </w:r>
    </w:p>
    <w:p w14:paraId="1C82206E" w14:textId="77777777" w:rsidR="002C0028" w:rsidRPr="009E6273" w:rsidRDefault="002C0028" w:rsidP="002C002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49269C21" w14:textId="77777777" w:rsidR="002C0028" w:rsidRPr="009E6273" w:rsidRDefault="002C0028" w:rsidP="002C002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Inwestycja w głównej mierze, powinna uwzględniać cechy typowe dla budownictwa energooszczędnego, z możliwością zastosowania odnawialnych źródeł energii, z nowoczesnym wyglądem i funkcjonalnymi rozwiązaniami, wtapiającymi się w otaczający ją krajobraz, przy jednoczesnym zachowaniu cech architektury typowej dla regionu Warmii i Mazur, zgodnych z zapisami Miejscowego Planu Zagospodarowania Przestrzennego.</w:t>
      </w:r>
    </w:p>
    <w:p w14:paraId="2C57144C" w14:textId="252E70BF" w:rsidR="002C0028" w:rsidRPr="009E6273" w:rsidRDefault="002C0028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Wszystkie projektowane budynki powinny być do siebie w maksymalnym stopniu podobne. Zaleca się, aby wykonanie dokumentacji projektowych dla kolejnych budynków polegało na adaptacji już wykonanych opracowań w minimalnym zakresie tj.: posadowienia, doprowadzenia przyłączy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i zagospodarowania otaczającego terenu, bez zmiany formy architektonicznej samego obiektu.</w:t>
      </w:r>
    </w:p>
    <w:p w14:paraId="0FC1459C" w14:textId="77777777" w:rsidR="002C0028" w:rsidRPr="009E6273" w:rsidRDefault="002C0028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kern w:val="0"/>
          <w:sz w:val="22"/>
          <w:szCs w:val="22"/>
          <w:lang w:eastAsia="ar-SA"/>
          <w14:ligatures w14:val="none"/>
        </w:rPr>
      </w:pPr>
    </w:p>
    <w:p w14:paraId="0A833E4B" w14:textId="77777777" w:rsidR="00BD23B1" w:rsidRPr="009E6273" w:rsidRDefault="00BD23B1" w:rsidP="007756E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kern w:val="0"/>
          <w:sz w:val="22"/>
          <w:szCs w:val="22"/>
          <w:lang w:eastAsia="ar-SA"/>
          <w14:ligatures w14:val="none"/>
        </w:rPr>
      </w:pPr>
    </w:p>
    <w:p w14:paraId="1813F207" w14:textId="77777777" w:rsidR="00CA655D" w:rsidRPr="009E6273" w:rsidRDefault="007756EF" w:rsidP="00CA655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4"/>
          <w:kern w:val="0"/>
          <w:sz w:val="22"/>
          <w:szCs w:val="22"/>
          <w:lang w:eastAsia="ar-SA"/>
          <w14:ligatures w14:val="none"/>
        </w:rPr>
        <w:t>2.2.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Charakterystyka projektowanej inwestycji</w:t>
      </w:r>
    </w:p>
    <w:p w14:paraId="439B771A" w14:textId="77777777" w:rsidR="00CA655D" w:rsidRPr="009E6273" w:rsidRDefault="007756EF" w:rsidP="00CA655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2.2.1. Zakres projektowanej Inwestycji</w:t>
      </w:r>
    </w:p>
    <w:p w14:paraId="79F101CA" w14:textId="2F32738B" w:rsidR="007756EF" w:rsidRPr="009E6273" w:rsidRDefault="007756EF" w:rsidP="00CA655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Budowa </w:t>
      </w:r>
      <w:r w:rsidR="003D48C2"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budynków mieszkalnych wielorodzinnych </w:t>
      </w:r>
      <w:r w:rsidRPr="009E627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wraz z zagospodarowaniem terenu i niezbędną infrastrukturą techniczną, swym zakresem powinna obejmować:</w:t>
      </w:r>
    </w:p>
    <w:p w14:paraId="2DDE99D2" w14:textId="0E367DBF" w:rsidR="007756EF" w:rsidRPr="009E6273" w:rsidRDefault="0082690D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bookmarkStart w:id="3" w:name="_Hlk191558835"/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lastRenderedPageBreak/>
        <w:t>Wolnostojące budynki mieszkalne wielorodzinne (ok. 60 mieszkań)</w:t>
      </w:r>
    </w:p>
    <w:p w14:paraId="4FBFD572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Drogi wewnętrzne wraz z miejscami postojowymi,</w:t>
      </w:r>
    </w:p>
    <w:p w14:paraId="0D6C4D2F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Piesze i rowerowe ciągi komunikacyjne,</w:t>
      </w:r>
    </w:p>
    <w:p w14:paraId="0ED9C497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Miejsca gromadzenia odpadów,</w:t>
      </w:r>
    </w:p>
    <w:p w14:paraId="112A9D2C" w14:textId="1765361D" w:rsidR="004A3457" w:rsidRPr="009E6273" w:rsidRDefault="004A3457" w:rsidP="004A345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Plac zabaw i miejsce rekreacyjne</w:t>
      </w:r>
    </w:p>
    <w:p w14:paraId="53579764" w14:textId="20D9A764" w:rsidR="007756EF" w:rsidRPr="009E6273" w:rsidRDefault="007756EF" w:rsidP="004A345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Obiekty małej architektury tj. ławki, stojaki na rowery, kosze na śmieci, tablice ogłoszeń i inne niezbędne lub wskazane dla dobrego funkcjonowania osiedla mieszkaniowego,</w:t>
      </w:r>
    </w:p>
    <w:p w14:paraId="6257BC8E" w14:textId="21AD8F48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Logo SIM KZN-Północ umiejscowion</w:t>
      </w:r>
      <w:r w:rsidR="00714E12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e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na elewacji budynku;</w:t>
      </w:r>
    </w:p>
    <w:p w14:paraId="5AE97CA2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Zieleń urządzoną,</w:t>
      </w:r>
    </w:p>
    <w:p w14:paraId="4A5F4604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Oświetlenie terenu,</w:t>
      </w:r>
    </w:p>
    <w:p w14:paraId="440DE843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Monitoring wizyjny na zewnątrz obiektu,</w:t>
      </w:r>
    </w:p>
    <w:p w14:paraId="64941FE4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Wszelkie niezbędne przyłącza do sieci i infrastrukturę techniczną,</w:t>
      </w:r>
    </w:p>
    <w:p w14:paraId="21984798" w14:textId="5707A8F4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bookmarkStart w:id="4" w:name="_Hlk191556397"/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Panele fotowoltaiczne montowane na dachu każdego budynku wraz z instalacją np. magazynem energii umożliwiającym racjonalne wykorzystanie zgromadzonej energii*,</w:t>
      </w:r>
    </w:p>
    <w:p w14:paraId="69FF5CEC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System indywidualnej wentylacji mechanicznej wyciągowej z odzyskiem ciepła dla każdego mieszkania (rekuperacja)*,</w:t>
      </w:r>
    </w:p>
    <w:p w14:paraId="049CA740" w14:textId="7449888D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Ciepło z sieci </w:t>
      </w:r>
      <w:r w:rsidR="00EF638D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gazowej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i/lub pompę ciepła* i/lub inne wskazane alternatywne źródło ciepła*,</w:t>
      </w:r>
    </w:p>
    <w:p w14:paraId="08C8E9BE" w14:textId="77777777" w:rsidR="007756EF" w:rsidRPr="009E6273" w:rsidRDefault="007756EF" w:rsidP="007756EF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System zagospodarowania i odzysku wody deszczowej i wody szarej*,</w:t>
      </w:r>
    </w:p>
    <w:bookmarkEnd w:id="3"/>
    <w:bookmarkEnd w:id="4"/>
    <w:p w14:paraId="1EBBC6F0" w14:textId="77777777" w:rsidR="007756EF" w:rsidRPr="009E6273" w:rsidRDefault="007756EF" w:rsidP="007756EF">
      <w:pPr>
        <w:spacing w:after="0" w:line="276" w:lineRule="auto"/>
        <w:ind w:left="720" w:hanging="7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u w:val="single"/>
          <w:lang w:eastAsia="ar-SA"/>
          <w14:ligatures w14:val="none"/>
        </w:rPr>
        <w:t>Uwaga: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(*) – zakres robót projektowych, których wykonanie będzie poddane uznaniu Zamawiającego w oparciu o możliwości finansowe Zamawiającego i/lub wytyczne Analizy technicznych, środowiskowych i ekonomicznych możliwości realizacji wysoce wydajnych systemów alternatywnych zaopatrzenia w energię i ciepło oraz Projekt koncepcyjny.</w:t>
      </w:r>
    </w:p>
    <w:p w14:paraId="24CB9F69" w14:textId="77777777" w:rsidR="007756EF" w:rsidRPr="009E6273" w:rsidRDefault="007756EF" w:rsidP="007756EF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– Zamawiający wymaga, żeby zaprojektowane budynki spełniały podwyższone standardy efektywności energetycznej tj. wartość wskaźnika rocznego zapotrzebowania budynku na nieodnawialną energię pierwotną EP ≤ 52 kWh/(m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vertAlign w:val="superscript"/>
          <w:lang w:eastAsia="ar-SA"/>
          <w14:ligatures w14:val="none"/>
        </w:rPr>
        <w:t>2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×rok). Wartość wskaźnika EP obliczona zgodnie z art. 15 ustawy z dnia 29 sierpnia 2014r. o charakterystyce energetycznej budynków (Dz.U. z 2021r. poz. 497).</w:t>
      </w:r>
    </w:p>
    <w:p w14:paraId="32AF37CB" w14:textId="7C968892" w:rsidR="007756EF" w:rsidRPr="009E6273" w:rsidRDefault="007756EF" w:rsidP="007756EF">
      <w:pPr>
        <w:keepNext/>
        <w:keepLines/>
        <w:shd w:val="clear" w:color="auto" w:fill="FFFFFF"/>
        <w:tabs>
          <w:tab w:val="left" w:pos="238"/>
        </w:tabs>
        <w:spacing w:before="360" w:after="80" w:line="276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2.2.</w:t>
      </w:r>
      <w:r w:rsidR="008B2BE8"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2</w:t>
      </w:r>
      <w:r w:rsidRPr="009E6273">
        <w:rPr>
          <w:rFonts w:ascii="Times New Roman" w:eastAsiaTheme="majorEastAsia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. Pozostałe informacje</w:t>
      </w:r>
    </w:p>
    <w:p w14:paraId="06FC2684" w14:textId="77777777" w:rsidR="007756EF" w:rsidRPr="009E6273" w:rsidRDefault="007756EF" w:rsidP="007756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Wykonawca ma obowiązek uzgodnienia z Zamawiającym zakresu niezbędnych prac projektowych; </w:t>
      </w:r>
    </w:p>
    <w:p w14:paraId="125E392C" w14:textId="77777777" w:rsidR="007756EF" w:rsidRPr="009E6273" w:rsidRDefault="007756EF" w:rsidP="007756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Każde opracowanie musi być pisemnie zaakceptowane przez Zamawiającego;</w:t>
      </w:r>
    </w:p>
    <w:p w14:paraId="43C40EB2" w14:textId="77777777" w:rsidR="007756EF" w:rsidRPr="009E6273" w:rsidRDefault="007756EF" w:rsidP="007756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Kserokopie wszelkich uzyskanych warunków, uzgodnień i opinii należy na bieżąco przekazywać Zamawiającemu, w terminach umożliwiających ewentualne skorzystanie z trybu odwoławczego.</w:t>
      </w:r>
    </w:p>
    <w:p w14:paraId="5374A7F7" w14:textId="77777777" w:rsidR="007756EF" w:rsidRPr="009E6273" w:rsidRDefault="007756EF" w:rsidP="007756EF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Ujawnione wady w przekazanych opracowaniach projektowych Wykonawca poprawi niezwłocznie po otrzymaniu zawiadomienia Zamawiającego o ich wykryciu.</w:t>
      </w:r>
    </w:p>
    <w:p w14:paraId="0E1A3FCB" w14:textId="77777777" w:rsidR="008B2BE8" w:rsidRPr="009E6273" w:rsidRDefault="008B2BE8" w:rsidP="008B2BE8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trike/>
          <w:color w:val="000000"/>
          <w:kern w:val="0"/>
          <w:sz w:val="22"/>
          <w:szCs w:val="22"/>
          <w:highlight w:val="yellow"/>
          <w:lang w:eastAsia="ar-SA"/>
          <w14:ligatures w14:val="none"/>
        </w:rPr>
      </w:pPr>
    </w:p>
    <w:p w14:paraId="2542F46F" w14:textId="77777777" w:rsidR="007756EF" w:rsidRPr="009E6273" w:rsidRDefault="007756EF" w:rsidP="007756EF">
      <w:pPr>
        <w:tabs>
          <w:tab w:val="left" w:pos="360"/>
        </w:tabs>
        <w:spacing w:after="0" w:line="276" w:lineRule="auto"/>
        <w:ind w:left="5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spacing w:val="-4"/>
          <w:kern w:val="0"/>
          <w:sz w:val="22"/>
          <w:szCs w:val="22"/>
          <w:lang w:eastAsia="ar-SA"/>
          <w14:ligatures w14:val="none"/>
        </w:rPr>
        <w:t>2.3.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 Wytyczne projektowe</w:t>
      </w:r>
    </w:p>
    <w:p w14:paraId="14A80125" w14:textId="6D750B02" w:rsidR="007756EF" w:rsidRPr="009E6273" w:rsidRDefault="00714E12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Wolnostoj</w:t>
      </w:r>
      <w:r w:rsidR="00F04844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 xml:space="preserve">ące budynki mieszkalne wielorodzinne </w:t>
      </w:r>
    </w:p>
    <w:p w14:paraId="5008FAD1" w14:textId="5C15C0D8" w:rsidR="00DB3F1B" w:rsidRPr="009E6273" w:rsidRDefault="00DB3F1B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Projekt </w:t>
      </w:r>
      <w:r w:rsidR="00922498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po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winien być opracowany na podstawie Zatwierdzonej przez Zamawiającego koncepcji architektoniczn</w:t>
      </w:r>
      <w:r w:rsidR="0031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ej i zagospodarowania terenu.</w:t>
      </w:r>
    </w:p>
    <w:p w14:paraId="05F2EE11" w14:textId="7A2B625C" w:rsidR="00DB3F1B" w:rsidRPr="009E6273" w:rsidRDefault="007756EF" w:rsidP="00DB3F1B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Dostosowanie </w:t>
      </w:r>
      <w:r w:rsidR="00FC0A6B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projektu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do</w:t>
      </w:r>
      <w:r w:rsidR="00922498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obowiązującego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M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iejscowego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P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lanu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Z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agospodarowania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P</w:t>
      </w:r>
      <w:r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rzestrzennego </w:t>
      </w:r>
      <w:r w:rsidR="009931B0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dla działki </w:t>
      </w:r>
      <w:r w:rsidR="001064C9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nr </w:t>
      </w:r>
      <w:r w:rsidR="009931B0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643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, </w:t>
      </w:r>
      <w:r w:rsidR="009931B0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obręb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0003 </w:t>
      </w:r>
      <w:r w:rsidR="009931B0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Gietrzwałd, gmina Gietrzwałd, 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U</w:t>
      </w:r>
      <w:r w:rsidR="009931B0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>chwała Nr XIII/98/2019 Rady Gminy Gietrzwałd z dnia 25 września 2019</w:t>
      </w:r>
      <w:r w:rsidR="00922498" w:rsidRPr="009E6273">
        <w:rPr>
          <w:rFonts w:ascii="Times New Roman" w:eastAsia="Times New Roman" w:hAnsi="Times New Roman" w:cs="Times New Roman"/>
          <w:bCs/>
          <w:kern w:val="3"/>
          <w:sz w:val="22"/>
          <w:szCs w:val="22"/>
          <w:lang w:eastAsia="en-GB"/>
          <w14:ligatures w14:val="none"/>
        </w:rPr>
        <w:t xml:space="preserve"> roku.</w:t>
      </w:r>
    </w:p>
    <w:p w14:paraId="3BCAF87A" w14:textId="01980C58" w:rsidR="007756EF" w:rsidRPr="009E6273" w:rsidRDefault="007756EF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Ilości mieszkań </w:t>
      </w:r>
      <w:r w:rsidR="009931B0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ok 60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szt.</w:t>
      </w:r>
    </w:p>
    <w:p w14:paraId="0B7884D2" w14:textId="0366BBCA" w:rsidR="00DB3F1B" w:rsidRPr="009E6273" w:rsidRDefault="00DB3F1B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Przy projektowaniu należy dążyć do zapewnienia możliwie wysokiej jakości,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lastRenderedPageBreak/>
        <w:t>funkcjonalności i komfortu przy jednoczesnym zachowaniu racjonalności wydatkowania środków na etapie realizacji oraz eksploatacji obiektów.</w:t>
      </w:r>
    </w:p>
    <w:p w14:paraId="7E1FEE74" w14:textId="06B4EF6C" w:rsidR="00A87281" w:rsidRPr="009E6273" w:rsidRDefault="00A87281" w:rsidP="00A87281">
      <w:pPr>
        <w:pStyle w:val="Akapitzlist"/>
        <w:numPr>
          <w:ilvl w:val="1"/>
          <w:numId w:val="6"/>
        </w:numPr>
        <w:spacing w:after="0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Kondygnacja parteru powinna być wolna od barier architektonicznych i dostosowana dla osób ze szczególnymi potrzebami.</w:t>
      </w:r>
    </w:p>
    <w:p w14:paraId="74AB2C38" w14:textId="3924A3D0" w:rsidR="007756EF" w:rsidRPr="009E6273" w:rsidRDefault="00DB3F1B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hAnsi="Times New Roman" w:cs="Times New Roman"/>
          <w:sz w:val="22"/>
          <w:szCs w:val="22"/>
        </w:rPr>
        <w:t>Z</w:t>
      </w:r>
      <w:r w:rsidR="00FC0A6B" w:rsidRPr="009E6273">
        <w:rPr>
          <w:rFonts w:ascii="Times New Roman" w:hAnsi="Times New Roman" w:cs="Times New Roman"/>
          <w:sz w:val="22"/>
          <w:szCs w:val="22"/>
        </w:rPr>
        <w:t xml:space="preserve">apewnić </w:t>
      </w:r>
      <w:r w:rsidR="00FC0A6B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minimalny udział lokali mieszkalnych dostępnych dla osób niepełnosprawnych, o których mowa w art. 1 Konwencji o prawach osób niepełnosprawnych, sporządzonej w Nowym Jorku dnia 13 grudnia 2006 r., w tym osób starszych w ogólnej liczbie lokali mieszkalnych w budynku wielorodzinnym;</w:t>
      </w:r>
    </w:p>
    <w:p w14:paraId="65CC609E" w14:textId="77777777" w:rsidR="007756EF" w:rsidRPr="009E6273" w:rsidRDefault="007756EF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kern w:val="0"/>
          <w:sz w:val="22"/>
          <w:szCs w:val="22"/>
          <w:u w:val="single"/>
          <w:lang w:eastAsia="ar-SA"/>
          <w14:ligatures w14:val="none"/>
        </w:rPr>
        <w:t>Drogi wewnętrzne i miejsca postojowe:</w:t>
      </w:r>
    </w:p>
    <w:p w14:paraId="6CA38C66" w14:textId="01A82303" w:rsidR="007756EF" w:rsidRPr="009E6273" w:rsidRDefault="007756EF" w:rsidP="007756EF">
      <w:pPr>
        <w:widowControl w:val="0"/>
        <w:numPr>
          <w:ilvl w:val="1"/>
          <w:numId w:val="7"/>
        </w:numPr>
        <w:tabs>
          <w:tab w:val="left" w:pos="706"/>
          <w:tab w:val="left" w:pos="1138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miejsca postojowe niezadaszone powinny być wykonane jako częściowo ażurowe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(z wyjątkiem miejsc dla osób niepełnosprawnych),</w:t>
      </w:r>
    </w:p>
    <w:p w14:paraId="4D19DB54" w14:textId="0E0DFC97" w:rsidR="003156EF" w:rsidRPr="009E6273" w:rsidRDefault="003156EF" w:rsidP="007756EF">
      <w:pPr>
        <w:widowControl w:val="0"/>
        <w:numPr>
          <w:ilvl w:val="1"/>
          <w:numId w:val="7"/>
        </w:numPr>
        <w:tabs>
          <w:tab w:val="left" w:pos="706"/>
          <w:tab w:val="left" w:pos="1138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Drogi wewnętrzne powinny być wykonane o nawierzchni z betonowej kostki brukowej.</w:t>
      </w:r>
    </w:p>
    <w:p w14:paraId="594E20AF" w14:textId="7DB0E4EF" w:rsidR="007756EF" w:rsidRPr="009E6273" w:rsidRDefault="00F04844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Piesze i rowerowe ciągi komunikacyjne</w:t>
      </w:r>
      <w:r w:rsidR="007756EF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:</w:t>
      </w:r>
    </w:p>
    <w:p w14:paraId="2548CEB0" w14:textId="77777777" w:rsidR="007756EF" w:rsidRPr="009E6273" w:rsidRDefault="007756EF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nawierzchnie wykonane z drobnowymiarowych elementów betonowych,</w:t>
      </w:r>
    </w:p>
    <w:p w14:paraId="1C9CCB06" w14:textId="77777777" w:rsidR="00F04844" w:rsidRPr="009E6273" w:rsidRDefault="00F04844" w:rsidP="00F04844">
      <w:pPr>
        <w:widowControl w:val="0"/>
        <w:tabs>
          <w:tab w:val="left" w:pos="293"/>
        </w:tabs>
        <w:autoSpaceDE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752E0C1A" w14:textId="77777777" w:rsidR="007756EF" w:rsidRPr="009E6273" w:rsidRDefault="007756EF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Miejsca gromadzenia odpadów:</w:t>
      </w:r>
    </w:p>
    <w:p w14:paraId="34E2A9E8" w14:textId="6E519D85" w:rsidR="00582AE3" w:rsidRPr="009E6273" w:rsidRDefault="007756EF" w:rsidP="00582AE3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lokalizacja i rodzaj miejsc gromadzenia odpadów winny być uzgodnione z właściwym dla gminy </w:t>
      </w:r>
      <w:r w:rsidR="009931B0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Gietrzwałd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zakładem gospodarki komunalnej; należy przewidzieć miejsce składowania odpadów wielkogabarytowych.</w:t>
      </w:r>
    </w:p>
    <w:p w14:paraId="58495F04" w14:textId="77777777" w:rsidR="00582AE3" w:rsidRPr="009E6273" w:rsidRDefault="00582AE3" w:rsidP="00582AE3">
      <w:pPr>
        <w:widowControl w:val="0"/>
        <w:tabs>
          <w:tab w:val="left" w:pos="293"/>
        </w:tabs>
        <w:autoSpaceDE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596AE5AC" w14:textId="3E0D1E34" w:rsidR="00582AE3" w:rsidRPr="009E6273" w:rsidRDefault="00582AE3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 xml:space="preserve">Plac zabaw i miejsce rekreacyjne </w:t>
      </w:r>
    </w:p>
    <w:p w14:paraId="3CDEEB84" w14:textId="249FA393" w:rsidR="00582AE3" w:rsidRPr="009E6273" w:rsidRDefault="00582AE3" w:rsidP="00582AE3">
      <w:pPr>
        <w:pStyle w:val="Akapitzlist"/>
        <w:widowControl w:val="0"/>
        <w:numPr>
          <w:ilvl w:val="1"/>
          <w:numId w:val="6"/>
        </w:numPr>
        <w:tabs>
          <w:tab w:val="left" w:pos="293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kombinacja urządzeń zabawowych powinna pozwalać na korzystanie z placu zabaw przez osoby w wieku od 1 do 15 lat,</w:t>
      </w:r>
    </w:p>
    <w:p w14:paraId="21823B8F" w14:textId="6A329077" w:rsidR="00582AE3" w:rsidRPr="009E6273" w:rsidRDefault="00582AE3" w:rsidP="00582AE3">
      <w:pPr>
        <w:pStyle w:val="Akapitzlist"/>
        <w:widowControl w:val="0"/>
        <w:numPr>
          <w:ilvl w:val="1"/>
          <w:numId w:val="6"/>
        </w:numPr>
        <w:tabs>
          <w:tab w:val="left" w:pos="293"/>
        </w:tabs>
        <w:spacing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na placu zabaw winno znaleźć się przynajmniej jedno urządzenie pozwalające na korzystanie z niego przez osoby z niepełnosprawnościami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,</w:t>
      </w:r>
    </w:p>
    <w:p w14:paraId="65A3968D" w14:textId="4CEDC9FE" w:rsidR="007756EF" w:rsidRPr="009E6273" w:rsidRDefault="007756EF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Obiekty małej architektury:</w:t>
      </w:r>
    </w:p>
    <w:p w14:paraId="4FD3886C" w14:textId="77777777" w:rsidR="007756EF" w:rsidRPr="009E6273" w:rsidRDefault="007756EF" w:rsidP="007756EF">
      <w:pPr>
        <w:widowControl w:val="0"/>
        <w:numPr>
          <w:ilvl w:val="1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należy dążyć do ujednolicenia stylu wszystkich projektowanych obiektów małej architektury w ramach całego osiedla</w:t>
      </w:r>
    </w:p>
    <w:p w14:paraId="26910ABB" w14:textId="77777777" w:rsidR="00F04844" w:rsidRPr="009E6273" w:rsidRDefault="00F04844" w:rsidP="00F04844">
      <w:pPr>
        <w:widowControl w:val="0"/>
        <w:tabs>
          <w:tab w:val="left" w:pos="293"/>
        </w:tabs>
        <w:autoSpaceDE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012588FB" w14:textId="3301C3C8" w:rsidR="007756EF" w:rsidRPr="009E6273" w:rsidRDefault="00F04844" w:rsidP="007756EF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Logo SIM KZN-Północ umiejscowione na elewacji budynku</w:t>
      </w:r>
    </w:p>
    <w:p w14:paraId="7F4E1FB4" w14:textId="77777777" w:rsidR="00F04844" w:rsidRPr="009E6273" w:rsidRDefault="00F04844" w:rsidP="00F04844">
      <w:pPr>
        <w:widowControl w:val="0"/>
        <w:tabs>
          <w:tab w:val="left" w:pos="293"/>
        </w:tabs>
        <w:autoSpaceDE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</w:p>
    <w:p w14:paraId="5FA965D1" w14:textId="6940F20D" w:rsidR="006276A9" w:rsidRPr="009E6273" w:rsidRDefault="00F04844" w:rsidP="006276A9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Zieleń urządzona</w:t>
      </w:r>
    </w:p>
    <w:p w14:paraId="1B56EDA1" w14:textId="09252C41" w:rsidR="006276A9" w:rsidRPr="009E6273" w:rsidRDefault="00F04844" w:rsidP="00F04844">
      <w:pPr>
        <w:widowControl w:val="0"/>
        <w:numPr>
          <w:ilvl w:val="1"/>
          <w:numId w:val="6"/>
        </w:numPr>
        <w:tabs>
          <w:tab w:val="left" w:pos="706"/>
          <w:tab w:val="left" w:pos="1138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Zaprojektować zieleń w uzgodnieniu z Zamawiającym </w:t>
      </w:r>
    </w:p>
    <w:p w14:paraId="1D2E0E67" w14:textId="77777777" w:rsidR="00F04844" w:rsidRPr="009E6273" w:rsidRDefault="00F04844" w:rsidP="00F04844">
      <w:pPr>
        <w:widowControl w:val="0"/>
        <w:tabs>
          <w:tab w:val="left" w:pos="706"/>
          <w:tab w:val="left" w:pos="1138"/>
        </w:tabs>
        <w:autoSpaceDE w:val="0"/>
        <w:spacing w:after="0" w:line="276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603D37D2" w14:textId="3858CEAA" w:rsidR="00F04844" w:rsidRPr="009E6273" w:rsidRDefault="006276A9" w:rsidP="00F04844">
      <w:pPr>
        <w:widowControl w:val="0"/>
        <w:numPr>
          <w:ilvl w:val="0"/>
          <w:numId w:val="6"/>
        </w:numPr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>Oświetlenie terenu.</w:t>
      </w:r>
      <w:r w:rsidR="00F04844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 xml:space="preserve"> </w:t>
      </w:r>
    </w:p>
    <w:p w14:paraId="1679FC8C" w14:textId="7FF546D6" w:rsidR="00F04844" w:rsidRPr="009E6273" w:rsidRDefault="00AA270F" w:rsidP="00F04844">
      <w:pPr>
        <w:widowControl w:val="0"/>
        <w:numPr>
          <w:ilvl w:val="1"/>
          <w:numId w:val="6"/>
        </w:numPr>
        <w:tabs>
          <w:tab w:val="left" w:pos="706"/>
          <w:tab w:val="left" w:pos="1138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Ilość i rodzaj opraw oświetlenia zewnętrznego dostosować do wymagań przepisów.</w:t>
      </w:r>
      <w:r w:rsidR="00F04844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</w:p>
    <w:p w14:paraId="6CB94D0D" w14:textId="77777777" w:rsidR="00AA270F" w:rsidRPr="009E6273" w:rsidRDefault="00AA270F" w:rsidP="00F04844">
      <w:pPr>
        <w:widowControl w:val="0"/>
        <w:tabs>
          <w:tab w:val="left" w:pos="293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</w:p>
    <w:p w14:paraId="2DB7AD01" w14:textId="77777777" w:rsidR="00F04844" w:rsidRPr="009E6273" w:rsidRDefault="00F04844" w:rsidP="00F0484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u w:val="single"/>
          <w:lang w:eastAsia="ar-SA"/>
          <w14:ligatures w14:val="none"/>
        </w:rPr>
        <w:t xml:space="preserve">Monitoring wizyjny </w:t>
      </w:r>
    </w:p>
    <w:p w14:paraId="523770EA" w14:textId="3F3CD3C1" w:rsidR="001B4DE5" w:rsidRPr="009E6273" w:rsidRDefault="00F04844" w:rsidP="002363AB">
      <w:pPr>
        <w:pStyle w:val="Akapitzlist"/>
        <w:numPr>
          <w:ilvl w:val="1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monitoring wizyjny powinien obejmować możliwie dużą część terenu, charakteryzując się wysoką jakością i niezawodnością, przy jednoczesnym zachowaniu możliwie niskich nakładów finansowych wykonania i eksploatacji instalacji.</w:t>
      </w:r>
    </w:p>
    <w:p w14:paraId="709F74ED" w14:textId="77777777" w:rsidR="007756EF" w:rsidRPr="009E6273" w:rsidRDefault="007756EF" w:rsidP="007756EF">
      <w:pPr>
        <w:widowControl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2.4. Materiały do wykonania obiektów budowlanych i urządzeń</w:t>
      </w:r>
    </w:p>
    <w:p w14:paraId="30559B90" w14:textId="77777777" w:rsidR="007756EF" w:rsidRPr="009E6273" w:rsidRDefault="007756EF" w:rsidP="007756EF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Wykonawca w swoich opracowaniach projektowych, przedmiarach, kosztorysach i SST, nie będzie odwoływał się do konkretnych znaków towarowych, symboli, patentów lub pochodzenia materiałów (producenta), chyba że będzie to konieczne z uwagi na zastosowane w projekcie indywidualne rozwiązania techniczne, estetyczne oraz artystyczne. W takim przypadku, wskazaniu takiemu powinny towarzyszyć wyrazy „lub równoważny” 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 xml:space="preserve">(art. 99 ust. 5 ustawy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lastRenderedPageBreak/>
        <w:t>Pzp), ze szczegółowym podaniem parametrów równoważności dla danych materiałów</w:t>
      </w: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>, które będą brane pod uwagę przy ocenie równoważności materiałów na etapie realizacji robót budowlanych, jak również podanie podstaw dla oceny tych parametrów.</w:t>
      </w:r>
    </w:p>
    <w:p w14:paraId="577793D9" w14:textId="64F1887A" w:rsidR="008B2BE8" w:rsidRPr="009E6273" w:rsidRDefault="007756EF" w:rsidP="003156EF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ar-SA"/>
          <w14:ligatures w14:val="none"/>
        </w:rPr>
        <w:t>Dokumentacja techniczna winna być opracowana w sposób eliminujący ryzyko wystąpienia robót dodatkowych wynikających z jej niekompletności bądź nieprawidłowości.</w:t>
      </w:r>
    </w:p>
    <w:p w14:paraId="30856C51" w14:textId="77777777" w:rsidR="001B4DE5" w:rsidRPr="009E6273" w:rsidRDefault="001B4DE5" w:rsidP="001B4DE5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5E0A18CA" w14:textId="77777777" w:rsidR="007756EF" w:rsidRPr="009E6273" w:rsidRDefault="007756EF" w:rsidP="007756EF">
      <w:pPr>
        <w:tabs>
          <w:tab w:val="left" w:pos="370"/>
        </w:tabs>
        <w:spacing w:after="0" w:line="276" w:lineRule="auto"/>
        <w:ind w:left="5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spacing w:val="-4"/>
          <w:kern w:val="0"/>
          <w:sz w:val="22"/>
          <w:szCs w:val="22"/>
          <w:lang w:eastAsia="ar-SA"/>
          <w14:ligatures w14:val="none"/>
        </w:rPr>
        <w:t>2.5.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Szata graficzna</w:t>
      </w:r>
    </w:p>
    <w:p w14:paraId="4465D486" w14:textId="77777777" w:rsidR="007756EF" w:rsidRPr="009E6273" w:rsidRDefault="007756EF" w:rsidP="00627C2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Wykonawca wykona opracowania projektowe w szacie graficznej, która spełnia następujące wymagania:</w:t>
      </w:r>
    </w:p>
    <w:p w14:paraId="684FB990" w14:textId="4C62509E" w:rsidR="007756EF" w:rsidRPr="009E6273" w:rsidRDefault="007756EF" w:rsidP="007756E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Każdy rysunek powinien być opatrzony metryką, podobnie jak strony tytułowe i okładki poszczególnych części składowych opracowania projektowego; Metryka powinna zawierać dane i logotyp Inwestora</w:t>
      </w:r>
      <w:r w:rsidR="00554E68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.</w:t>
      </w:r>
    </w:p>
    <w:p w14:paraId="7479545F" w14:textId="77777777" w:rsidR="00477C9B" w:rsidRPr="009E6273" w:rsidRDefault="00477C9B" w:rsidP="003156EF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</w:p>
    <w:p w14:paraId="33AAC4EC" w14:textId="77777777" w:rsidR="007756EF" w:rsidRPr="009E6273" w:rsidRDefault="007756EF" w:rsidP="007756EF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4.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szCs w:val="22"/>
          <w:lang w:eastAsia="ar-SA"/>
          <w14:ligatures w14:val="none"/>
        </w:rPr>
        <w:t>PRAWA AUTORSKIE</w:t>
      </w:r>
    </w:p>
    <w:p w14:paraId="3951564B" w14:textId="77777777" w:rsidR="007756EF" w:rsidRPr="009E6273" w:rsidRDefault="007756EF" w:rsidP="007756EF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spacing w:after="0" w:line="276" w:lineRule="auto"/>
        <w:ind w:right="6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Wraz z płatnością za poszczególne opracowania projektowe, na podstawie podpisanego protokołu odbioru częściowego/końcowego, Zamawiający przejmuje do nich autorskie prawa majątkowe. W ramach przejętych autorskich praw majątkowych Zamawiający będzie mógł bez zgody Wykonawcy i bez dodatkowego wynagrodzenia na rzecz Wykonawcy oraz bez żadnych ograniczeń czasowych i ilościowych korzystać z przedmiotu zamówienia i rozporządzać nim na wszystkich polach eksploatacji zgodnie z ustawą z dnia 4 lutego 1994 r. o prawie autorskim i prawach pokrewnych (Dz. U. z 2016 r. poz. 666) w szczególności:</w:t>
      </w:r>
    </w:p>
    <w:p w14:paraId="00685CCF" w14:textId="6CBE687D" w:rsidR="007756EF" w:rsidRPr="009E6273" w:rsidRDefault="007756EF" w:rsidP="007756EF">
      <w:pPr>
        <w:numPr>
          <w:ilvl w:val="0"/>
          <w:numId w:val="13"/>
        </w:numPr>
        <w:shd w:val="clear" w:color="auto" w:fill="FFFFFF"/>
        <w:suppressAutoHyphens/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użytkować opracowania projektowe na własny użytek, w tym w szczególności przekazać opracowania projektowe lub ich dowolną część, także ich kopie: 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innym wykonawcom jako  podstawę  lub  materiał wyjściowy  do  wykonania innych opracowań projektowych, w tym również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b/>
          <w:color w:val="000000"/>
          <w:kern w:val="0"/>
          <w:sz w:val="22"/>
          <w:szCs w:val="22"/>
          <w:lang w:eastAsia="ar-SA"/>
          <w14:ligatures w14:val="none"/>
        </w:rPr>
        <w:t>jako projekt gotowy do adaptacji na kolejnej nieruchomości gruntowej Zamawiającego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; wykonawcom biorącym udział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w postępowaniu o udzielenie zamówień publicznych, jako część specyfikacji istotnych warunków zamówienia; innym wykonawcom jako podstawę dla wykonania lub nadzorowania robót budowlanych; stronom trzecim biorącym udział w procesie inwestycyjnym;    </w:t>
      </w:r>
    </w:p>
    <w:p w14:paraId="3EBD1158" w14:textId="77777777" w:rsidR="007756EF" w:rsidRPr="009E6273" w:rsidRDefault="007756EF" w:rsidP="007756EF">
      <w:pPr>
        <w:numPr>
          <w:ilvl w:val="0"/>
          <w:numId w:val="13"/>
        </w:numPr>
        <w:shd w:val="clear" w:color="auto" w:fill="FFFFFF"/>
        <w:suppressAutoHyphens/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wykorzystywać opracowania projektowe lub ich dowolną część do prezentacji;</w:t>
      </w:r>
    </w:p>
    <w:p w14:paraId="764F33E2" w14:textId="77777777" w:rsidR="007756EF" w:rsidRPr="009E6273" w:rsidRDefault="007756EF" w:rsidP="007756EF">
      <w:pPr>
        <w:numPr>
          <w:ilvl w:val="0"/>
          <w:numId w:val="13"/>
        </w:numPr>
        <w:shd w:val="clear" w:color="auto" w:fill="FFFFFF"/>
        <w:suppressAutoHyphens/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wprowadzać opracowania projektowe lub ich części do pamięci komputera na dowolnej liczbie własnych stanowisk komputerowych i stanowisk komputerowych jednostek podległych;</w:t>
      </w:r>
    </w:p>
    <w:p w14:paraId="5786684D" w14:textId="77777777" w:rsidR="007756EF" w:rsidRPr="009E6273" w:rsidRDefault="007756EF" w:rsidP="007756EF">
      <w:pPr>
        <w:numPr>
          <w:ilvl w:val="0"/>
          <w:numId w:val="13"/>
        </w:numPr>
        <w:shd w:val="clear" w:color="auto" w:fill="FFFFFF"/>
        <w:suppressAutoHyphens/>
        <w:spacing w:after="0" w:line="276" w:lineRule="auto"/>
        <w:ind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zwielokrotniać opracowania projektowe lub ich części dowolną techniką.</w:t>
      </w:r>
    </w:p>
    <w:p w14:paraId="5A5C2DE9" w14:textId="77777777" w:rsidR="007756EF" w:rsidRPr="009E6273" w:rsidRDefault="007756EF" w:rsidP="007756EF">
      <w:pPr>
        <w:numPr>
          <w:ilvl w:val="0"/>
          <w:numId w:val="12"/>
        </w:numPr>
        <w:shd w:val="clear" w:color="auto" w:fill="FFFFFF"/>
        <w:suppressAutoHyphens/>
        <w:spacing w:after="0" w:line="276" w:lineRule="auto"/>
        <w:ind w:right="115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ramach wynagrodzenia Wykonawca zezwala Zamawiającemu na korzystanie z opracowań utworów oraz ich przeróbek oraz na rozporządzanie tymi opracowaniami wraz z przeróbkami tj. udziela Zamawiającemu praw zależnych. Wykonawca przenosi również na Zamawiającego wyłączne prawo zezwalania na wykonywanie zależnych praw autorskich.</w:t>
      </w:r>
    </w:p>
    <w:p w14:paraId="1D5A189E" w14:textId="77777777" w:rsidR="007756EF" w:rsidRPr="009E6273" w:rsidRDefault="007756EF" w:rsidP="007756EF">
      <w:pPr>
        <w:numPr>
          <w:ilvl w:val="0"/>
          <w:numId w:val="12"/>
        </w:numPr>
        <w:shd w:val="clear" w:color="auto" w:fill="FFFFFF"/>
        <w:suppressAutoHyphens/>
        <w:spacing w:after="0" w:line="276" w:lineRule="auto"/>
        <w:ind w:right="115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Zamawiający nie może zbywać opracowań projektowych ani ich dowolnych części oraz nie może usuwać oznaczeń określających autora.</w:t>
      </w:r>
    </w:p>
    <w:p w14:paraId="246F1820" w14:textId="5FBB6467" w:rsidR="007756EF" w:rsidRPr="009E6273" w:rsidRDefault="007756EF" w:rsidP="007756EF">
      <w:pPr>
        <w:numPr>
          <w:ilvl w:val="0"/>
          <w:numId w:val="12"/>
        </w:numPr>
        <w:shd w:val="clear" w:color="auto" w:fill="FFFFFF"/>
        <w:suppressAutoHyphens/>
        <w:spacing w:after="0" w:line="276" w:lineRule="auto"/>
        <w:ind w:right="115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Wykonawca oświadcza, iż Zamawiający zleci osobie trzeciej</w:t>
      </w:r>
      <w:r w:rsidR="00E3176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wykonywanie nadzoru autorskiego</w:t>
      </w:r>
      <w:r w:rsidR="00E3176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w przypadku braku realizacji przez Wykonawcę zobowiązania wynikającego </w:t>
      </w:r>
      <w:r w:rsidR="00D16C3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br/>
      </w:r>
      <w:r w:rsidR="00E3176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z działu Wstęp pkt.1 lit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.</w:t>
      </w:r>
      <w:r w:rsidR="00E3176C"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k.</w:t>
      </w: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 xml:space="preserve"> Wykonawcy z tego tytułu nie będzie przysługiwało roszczenie.</w:t>
      </w:r>
    </w:p>
    <w:p w14:paraId="54FD5C57" w14:textId="77777777" w:rsidR="007756EF" w:rsidRPr="009E6273" w:rsidRDefault="007756EF" w:rsidP="007756EF">
      <w:pPr>
        <w:numPr>
          <w:ilvl w:val="0"/>
          <w:numId w:val="12"/>
        </w:numPr>
        <w:shd w:val="clear" w:color="auto" w:fill="FFFFFF"/>
        <w:suppressAutoHyphens/>
        <w:spacing w:after="0" w:line="276" w:lineRule="auto"/>
        <w:ind w:right="115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t>W sytuacji upadłości likwidacji, rozwiązania firmy Wykonawcy, Wykonawca zobowiązuje się do przeniesienia na Zamawiającego wszelkich roszczeń związanych z prawami autorskimi do przedmiotu umowy.</w:t>
      </w:r>
    </w:p>
    <w:p w14:paraId="16CC51D8" w14:textId="77777777" w:rsidR="007756EF" w:rsidRPr="009E6273" w:rsidRDefault="007756EF" w:rsidP="007756EF">
      <w:pPr>
        <w:numPr>
          <w:ilvl w:val="0"/>
          <w:numId w:val="12"/>
        </w:numPr>
        <w:shd w:val="clear" w:color="auto" w:fill="FFFFFF"/>
        <w:suppressAutoHyphens/>
        <w:spacing w:after="0" w:line="276" w:lineRule="auto"/>
        <w:ind w:right="115" w:hanging="357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</w:pPr>
      <w:r w:rsidRPr="009E6273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ar-SA"/>
          <w14:ligatures w14:val="none"/>
        </w:rPr>
        <w:lastRenderedPageBreak/>
        <w:t>W przypadku zlecenia wykonania przedmiotu niniejszej umowy osobie trzeciej, Wykonawca jest zobowiązany zapewnić przeniesienie na rzecz Zamawiającego autorskich praw majątkowych. Na Zamawiającym nie ciąży z tego tytułu obowiązek zapłaty odrębnego wynagrodzenia.</w:t>
      </w:r>
    </w:p>
    <w:p w14:paraId="092CAEE4" w14:textId="77777777" w:rsidR="00454EC9" w:rsidRPr="009E6273" w:rsidRDefault="00454EC9">
      <w:pPr>
        <w:rPr>
          <w:rFonts w:ascii="Times New Roman" w:hAnsi="Times New Roman" w:cs="Times New Roman"/>
          <w:sz w:val="22"/>
          <w:szCs w:val="22"/>
        </w:rPr>
      </w:pPr>
    </w:p>
    <w:sectPr w:rsidR="00454EC9" w:rsidRPr="009E627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09067" w14:textId="77777777" w:rsidR="00F24580" w:rsidRDefault="00F24580" w:rsidP="009E6273">
      <w:pPr>
        <w:spacing w:after="0" w:line="240" w:lineRule="auto"/>
      </w:pPr>
      <w:r>
        <w:separator/>
      </w:r>
    </w:p>
  </w:endnote>
  <w:endnote w:type="continuationSeparator" w:id="0">
    <w:p w14:paraId="16DA31A7" w14:textId="77777777" w:rsidR="00F24580" w:rsidRDefault="00F24580" w:rsidP="009E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752830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42C9EE3" w14:textId="21F103C8" w:rsidR="009E6273" w:rsidRPr="009E6273" w:rsidRDefault="009E6273">
        <w:pPr>
          <w:pStyle w:val="Stopka"/>
          <w:jc w:val="right"/>
          <w:rPr>
            <w:sz w:val="22"/>
            <w:szCs w:val="22"/>
          </w:rPr>
        </w:pPr>
        <w:r w:rsidRPr="009E6273">
          <w:rPr>
            <w:sz w:val="22"/>
            <w:szCs w:val="22"/>
          </w:rPr>
          <w:fldChar w:fldCharType="begin"/>
        </w:r>
        <w:r w:rsidRPr="009E6273">
          <w:rPr>
            <w:sz w:val="22"/>
            <w:szCs w:val="22"/>
          </w:rPr>
          <w:instrText>PAGE   \* MERGEFORMAT</w:instrText>
        </w:r>
        <w:r w:rsidRPr="009E6273">
          <w:rPr>
            <w:sz w:val="22"/>
            <w:szCs w:val="22"/>
          </w:rPr>
          <w:fldChar w:fldCharType="separate"/>
        </w:r>
        <w:r w:rsidRPr="009E6273">
          <w:rPr>
            <w:sz w:val="22"/>
            <w:szCs w:val="22"/>
          </w:rPr>
          <w:t>2</w:t>
        </w:r>
        <w:r w:rsidRPr="009E6273">
          <w:rPr>
            <w:sz w:val="22"/>
            <w:szCs w:val="22"/>
          </w:rPr>
          <w:fldChar w:fldCharType="end"/>
        </w:r>
      </w:p>
    </w:sdtContent>
  </w:sdt>
  <w:p w14:paraId="5F646826" w14:textId="77777777" w:rsidR="009E6273" w:rsidRDefault="009E6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C3ACB" w14:textId="77777777" w:rsidR="00F24580" w:rsidRDefault="00F24580" w:rsidP="009E6273">
      <w:pPr>
        <w:spacing w:after="0" w:line="240" w:lineRule="auto"/>
      </w:pPr>
      <w:r>
        <w:separator/>
      </w:r>
    </w:p>
  </w:footnote>
  <w:footnote w:type="continuationSeparator" w:id="0">
    <w:p w14:paraId="039C66D7" w14:textId="77777777" w:rsidR="00F24580" w:rsidRDefault="00F24580" w:rsidP="009E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0566C"/>
    <w:multiLevelType w:val="multilevel"/>
    <w:tmpl w:val="2B5CF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75C6E"/>
    <w:multiLevelType w:val="hybridMultilevel"/>
    <w:tmpl w:val="68CA80A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526"/>
    <w:multiLevelType w:val="multilevel"/>
    <w:tmpl w:val="6D4458C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B1A66F2"/>
    <w:multiLevelType w:val="multilevel"/>
    <w:tmpl w:val="5D54BF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eastAsiaTheme="minorHAnsi" w:hAnsi="Calibri" w:cs="Calibri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lowerLetter"/>
      <w:lvlText w:val="%5."/>
      <w:lvlJc w:val="left"/>
      <w:pPr>
        <w:ind w:left="360" w:hanging="36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 w15:restartNumberingAfterBreak="0">
    <w:nsid w:val="1C5A5736"/>
    <w:multiLevelType w:val="multilevel"/>
    <w:tmpl w:val="CCE60D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 w15:restartNumberingAfterBreak="0">
    <w:nsid w:val="1CC15354"/>
    <w:multiLevelType w:val="hybridMultilevel"/>
    <w:tmpl w:val="BF103886"/>
    <w:lvl w:ilvl="0" w:tplc="EAC2D126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22D90EC2"/>
    <w:multiLevelType w:val="multilevel"/>
    <w:tmpl w:val="9790F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4B045E"/>
    <w:multiLevelType w:val="multilevel"/>
    <w:tmpl w:val="F0687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58089F"/>
    <w:multiLevelType w:val="multilevel"/>
    <w:tmpl w:val="5734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FD131C"/>
    <w:multiLevelType w:val="multilevel"/>
    <w:tmpl w:val="5734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520D2E"/>
    <w:multiLevelType w:val="multilevel"/>
    <w:tmpl w:val="0212D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92574C"/>
    <w:multiLevelType w:val="hybridMultilevel"/>
    <w:tmpl w:val="7DD4B5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190042"/>
    <w:multiLevelType w:val="multilevel"/>
    <w:tmpl w:val="5734E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839C2"/>
    <w:multiLevelType w:val="hybridMultilevel"/>
    <w:tmpl w:val="EF8213C4"/>
    <w:lvl w:ilvl="0" w:tplc="9FD425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22631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72365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43219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06651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29211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48774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99348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88338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15813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03484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46896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23609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7586069">
    <w:abstractNumId w:val="11"/>
  </w:num>
  <w:num w:numId="14" w16cid:durableId="1297951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6EF"/>
    <w:rsid w:val="000912D6"/>
    <w:rsid w:val="001064C9"/>
    <w:rsid w:val="00143F8E"/>
    <w:rsid w:val="0015764C"/>
    <w:rsid w:val="00167315"/>
    <w:rsid w:val="001B4DE5"/>
    <w:rsid w:val="001F6959"/>
    <w:rsid w:val="00203403"/>
    <w:rsid w:val="00224B6C"/>
    <w:rsid w:val="00226AD4"/>
    <w:rsid w:val="002363AB"/>
    <w:rsid w:val="00266BC8"/>
    <w:rsid w:val="002823B4"/>
    <w:rsid w:val="002C0028"/>
    <w:rsid w:val="002F7948"/>
    <w:rsid w:val="003156EF"/>
    <w:rsid w:val="00335B52"/>
    <w:rsid w:val="00372AB9"/>
    <w:rsid w:val="003D48C2"/>
    <w:rsid w:val="00436A0C"/>
    <w:rsid w:val="00437C4F"/>
    <w:rsid w:val="00454EC9"/>
    <w:rsid w:val="00477C9B"/>
    <w:rsid w:val="00477CD4"/>
    <w:rsid w:val="004A3457"/>
    <w:rsid w:val="004B29A5"/>
    <w:rsid w:val="00535F0D"/>
    <w:rsid w:val="00543200"/>
    <w:rsid w:val="00554E68"/>
    <w:rsid w:val="00582AE3"/>
    <w:rsid w:val="00595343"/>
    <w:rsid w:val="005D360D"/>
    <w:rsid w:val="0061411C"/>
    <w:rsid w:val="00614881"/>
    <w:rsid w:val="0062077D"/>
    <w:rsid w:val="006276A9"/>
    <w:rsid w:val="00627C27"/>
    <w:rsid w:val="00714E12"/>
    <w:rsid w:val="00716B5D"/>
    <w:rsid w:val="00723202"/>
    <w:rsid w:val="007756EF"/>
    <w:rsid w:val="007C54E3"/>
    <w:rsid w:val="007F262B"/>
    <w:rsid w:val="0082690D"/>
    <w:rsid w:val="008A3D41"/>
    <w:rsid w:val="008B2BE8"/>
    <w:rsid w:val="00922498"/>
    <w:rsid w:val="009878C2"/>
    <w:rsid w:val="009931B0"/>
    <w:rsid w:val="009D7929"/>
    <w:rsid w:val="009E6273"/>
    <w:rsid w:val="00A243AD"/>
    <w:rsid w:val="00A83515"/>
    <w:rsid w:val="00A86526"/>
    <w:rsid w:val="00A87281"/>
    <w:rsid w:val="00AA270F"/>
    <w:rsid w:val="00AA6359"/>
    <w:rsid w:val="00B2073A"/>
    <w:rsid w:val="00B85FC0"/>
    <w:rsid w:val="00BB4DFB"/>
    <w:rsid w:val="00BC732E"/>
    <w:rsid w:val="00BD23B1"/>
    <w:rsid w:val="00BF2566"/>
    <w:rsid w:val="00C72435"/>
    <w:rsid w:val="00CA655D"/>
    <w:rsid w:val="00CB6025"/>
    <w:rsid w:val="00D16C33"/>
    <w:rsid w:val="00D20A62"/>
    <w:rsid w:val="00D504CD"/>
    <w:rsid w:val="00DB3F1B"/>
    <w:rsid w:val="00DD2911"/>
    <w:rsid w:val="00E3176C"/>
    <w:rsid w:val="00E72A7F"/>
    <w:rsid w:val="00EE0407"/>
    <w:rsid w:val="00EF638D"/>
    <w:rsid w:val="00F04844"/>
    <w:rsid w:val="00F24580"/>
    <w:rsid w:val="00FC0A6B"/>
    <w:rsid w:val="00FC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B153B"/>
  <w15:chartTrackingRefBased/>
  <w15:docId w15:val="{EC66359F-9EED-425E-A9E7-D46E183A7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6EF"/>
  </w:style>
  <w:style w:type="paragraph" w:styleId="Nagwek1">
    <w:name w:val="heading 1"/>
    <w:basedOn w:val="Normalny"/>
    <w:next w:val="Normalny"/>
    <w:link w:val="Nagwek1Znak"/>
    <w:uiPriority w:val="9"/>
    <w:qFormat/>
    <w:rsid w:val="00775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5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5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5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5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5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5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5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5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5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5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5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56E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56E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56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56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56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56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5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5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5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5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5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56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56E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56E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5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56E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56E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E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273"/>
  </w:style>
  <w:style w:type="paragraph" w:styleId="Stopka">
    <w:name w:val="footer"/>
    <w:basedOn w:val="Normalny"/>
    <w:link w:val="StopkaZnak"/>
    <w:uiPriority w:val="99"/>
    <w:unhideWhenUsed/>
    <w:rsid w:val="009E6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2580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Bańkowska</dc:creator>
  <cp:keywords/>
  <dc:description/>
  <cp:lastModifiedBy>Magdalena Napieraj</cp:lastModifiedBy>
  <cp:revision>12</cp:revision>
  <dcterms:created xsi:type="dcterms:W3CDTF">2025-02-27T13:46:00Z</dcterms:created>
  <dcterms:modified xsi:type="dcterms:W3CDTF">2025-04-14T10:00:00Z</dcterms:modified>
</cp:coreProperties>
</file>