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053" w:rsidRPr="00A60053" w:rsidRDefault="00A60053" w:rsidP="00A60053">
      <w:pPr>
        <w:spacing w:after="0" w:line="360" w:lineRule="auto"/>
        <w:jc w:val="center"/>
        <w:rPr>
          <w:rFonts w:ascii="Times New Roman" w:hAnsi="Times New Roman" w:cs="Times New Roman"/>
          <w:b/>
          <w:bCs/>
          <w:sz w:val="24"/>
          <w:szCs w:val="24"/>
        </w:rPr>
      </w:pPr>
      <w:r w:rsidRPr="00A60053">
        <w:rPr>
          <w:rFonts w:ascii="Times New Roman" w:hAnsi="Times New Roman" w:cs="Times New Roman"/>
          <w:b/>
          <w:bCs/>
          <w:sz w:val="24"/>
          <w:szCs w:val="24"/>
        </w:rPr>
        <w:t>OPIS PRZEDMIOTU ZAMÓWIENIA</w:t>
      </w:r>
    </w:p>
    <w:p w:rsidR="006E7504" w:rsidRDefault="00A60053" w:rsidP="00A64EEB">
      <w:pPr>
        <w:spacing w:after="0" w:line="360" w:lineRule="auto"/>
        <w:ind w:firstLine="567"/>
        <w:jc w:val="both"/>
        <w:rPr>
          <w:rFonts w:ascii="Times New Roman" w:hAnsi="Times New Roman" w:cs="Times New Roman"/>
          <w:b/>
          <w:bCs/>
          <w:sz w:val="24"/>
          <w:szCs w:val="24"/>
        </w:rPr>
      </w:pPr>
      <w:r>
        <w:rPr>
          <w:rFonts w:ascii="Times New Roman" w:hAnsi="Times New Roman" w:cs="Times New Roman"/>
          <w:sz w:val="24"/>
          <w:szCs w:val="24"/>
        </w:rPr>
        <w:t>Zamówienie dotyczy</w:t>
      </w:r>
      <w:r w:rsidR="00DA2780" w:rsidRPr="00C2192E">
        <w:rPr>
          <w:rFonts w:ascii="Times New Roman" w:hAnsi="Times New Roman" w:cs="Times New Roman"/>
          <w:sz w:val="24"/>
          <w:szCs w:val="24"/>
        </w:rPr>
        <w:t xml:space="preserve"> </w:t>
      </w:r>
      <w:r w:rsidR="00DA2780" w:rsidRPr="00A60053">
        <w:rPr>
          <w:rFonts w:ascii="Times New Roman" w:hAnsi="Times New Roman" w:cs="Times New Roman"/>
          <w:sz w:val="24"/>
          <w:szCs w:val="24"/>
        </w:rPr>
        <w:t>„</w:t>
      </w:r>
      <w:r>
        <w:rPr>
          <w:rFonts w:ascii="Times New Roman" w:hAnsi="Times New Roman" w:cs="Times New Roman"/>
          <w:sz w:val="24"/>
          <w:szCs w:val="24"/>
        </w:rPr>
        <w:t>R</w:t>
      </w:r>
      <w:r w:rsidRPr="00A60053">
        <w:rPr>
          <w:rFonts w:ascii="Times New Roman" w:hAnsi="Times New Roman" w:cs="Times New Roman"/>
          <w:sz w:val="24"/>
          <w:szCs w:val="24"/>
        </w:rPr>
        <w:t xml:space="preserve">ozbudowy i budowy drogi gminnej nr 109721l od km 0+000 do km 1+610 w m. Olesin i m. </w:t>
      </w:r>
      <w:proofErr w:type="spellStart"/>
      <w:r w:rsidRPr="00A60053">
        <w:rPr>
          <w:rFonts w:ascii="Times New Roman" w:hAnsi="Times New Roman" w:cs="Times New Roman"/>
          <w:sz w:val="24"/>
          <w:szCs w:val="24"/>
        </w:rPr>
        <w:t>Wielobycz</w:t>
      </w:r>
      <w:proofErr w:type="spellEnd"/>
      <w:r w:rsidRPr="00A60053">
        <w:rPr>
          <w:rFonts w:ascii="Times New Roman" w:hAnsi="Times New Roman" w:cs="Times New Roman"/>
          <w:sz w:val="24"/>
          <w:szCs w:val="24"/>
        </w:rPr>
        <w:t xml:space="preserve"> – </w:t>
      </w:r>
      <w:r>
        <w:rPr>
          <w:rFonts w:ascii="Times New Roman" w:hAnsi="Times New Roman" w:cs="Times New Roman"/>
          <w:sz w:val="24"/>
          <w:szCs w:val="24"/>
        </w:rPr>
        <w:t>K</w:t>
      </w:r>
      <w:r w:rsidRPr="00A60053">
        <w:rPr>
          <w:rFonts w:ascii="Times New Roman" w:hAnsi="Times New Roman" w:cs="Times New Roman"/>
          <w:sz w:val="24"/>
          <w:szCs w:val="24"/>
        </w:rPr>
        <w:t>olonia”</w:t>
      </w:r>
    </w:p>
    <w:p w:rsidR="00A60053" w:rsidRPr="00A60053" w:rsidRDefault="00A60053" w:rsidP="00A60053">
      <w:pPr>
        <w:pStyle w:val="Akapitzlist"/>
        <w:numPr>
          <w:ilvl w:val="0"/>
          <w:numId w:val="2"/>
        </w:numPr>
        <w:spacing w:after="0" w:line="360" w:lineRule="auto"/>
        <w:ind w:left="851" w:hanging="284"/>
        <w:jc w:val="both"/>
        <w:rPr>
          <w:rFonts w:ascii="Times New Roman" w:hAnsi="Times New Roman" w:cs="Times New Roman"/>
          <w:b/>
          <w:bCs/>
          <w:sz w:val="24"/>
          <w:szCs w:val="24"/>
        </w:rPr>
      </w:pPr>
      <w:r w:rsidRPr="00A60053">
        <w:rPr>
          <w:rFonts w:ascii="Times New Roman" w:hAnsi="Times New Roman" w:cs="Times New Roman"/>
          <w:b/>
          <w:bCs/>
          <w:sz w:val="24"/>
          <w:szCs w:val="24"/>
        </w:rPr>
        <w:t xml:space="preserve">Dane dotyczące drogi gminnej w m. Olesin i </w:t>
      </w:r>
      <w:proofErr w:type="spellStart"/>
      <w:r w:rsidRPr="00A60053">
        <w:rPr>
          <w:rFonts w:ascii="Times New Roman" w:hAnsi="Times New Roman" w:cs="Times New Roman"/>
          <w:b/>
          <w:bCs/>
          <w:sz w:val="24"/>
          <w:szCs w:val="24"/>
        </w:rPr>
        <w:t>Wielobycz-Kolonia</w:t>
      </w:r>
      <w:proofErr w:type="spellEnd"/>
    </w:p>
    <w:p w:rsidR="00A60053" w:rsidRDefault="003147A1" w:rsidP="00A64EEB">
      <w:pPr>
        <w:spacing w:after="0" w:line="360" w:lineRule="auto"/>
        <w:ind w:firstLine="480"/>
        <w:jc w:val="both"/>
        <w:rPr>
          <w:rFonts w:ascii="Times New Roman" w:hAnsi="Times New Roman" w:cs="Times New Roman"/>
          <w:sz w:val="24"/>
          <w:szCs w:val="24"/>
        </w:rPr>
      </w:pPr>
      <w:r w:rsidRPr="003147A1">
        <w:rPr>
          <w:rFonts w:ascii="Times New Roman" w:hAnsi="Times New Roman" w:cs="Times New Roman"/>
          <w:sz w:val="24"/>
          <w:szCs w:val="24"/>
        </w:rPr>
        <w:t>Przedmiotem inwestycji jest „Rozbudowa i budowa drogi gminnej Nr 109721L od km 0+000 do</w:t>
      </w:r>
      <w:r>
        <w:rPr>
          <w:rFonts w:ascii="Times New Roman" w:hAnsi="Times New Roman" w:cs="Times New Roman"/>
          <w:sz w:val="24"/>
          <w:szCs w:val="24"/>
        </w:rPr>
        <w:t xml:space="preserve"> </w:t>
      </w:r>
      <w:r w:rsidRPr="003147A1">
        <w:rPr>
          <w:rFonts w:ascii="Times New Roman" w:hAnsi="Times New Roman" w:cs="Times New Roman"/>
          <w:sz w:val="24"/>
          <w:szCs w:val="24"/>
        </w:rPr>
        <w:t xml:space="preserve">km 1+610 w m. Olesin i m. </w:t>
      </w:r>
      <w:proofErr w:type="spellStart"/>
      <w:r w:rsidRPr="003147A1">
        <w:rPr>
          <w:rFonts w:ascii="Times New Roman" w:hAnsi="Times New Roman" w:cs="Times New Roman"/>
          <w:sz w:val="24"/>
          <w:szCs w:val="24"/>
        </w:rPr>
        <w:t>Wielobycz</w:t>
      </w:r>
      <w:proofErr w:type="spellEnd"/>
      <w:r w:rsidRPr="003147A1">
        <w:rPr>
          <w:rFonts w:ascii="Times New Roman" w:hAnsi="Times New Roman" w:cs="Times New Roman"/>
          <w:sz w:val="24"/>
          <w:szCs w:val="24"/>
        </w:rPr>
        <w:t xml:space="preserve"> - Kolonia”. </w:t>
      </w:r>
      <w:r w:rsidR="00A60053" w:rsidRPr="00A60053">
        <w:rPr>
          <w:rFonts w:ascii="Times New Roman" w:hAnsi="Times New Roman" w:cs="Times New Roman"/>
          <w:sz w:val="24"/>
          <w:szCs w:val="24"/>
        </w:rPr>
        <w:t xml:space="preserve">Prace należy wykonać zgodnie </w:t>
      </w:r>
      <w:r w:rsidR="00A60053">
        <w:rPr>
          <w:rFonts w:ascii="Times New Roman" w:hAnsi="Times New Roman" w:cs="Times New Roman"/>
          <w:sz w:val="24"/>
          <w:szCs w:val="24"/>
        </w:rPr>
        <w:br/>
      </w:r>
      <w:r w:rsidR="00A60053" w:rsidRPr="00A60053">
        <w:rPr>
          <w:rFonts w:ascii="Times New Roman" w:hAnsi="Times New Roman" w:cs="Times New Roman"/>
          <w:sz w:val="24"/>
          <w:szCs w:val="24"/>
        </w:rPr>
        <w:t xml:space="preserve">z projektem budowlanym, projektem stałej organizacji ruchu, </w:t>
      </w:r>
      <w:proofErr w:type="spellStart"/>
      <w:r w:rsidR="00A60053" w:rsidRPr="00A60053">
        <w:rPr>
          <w:rFonts w:ascii="Times New Roman" w:hAnsi="Times New Roman" w:cs="Times New Roman"/>
          <w:sz w:val="24"/>
          <w:szCs w:val="24"/>
        </w:rPr>
        <w:t>STWiOR</w:t>
      </w:r>
      <w:proofErr w:type="spellEnd"/>
      <w:r w:rsidR="00A60053" w:rsidRPr="00A60053">
        <w:rPr>
          <w:rFonts w:ascii="Times New Roman" w:hAnsi="Times New Roman" w:cs="Times New Roman"/>
          <w:sz w:val="24"/>
          <w:szCs w:val="24"/>
        </w:rPr>
        <w:t>, przedmiarami – jako elementem pomocniczym do sporządzenia wyceny, SWZ oraz złożoną ofertą.</w:t>
      </w:r>
    </w:p>
    <w:p w:rsidR="00A64EEB" w:rsidRDefault="00A64EEB" w:rsidP="00A64EEB">
      <w:pPr>
        <w:pStyle w:val="Akapitzlist"/>
        <w:numPr>
          <w:ilvl w:val="0"/>
          <w:numId w:val="2"/>
        </w:numPr>
        <w:spacing w:after="0" w:line="360" w:lineRule="auto"/>
        <w:ind w:left="851" w:hanging="371"/>
        <w:jc w:val="both"/>
        <w:rPr>
          <w:rFonts w:ascii="Times New Roman" w:hAnsi="Times New Roman" w:cs="Times New Roman"/>
          <w:b/>
          <w:bCs/>
          <w:sz w:val="24"/>
          <w:szCs w:val="24"/>
        </w:rPr>
      </w:pPr>
      <w:r>
        <w:rPr>
          <w:rFonts w:ascii="Times New Roman" w:hAnsi="Times New Roman" w:cs="Times New Roman"/>
          <w:b/>
          <w:bCs/>
          <w:sz w:val="24"/>
          <w:szCs w:val="24"/>
        </w:rPr>
        <w:t>Zakres wykonywanych prac</w:t>
      </w:r>
    </w:p>
    <w:p w:rsidR="00A64EEB" w:rsidRDefault="00A64EEB" w:rsidP="00A64EEB">
      <w:pPr>
        <w:spacing w:after="0" w:line="360" w:lineRule="auto"/>
        <w:ind w:firstLine="480"/>
        <w:jc w:val="both"/>
        <w:rPr>
          <w:rFonts w:ascii="Times New Roman" w:hAnsi="Times New Roman" w:cs="Times New Roman"/>
          <w:sz w:val="24"/>
          <w:szCs w:val="24"/>
        </w:rPr>
      </w:pPr>
      <w:r w:rsidRPr="00A64EEB">
        <w:rPr>
          <w:rFonts w:ascii="Times New Roman" w:hAnsi="Times New Roman" w:cs="Times New Roman"/>
          <w:sz w:val="24"/>
          <w:szCs w:val="24"/>
        </w:rPr>
        <w:t xml:space="preserve">Droga gminna Nr 109721L jest drogą publiczną klasy D (droga dojazdowa). Rozbudowa obejmuje odcinek przedmiotowej drogi o długości 1 610 </w:t>
      </w:r>
      <w:proofErr w:type="spellStart"/>
      <w:r w:rsidRPr="00A64EEB">
        <w:rPr>
          <w:rFonts w:ascii="Times New Roman" w:hAnsi="Times New Roman" w:cs="Times New Roman"/>
          <w:sz w:val="24"/>
          <w:szCs w:val="24"/>
        </w:rPr>
        <w:t>mb</w:t>
      </w:r>
      <w:proofErr w:type="spellEnd"/>
      <w:r w:rsidRPr="00A64EEB">
        <w:rPr>
          <w:rFonts w:ascii="Times New Roman" w:hAnsi="Times New Roman" w:cs="Times New Roman"/>
          <w:sz w:val="24"/>
          <w:szCs w:val="24"/>
        </w:rPr>
        <w:t>.  Projektowana podstawowa szerokość jezdni drogi gminnej na odcinku od km 0+000 do km 0+990 wynosi 5,00 m (2 pasy ruchu po 2,50 m każdy). Przekrój drogi 1/2. Projektowana szerokość poboczy wynosi 0,75 m. Projektowana podstawowa szerokość jezdni na odcinku od km 0+990 do km 1+610 wynosi 3,50 m. Przekrój drogi 1/1. Wzdłuż trasy drogi gminnej zlokalizowano mijanki. Szerokość jezdni na mijankach zwiększa się do 5,00 m. Projektowana szerokość poboczy wynosi 0,75 m. Projekt przewiduje wykonanie zjazdów do nieruchomości przyległych do drogi. Zaprojektowany system odwodnienia drogi składa się z wpustów ulicznych, rowów przydrożnych, przepustów pod zjazdami, które łączą kolejne odcinki rowów, przepustów pod jezdnią, rowu krytego, studni rewizyjnych na rowie krytym oraz wylotu.</w:t>
      </w:r>
    </w:p>
    <w:p w:rsidR="00CB11FD" w:rsidRPr="00CB11FD" w:rsidRDefault="00CB11FD" w:rsidP="00CB11FD">
      <w:pPr>
        <w:spacing w:after="0" w:line="360" w:lineRule="auto"/>
        <w:ind w:firstLine="480"/>
        <w:jc w:val="both"/>
        <w:rPr>
          <w:rFonts w:ascii="Times New Roman" w:hAnsi="Times New Roman" w:cs="Times New Roman"/>
          <w:sz w:val="24"/>
          <w:szCs w:val="24"/>
        </w:rPr>
      </w:pPr>
      <w:r w:rsidRPr="00CB11FD">
        <w:rPr>
          <w:rFonts w:ascii="Times New Roman" w:hAnsi="Times New Roman" w:cs="Times New Roman"/>
          <w:sz w:val="24"/>
          <w:szCs w:val="24"/>
        </w:rPr>
        <w:t>Na terenie objętym niniejszym opracowaniem występuje następujące uzbrojenie terenu:</w:t>
      </w:r>
    </w:p>
    <w:p w:rsidR="00CB11FD" w:rsidRPr="00CB11FD" w:rsidRDefault="00CB11FD" w:rsidP="00CB11FD">
      <w:pPr>
        <w:spacing w:after="0" w:line="360" w:lineRule="auto"/>
        <w:ind w:firstLine="480"/>
        <w:jc w:val="both"/>
        <w:rPr>
          <w:rFonts w:ascii="Times New Roman" w:hAnsi="Times New Roman" w:cs="Times New Roman"/>
          <w:sz w:val="24"/>
          <w:szCs w:val="24"/>
        </w:rPr>
      </w:pPr>
      <w:r w:rsidRPr="00CB11FD">
        <w:rPr>
          <w:rFonts w:ascii="Times New Roman" w:hAnsi="Times New Roman" w:cs="Times New Roman"/>
          <w:sz w:val="24"/>
          <w:szCs w:val="24"/>
        </w:rPr>
        <w:t>a) sieć elektroenergetyczna,</w:t>
      </w:r>
    </w:p>
    <w:p w:rsidR="00CB11FD" w:rsidRPr="00CB11FD" w:rsidRDefault="00CB11FD" w:rsidP="00CB11FD">
      <w:pPr>
        <w:spacing w:after="0" w:line="360" w:lineRule="auto"/>
        <w:ind w:firstLine="480"/>
        <w:jc w:val="both"/>
        <w:rPr>
          <w:rFonts w:ascii="Times New Roman" w:hAnsi="Times New Roman" w:cs="Times New Roman"/>
          <w:sz w:val="24"/>
          <w:szCs w:val="24"/>
        </w:rPr>
      </w:pPr>
      <w:r w:rsidRPr="00CB11FD">
        <w:rPr>
          <w:rFonts w:ascii="Times New Roman" w:hAnsi="Times New Roman" w:cs="Times New Roman"/>
          <w:sz w:val="24"/>
          <w:szCs w:val="24"/>
        </w:rPr>
        <w:t>b) sieć teletechniczna,</w:t>
      </w:r>
    </w:p>
    <w:p w:rsidR="00CB11FD" w:rsidRDefault="00CB11FD" w:rsidP="00CB11FD">
      <w:pPr>
        <w:spacing w:after="0" w:line="360" w:lineRule="auto"/>
        <w:ind w:firstLine="480"/>
        <w:jc w:val="both"/>
        <w:rPr>
          <w:rFonts w:ascii="Times New Roman" w:hAnsi="Times New Roman" w:cs="Times New Roman"/>
          <w:sz w:val="24"/>
          <w:szCs w:val="24"/>
        </w:rPr>
      </w:pPr>
      <w:r w:rsidRPr="00CB11FD">
        <w:rPr>
          <w:rFonts w:ascii="Times New Roman" w:hAnsi="Times New Roman" w:cs="Times New Roman"/>
          <w:sz w:val="24"/>
          <w:szCs w:val="24"/>
        </w:rPr>
        <w:t>c) sieć wodociągowa.</w:t>
      </w:r>
    </w:p>
    <w:p w:rsidR="00CB11FD" w:rsidRDefault="00CB11FD" w:rsidP="00CB11FD">
      <w:pPr>
        <w:spacing w:after="0" w:line="360" w:lineRule="auto"/>
        <w:ind w:firstLine="480"/>
        <w:jc w:val="both"/>
        <w:rPr>
          <w:rFonts w:ascii="Times New Roman" w:hAnsi="Times New Roman" w:cs="Times New Roman"/>
          <w:sz w:val="24"/>
          <w:szCs w:val="24"/>
        </w:rPr>
      </w:pPr>
      <w:r>
        <w:rPr>
          <w:rFonts w:ascii="Times New Roman" w:hAnsi="Times New Roman" w:cs="Times New Roman"/>
          <w:sz w:val="24"/>
          <w:szCs w:val="24"/>
        </w:rPr>
        <w:t>W związku z występującymi kolizjami, Wykonawca musi poinformować zarządców kolidującego uzbrojenia o prowadzonych pracach, zgodnie z Uzgodnieniami wydanymi przez tych Zarządców.</w:t>
      </w:r>
    </w:p>
    <w:p w:rsidR="00A64EEB" w:rsidRDefault="00A64EEB" w:rsidP="00CB11FD">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Szczegółowa część opisowa oraz część graficzna znajduje się w dokumentacji projektowej.</w:t>
      </w:r>
    </w:p>
    <w:p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Roboty budowlane należy prowadzić zgodnie z projektem budowlanym, projektem technicznym, projektem stałej organizacji ruchu, specyfikacją techniczną wykonania i odbioru robót budowlanych, przedmiarami robót. </w:t>
      </w:r>
    </w:p>
    <w:p w:rsidR="00A64EEB" w:rsidRDefault="00A64EEB" w:rsidP="00A64EEB">
      <w:pPr>
        <w:spacing w:after="0" w:line="360" w:lineRule="auto"/>
        <w:jc w:val="both"/>
        <w:rPr>
          <w:rFonts w:ascii="Times New Roman" w:hAnsi="Times New Roman" w:cs="Times New Roman"/>
          <w:sz w:val="24"/>
          <w:szCs w:val="24"/>
        </w:rPr>
      </w:pPr>
      <w:r w:rsidRPr="00A64EEB">
        <w:rPr>
          <w:rFonts w:ascii="Times New Roman" w:hAnsi="Times New Roman" w:cs="Times New Roman"/>
          <w:sz w:val="24"/>
          <w:szCs w:val="24"/>
        </w:rPr>
        <w:t>Ilości podane w przedmiarach robót są orientacyjne i nie stanowią podstawy do wykonania i rozliczenia zawartej umowy.</w:t>
      </w:r>
    </w:p>
    <w:p w:rsidR="00A64EEB" w:rsidRPr="00A64EEB" w:rsidRDefault="00A64EEB" w:rsidP="00A64EEB">
      <w:pPr>
        <w:spacing w:after="0" w:line="360" w:lineRule="auto"/>
        <w:jc w:val="both"/>
        <w:rPr>
          <w:rFonts w:ascii="Times New Roman" w:hAnsi="Times New Roman" w:cs="Times New Roman"/>
          <w:sz w:val="24"/>
          <w:szCs w:val="24"/>
        </w:rPr>
      </w:pPr>
      <w:r w:rsidRPr="00A64EEB">
        <w:rPr>
          <w:rFonts w:ascii="Times New Roman" w:hAnsi="Times New Roman" w:cs="Times New Roman"/>
          <w:sz w:val="24"/>
          <w:szCs w:val="24"/>
        </w:rPr>
        <w:lastRenderedPageBreak/>
        <w:t xml:space="preserve">Zakres prac przewidziany do wykonania obejmuje m.in.: </w:t>
      </w:r>
    </w:p>
    <w:p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1. Zabezpieczenie terenu robót, </w:t>
      </w:r>
    </w:p>
    <w:p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2. Zapewnienie niezbędnych materiałów, sprzętu i urządzeń do wykonania przedmiotu umowy, </w:t>
      </w:r>
    </w:p>
    <w:p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3. Wykonanie prac przygotowawczych, </w:t>
      </w:r>
    </w:p>
    <w:p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4. Przeprowadzenie wszelkich robót zgodnie z zasadami określonymi w dokumentacji projektowej, zasadami wiedzy technicznej, obowiązującym Prawem budowlanym i przepisami wykonawczymi do tej ustawy oraz </w:t>
      </w:r>
      <w:proofErr w:type="spellStart"/>
      <w:r w:rsidRPr="00A64EEB">
        <w:rPr>
          <w:rFonts w:ascii="Times New Roman" w:hAnsi="Times New Roman" w:cs="Times New Roman"/>
          <w:sz w:val="24"/>
          <w:szCs w:val="24"/>
        </w:rPr>
        <w:t>STWiORB</w:t>
      </w:r>
      <w:proofErr w:type="spellEnd"/>
      <w:r w:rsidRPr="00A64EEB">
        <w:rPr>
          <w:rFonts w:ascii="Times New Roman" w:hAnsi="Times New Roman" w:cs="Times New Roman"/>
          <w:sz w:val="24"/>
          <w:szCs w:val="24"/>
        </w:rPr>
        <w:t xml:space="preserve">, </w:t>
      </w:r>
    </w:p>
    <w:p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5. Dokonanie wszelkich wymaganych ustawą Prawo budowlane czynności niezbędnych do wykonania przedmiotu zamówienia. </w:t>
      </w:r>
    </w:p>
    <w:p w:rsidR="00CB11FD" w:rsidRDefault="00CB11FD" w:rsidP="00CB11FD">
      <w:pPr>
        <w:pStyle w:val="Akapitzlist"/>
        <w:numPr>
          <w:ilvl w:val="0"/>
          <w:numId w:val="2"/>
        </w:numPr>
        <w:spacing w:after="0" w:line="360" w:lineRule="auto"/>
        <w:ind w:left="851" w:hanging="371"/>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CB11FD">
        <w:rPr>
          <w:rFonts w:ascii="Times New Roman" w:hAnsi="Times New Roman" w:cs="Times New Roman"/>
          <w:b/>
          <w:bCs/>
          <w:sz w:val="24"/>
          <w:szCs w:val="24"/>
        </w:rPr>
        <w:t xml:space="preserve">Zakres wykonywanych robót: </w:t>
      </w:r>
    </w:p>
    <w:p w:rsidR="00CB11FD" w:rsidRDefault="00CB11FD" w:rsidP="00CB11FD">
      <w:pPr>
        <w:spacing w:after="0" w:line="360" w:lineRule="auto"/>
        <w:jc w:val="both"/>
        <w:rPr>
          <w:rFonts w:ascii="Times New Roman" w:hAnsi="Times New Roman" w:cs="Times New Roman"/>
          <w:sz w:val="24"/>
          <w:szCs w:val="24"/>
        </w:rPr>
      </w:pPr>
      <w:r w:rsidRPr="00CB11FD">
        <w:rPr>
          <w:rFonts w:ascii="Times New Roman" w:hAnsi="Times New Roman" w:cs="Times New Roman"/>
          <w:sz w:val="24"/>
          <w:szCs w:val="24"/>
        </w:rPr>
        <w:t xml:space="preserve">W ramach </w:t>
      </w:r>
      <w:r w:rsidR="00FB67FB">
        <w:rPr>
          <w:rFonts w:ascii="Times New Roman" w:hAnsi="Times New Roman" w:cs="Times New Roman"/>
          <w:sz w:val="24"/>
          <w:szCs w:val="24"/>
        </w:rPr>
        <w:t>zadania</w:t>
      </w:r>
      <w:r w:rsidRPr="00CB11FD">
        <w:rPr>
          <w:rFonts w:ascii="Times New Roman" w:hAnsi="Times New Roman" w:cs="Times New Roman"/>
          <w:sz w:val="24"/>
          <w:szCs w:val="24"/>
        </w:rPr>
        <w:t xml:space="preserve"> związan</w:t>
      </w:r>
      <w:r w:rsidR="00FB67FB">
        <w:rPr>
          <w:rFonts w:ascii="Times New Roman" w:hAnsi="Times New Roman" w:cs="Times New Roman"/>
          <w:sz w:val="24"/>
          <w:szCs w:val="24"/>
        </w:rPr>
        <w:t>ego</w:t>
      </w:r>
      <w:r w:rsidRPr="00CB11FD">
        <w:rPr>
          <w:rFonts w:ascii="Times New Roman" w:hAnsi="Times New Roman" w:cs="Times New Roman"/>
          <w:sz w:val="24"/>
          <w:szCs w:val="24"/>
        </w:rPr>
        <w:t xml:space="preserve"> z </w:t>
      </w:r>
      <w:r>
        <w:rPr>
          <w:rFonts w:ascii="Times New Roman" w:hAnsi="Times New Roman" w:cs="Times New Roman"/>
          <w:sz w:val="24"/>
          <w:szCs w:val="24"/>
        </w:rPr>
        <w:t>roz</w:t>
      </w:r>
      <w:r w:rsidRPr="00CB11FD">
        <w:rPr>
          <w:rFonts w:ascii="Times New Roman" w:hAnsi="Times New Roman" w:cs="Times New Roman"/>
          <w:sz w:val="24"/>
          <w:szCs w:val="24"/>
        </w:rPr>
        <w:t xml:space="preserve">budową </w:t>
      </w:r>
      <w:r>
        <w:rPr>
          <w:rFonts w:ascii="Times New Roman" w:hAnsi="Times New Roman" w:cs="Times New Roman"/>
          <w:sz w:val="24"/>
          <w:szCs w:val="24"/>
        </w:rPr>
        <w:t xml:space="preserve">i budową </w:t>
      </w:r>
      <w:r w:rsidRPr="00CB11FD">
        <w:rPr>
          <w:rFonts w:ascii="Times New Roman" w:hAnsi="Times New Roman" w:cs="Times New Roman"/>
          <w:sz w:val="24"/>
          <w:szCs w:val="24"/>
        </w:rPr>
        <w:t xml:space="preserve">drogi gminnej w m. </w:t>
      </w:r>
      <w:r>
        <w:rPr>
          <w:rFonts w:ascii="Times New Roman" w:hAnsi="Times New Roman" w:cs="Times New Roman"/>
          <w:sz w:val="24"/>
          <w:szCs w:val="24"/>
        </w:rPr>
        <w:t xml:space="preserve">Olesin i </w:t>
      </w:r>
      <w:proofErr w:type="spellStart"/>
      <w:r>
        <w:rPr>
          <w:rFonts w:ascii="Times New Roman" w:hAnsi="Times New Roman" w:cs="Times New Roman"/>
          <w:sz w:val="24"/>
          <w:szCs w:val="24"/>
        </w:rPr>
        <w:t>Wielobycz-Kolonia</w:t>
      </w:r>
      <w:proofErr w:type="spellEnd"/>
      <w:r w:rsidRPr="00CB11FD">
        <w:rPr>
          <w:rFonts w:ascii="Times New Roman" w:hAnsi="Times New Roman" w:cs="Times New Roman"/>
          <w:sz w:val="24"/>
          <w:szCs w:val="24"/>
        </w:rPr>
        <w:t xml:space="preserve"> należy wykonać</w:t>
      </w:r>
      <w:r w:rsidR="00FB67FB">
        <w:rPr>
          <w:rFonts w:ascii="Times New Roman" w:hAnsi="Times New Roman" w:cs="Times New Roman"/>
          <w:sz w:val="24"/>
          <w:szCs w:val="24"/>
        </w:rPr>
        <w:t xml:space="preserve"> następujące roboty</w:t>
      </w:r>
      <w:r>
        <w:rPr>
          <w:rFonts w:ascii="Times New Roman" w:hAnsi="Times New Roman" w:cs="Times New Roman"/>
          <w:sz w:val="24"/>
          <w:szCs w:val="24"/>
        </w:rPr>
        <w:t>:</w:t>
      </w:r>
    </w:p>
    <w:p w:rsidR="00CB11FD" w:rsidRDefault="00CB11FD" w:rsidP="00FB67FB">
      <w:pPr>
        <w:pStyle w:val="Akapitzlist"/>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Roboty przygotowawcze,</w:t>
      </w:r>
    </w:p>
    <w:p w:rsidR="00CB11FD" w:rsidRDefault="00CB11FD" w:rsidP="00FB67FB">
      <w:pPr>
        <w:pStyle w:val="Akapitzlist"/>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Roboty rozbiórkowe,</w:t>
      </w:r>
    </w:p>
    <w:p w:rsidR="00FB67FB" w:rsidRPr="00FB67FB" w:rsidRDefault="00CB11FD" w:rsidP="00FB67FB">
      <w:pPr>
        <w:pStyle w:val="Akapitzlist"/>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Zabezpieczenie infrastruktury</w:t>
      </w:r>
      <w:r w:rsidR="00FB67FB">
        <w:rPr>
          <w:rFonts w:ascii="Times New Roman" w:hAnsi="Times New Roman" w:cs="Times New Roman"/>
          <w:sz w:val="24"/>
          <w:szCs w:val="24"/>
        </w:rPr>
        <w:t xml:space="preserve"> elektroenergetycznej i teletechnicznej</w:t>
      </w:r>
      <w:r>
        <w:rPr>
          <w:rFonts w:ascii="Times New Roman" w:hAnsi="Times New Roman" w:cs="Times New Roman"/>
          <w:sz w:val="24"/>
          <w:szCs w:val="24"/>
        </w:rPr>
        <w:t>,</w:t>
      </w:r>
    </w:p>
    <w:p w:rsidR="00FB67FB" w:rsidRPr="00FB67FB" w:rsidRDefault="00FB67FB" w:rsidP="00FB67FB">
      <w:pPr>
        <w:pStyle w:val="Akapitzlist"/>
        <w:numPr>
          <w:ilvl w:val="0"/>
          <w:numId w:val="5"/>
        </w:numPr>
        <w:spacing w:after="0" w:line="360" w:lineRule="auto"/>
        <w:jc w:val="both"/>
        <w:rPr>
          <w:rFonts w:ascii="Times New Roman" w:hAnsi="Times New Roman" w:cs="Times New Roman"/>
          <w:sz w:val="24"/>
          <w:szCs w:val="24"/>
        </w:rPr>
      </w:pPr>
      <w:r w:rsidRPr="00FB67FB">
        <w:rPr>
          <w:rFonts w:ascii="Times New Roman" w:hAnsi="Times New Roman" w:cs="Times New Roman"/>
          <w:sz w:val="24"/>
          <w:szCs w:val="24"/>
        </w:rPr>
        <w:t>Wyprofilowanie terenu</w:t>
      </w:r>
      <w:r>
        <w:rPr>
          <w:rFonts w:ascii="Times New Roman" w:hAnsi="Times New Roman" w:cs="Times New Roman"/>
          <w:sz w:val="24"/>
          <w:szCs w:val="24"/>
        </w:rPr>
        <w:t>,</w:t>
      </w:r>
      <w:r w:rsidRPr="00FB67FB">
        <w:rPr>
          <w:rFonts w:ascii="Times New Roman" w:hAnsi="Times New Roman" w:cs="Times New Roman"/>
          <w:sz w:val="24"/>
          <w:szCs w:val="24"/>
        </w:rPr>
        <w:t xml:space="preserve"> </w:t>
      </w:r>
    </w:p>
    <w:p w:rsidR="00FB67FB" w:rsidRDefault="00FB67FB" w:rsidP="00FB67FB">
      <w:pPr>
        <w:pStyle w:val="Default"/>
        <w:numPr>
          <w:ilvl w:val="0"/>
          <w:numId w:val="5"/>
        </w:numPr>
        <w:spacing w:line="360" w:lineRule="auto"/>
      </w:pPr>
      <w:r>
        <w:t xml:space="preserve">Wykonanie nasypów i wykopów, </w:t>
      </w:r>
    </w:p>
    <w:p w:rsidR="00FB67FB" w:rsidRPr="00FB67FB" w:rsidRDefault="00FB67FB" w:rsidP="00FB67FB">
      <w:pPr>
        <w:pStyle w:val="Default"/>
        <w:numPr>
          <w:ilvl w:val="0"/>
          <w:numId w:val="5"/>
        </w:numPr>
        <w:spacing w:line="360" w:lineRule="auto"/>
      </w:pPr>
      <w:r>
        <w:t xml:space="preserve">Wykonanie koryta pod nowe warstwy konstrukcyjne oraz krawężniki, </w:t>
      </w:r>
    </w:p>
    <w:p w:rsidR="00FB67FB" w:rsidRPr="00FB67FB" w:rsidRDefault="00FB67FB" w:rsidP="00FB67FB">
      <w:pPr>
        <w:pStyle w:val="Akapitzlist"/>
        <w:numPr>
          <w:ilvl w:val="0"/>
          <w:numId w:val="5"/>
        </w:numPr>
        <w:spacing w:after="0" w:line="360" w:lineRule="auto"/>
        <w:jc w:val="both"/>
        <w:rPr>
          <w:rFonts w:ascii="Times New Roman" w:hAnsi="Times New Roman" w:cs="Times New Roman"/>
          <w:sz w:val="24"/>
          <w:szCs w:val="24"/>
        </w:rPr>
      </w:pPr>
      <w:r w:rsidRPr="00FB67FB">
        <w:rPr>
          <w:rFonts w:ascii="Times New Roman" w:hAnsi="Times New Roman" w:cs="Times New Roman"/>
          <w:sz w:val="24"/>
          <w:szCs w:val="24"/>
        </w:rPr>
        <w:t>Ustawienie krawężników i obrzeży wraz z ławami z oporem</w:t>
      </w:r>
      <w:r>
        <w:rPr>
          <w:rFonts w:ascii="Times New Roman" w:hAnsi="Times New Roman" w:cs="Times New Roman"/>
          <w:sz w:val="24"/>
          <w:szCs w:val="24"/>
        </w:rPr>
        <w:t>,</w:t>
      </w:r>
    </w:p>
    <w:p w:rsidR="00FB67FB" w:rsidRPr="00FB67FB" w:rsidRDefault="00FB67FB" w:rsidP="00FB67FB">
      <w:pPr>
        <w:pStyle w:val="Akapitzlist"/>
        <w:numPr>
          <w:ilvl w:val="0"/>
          <w:numId w:val="5"/>
        </w:numPr>
        <w:spacing w:after="0" w:line="360" w:lineRule="auto"/>
        <w:jc w:val="both"/>
        <w:rPr>
          <w:rFonts w:ascii="Times New Roman" w:hAnsi="Times New Roman" w:cs="Times New Roman"/>
          <w:sz w:val="24"/>
          <w:szCs w:val="24"/>
        </w:rPr>
      </w:pPr>
      <w:r w:rsidRPr="00FB67FB">
        <w:rPr>
          <w:rFonts w:ascii="Times New Roman" w:hAnsi="Times New Roman" w:cs="Times New Roman"/>
          <w:sz w:val="24"/>
          <w:szCs w:val="24"/>
        </w:rPr>
        <w:t>Wykonanie nawierzchni drogi</w:t>
      </w:r>
      <w:r>
        <w:rPr>
          <w:rFonts w:ascii="Times New Roman" w:hAnsi="Times New Roman" w:cs="Times New Roman"/>
          <w:sz w:val="24"/>
          <w:szCs w:val="24"/>
        </w:rPr>
        <w:t xml:space="preserve"> i</w:t>
      </w:r>
      <w:r w:rsidRPr="00FB67FB">
        <w:rPr>
          <w:rFonts w:ascii="Times New Roman" w:hAnsi="Times New Roman" w:cs="Times New Roman"/>
          <w:sz w:val="24"/>
          <w:szCs w:val="24"/>
        </w:rPr>
        <w:t xml:space="preserve"> zjazdów</w:t>
      </w:r>
      <w:r>
        <w:rPr>
          <w:rFonts w:ascii="Times New Roman" w:hAnsi="Times New Roman" w:cs="Times New Roman"/>
          <w:sz w:val="24"/>
          <w:szCs w:val="24"/>
        </w:rPr>
        <w:t>,</w:t>
      </w:r>
    </w:p>
    <w:p w:rsidR="00FB67FB" w:rsidRDefault="00FB67FB" w:rsidP="00FB67FB">
      <w:pPr>
        <w:pStyle w:val="Akapitzlist"/>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Wykonanie odwodnieni, przepustów i ścieków ulicznych,</w:t>
      </w:r>
    </w:p>
    <w:p w:rsidR="00FB67FB" w:rsidRDefault="00FB67FB" w:rsidP="00FB67FB">
      <w:pPr>
        <w:pStyle w:val="Default"/>
        <w:numPr>
          <w:ilvl w:val="0"/>
          <w:numId w:val="5"/>
        </w:numPr>
        <w:spacing w:line="360" w:lineRule="auto"/>
      </w:pPr>
      <w:r>
        <w:t>Wykonanie nawierzchni wszystkich w/w elementów,</w:t>
      </w:r>
    </w:p>
    <w:p w:rsidR="00FB67FB" w:rsidRPr="00FB67FB" w:rsidRDefault="00FB67FB" w:rsidP="00FB67FB">
      <w:pPr>
        <w:pStyle w:val="Default"/>
        <w:numPr>
          <w:ilvl w:val="0"/>
          <w:numId w:val="5"/>
        </w:numPr>
        <w:spacing w:line="360" w:lineRule="auto"/>
      </w:pPr>
      <w:r>
        <w:t>Zagospodarowanie i uporządkowanie terenu wokół inwestycji,</w:t>
      </w:r>
    </w:p>
    <w:p w:rsidR="00CB11FD" w:rsidRDefault="00FB67FB" w:rsidP="00CB11FD">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Konstrukcja nawierzchni</w:t>
      </w:r>
    </w:p>
    <w:p w:rsidR="00FB67FB" w:rsidRPr="00FB67FB" w:rsidRDefault="00FB67FB" w:rsidP="00FB67FB">
      <w:pPr>
        <w:spacing w:after="0" w:line="360" w:lineRule="auto"/>
        <w:jc w:val="both"/>
        <w:rPr>
          <w:rFonts w:ascii="Times New Roman" w:hAnsi="Times New Roman" w:cs="Times New Roman"/>
          <w:sz w:val="24"/>
          <w:szCs w:val="24"/>
        </w:rPr>
      </w:pPr>
      <w:r w:rsidRPr="00FB67FB">
        <w:rPr>
          <w:rFonts w:ascii="Times New Roman" w:hAnsi="Times New Roman" w:cs="Times New Roman"/>
          <w:sz w:val="24"/>
          <w:szCs w:val="24"/>
        </w:rPr>
        <w:t>Konstrukcje nawierzchni zaprojektowano w oparciu o Katalog typowych konstrukcji</w:t>
      </w:r>
      <w:r>
        <w:rPr>
          <w:rFonts w:ascii="Times New Roman" w:hAnsi="Times New Roman" w:cs="Times New Roman"/>
          <w:sz w:val="24"/>
          <w:szCs w:val="24"/>
        </w:rPr>
        <w:t xml:space="preserve"> </w:t>
      </w:r>
      <w:r w:rsidRPr="00FB67FB">
        <w:rPr>
          <w:rFonts w:ascii="Times New Roman" w:hAnsi="Times New Roman" w:cs="Times New Roman"/>
          <w:sz w:val="24"/>
          <w:szCs w:val="24"/>
        </w:rPr>
        <w:t>nawierzchni podatnych i półsztywnych stanowiący załącznik do zarządzenia Nr 31</w:t>
      </w:r>
      <w:r>
        <w:rPr>
          <w:rFonts w:ascii="Times New Roman" w:hAnsi="Times New Roman" w:cs="Times New Roman"/>
          <w:sz w:val="24"/>
          <w:szCs w:val="24"/>
        </w:rPr>
        <w:t xml:space="preserve"> </w:t>
      </w:r>
      <w:r w:rsidRPr="00FB67FB">
        <w:rPr>
          <w:rFonts w:ascii="Times New Roman" w:hAnsi="Times New Roman" w:cs="Times New Roman"/>
          <w:sz w:val="24"/>
          <w:szCs w:val="24"/>
        </w:rPr>
        <w:t>Generalnego Dyrektora Dróg Krajowych i Autostrad z dnia 16.06.2014 r.</w:t>
      </w:r>
    </w:p>
    <w:p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Konstrukcja wzmocnienia nawierzchni jezdni na odcinku</w:t>
      </w:r>
      <w:r w:rsidRPr="008B7FF4">
        <w:rPr>
          <w:rFonts w:ascii="Times New Roman" w:hAnsi="Times New Roman" w:cs="Times New Roman"/>
          <w:b/>
          <w:bCs/>
          <w:sz w:val="24"/>
          <w:szCs w:val="24"/>
        </w:rPr>
        <w:t xml:space="preserve"> </w:t>
      </w:r>
      <w:r w:rsidRPr="003E3A34">
        <w:rPr>
          <w:rFonts w:ascii="Times New Roman" w:hAnsi="Times New Roman" w:cs="Times New Roman"/>
          <w:b/>
          <w:bCs/>
          <w:sz w:val="24"/>
          <w:szCs w:val="24"/>
        </w:rPr>
        <w:t>od km 0+000 do km 0+605</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a) 4 cm – </w:t>
      </w:r>
      <w:proofErr w:type="spellStart"/>
      <w:r w:rsidRPr="003E3A34">
        <w:rPr>
          <w:rFonts w:ascii="Times New Roman" w:hAnsi="Times New Roman" w:cs="Times New Roman"/>
          <w:sz w:val="24"/>
          <w:szCs w:val="24"/>
        </w:rPr>
        <w:t>w-wa</w:t>
      </w:r>
      <w:proofErr w:type="spellEnd"/>
      <w:r w:rsidRPr="003E3A34">
        <w:rPr>
          <w:rFonts w:ascii="Times New Roman" w:hAnsi="Times New Roman" w:cs="Times New Roman"/>
          <w:sz w:val="24"/>
          <w:szCs w:val="24"/>
        </w:rPr>
        <w:t xml:space="preserve"> ścieralna z betonu asfaltowego AC 11 S 50/70 KR 1-2 wg WT-2:2010,</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b) skropienie emulsją asfaltową </w:t>
      </w:r>
      <w:proofErr w:type="spellStart"/>
      <w:r w:rsidRPr="003E3A34">
        <w:rPr>
          <w:rFonts w:ascii="Times New Roman" w:hAnsi="Times New Roman" w:cs="Times New Roman"/>
          <w:sz w:val="24"/>
          <w:szCs w:val="24"/>
        </w:rPr>
        <w:t>szybkorozpadową</w:t>
      </w:r>
      <w:proofErr w:type="spellEnd"/>
      <w:r w:rsidRPr="003E3A34">
        <w:rPr>
          <w:rFonts w:ascii="Times New Roman" w:hAnsi="Times New Roman" w:cs="Times New Roman"/>
          <w:sz w:val="24"/>
          <w:szCs w:val="24"/>
        </w:rPr>
        <w:t xml:space="preserve"> C 60 B 3 ZM</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0,4 kg/m2,</w:t>
      </w:r>
      <w:r>
        <w:rPr>
          <w:rFonts w:ascii="Times New Roman" w:hAnsi="Times New Roman" w:cs="Times New Roman"/>
          <w:sz w:val="24"/>
          <w:szCs w:val="24"/>
        </w:rPr>
        <w:t xml:space="preserve"> </w:t>
      </w:r>
      <w:r w:rsidRPr="003E3A34">
        <w:rPr>
          <w:rFonts w:ascii="Times New Roman" w:hAnsi="Times New Roman" w:cs="Times New Roman"/>
          <w:sz w:val="24"/>
          <w:szCs w:val="24"/>
        </w:rPr>
        <w:t>asfalt pozostały 0,24 kg/m2,</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c) min. 4 cm – </w:t>
      </w:r>
      <w:proofErr w:type="spellStart"/>
      <w:r w:rsidRPr="003E3A34">
        <w:rPr>
          <w:rFonts w:ascii="Times New Roman" w:hAnsi="Times New Roman" w:cs="Times New Roman"/>
          <w:sz w:val="24"/>
          <w:szCs w:val="24"/>
        </w:rPr>
        <w:t>w-wa</w:t>
      </w:r>
      <w:proofErr w:type="spellEnd"/>
      <w:r w:rsidRPr="003E3A34">
        <w:rPr>
          <w:rFonts w:ascii="Times New Roman" w:hAnsi="Times New Roman" w:cs="Times New Roman"/>
          <w:sz w:val="24"/>
          <w:szCs w:val="24"/>
        </w:rPr>
        <w:t xml:space="preserve"> wyrównawcza z betonu asfaltowego AC 11 W 50/70 KR 1-2</w:t>
      </w:r>
      <w:r>
        <w:rPr>
          <w:rFonts w:ascii="Times New Roman" w:hAnsi="Times New Roman" w:cs="Times New Roman"/>
          <w:sz w:val="24"/>
          <w:szCs w:val="24"/>
        </w:rPr>
        <w:t xml:space="preserve"> </w:t>
      </w:r>
      <w:r w:rsidRPr="003E3A34">
        <w:rPr>
          <w:rFonts w:ascii="Times New Roman" w:hAnsi="Times New Roman" w:cs="Times New Roman"/>
          <w:sz w:val="24"/>
          <w:szCs w:val="24"/>
        </w:rPr>
        <w:t>wg WT-2:2010,</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lastRenderedPageBreak/>
        <w:t xml:space="preserve">d) skropienie emulsją asfaltową </w:t>
      </w:r>
      <w:proofErr w:type="spellStart"/>
      <w:r w:rsidRPr="003E3A34">
        <w:rPr>
          <w:rFonts w:ascii="Times New Roman" w:hAnsi="Times New Roman" w:cs="Times New Roman"/>
          <w:sz w:val="24"/>
          <w:szCs w:val="24"/>
        </w:rPr>
        <w:t>szybkorozpadową</w:t>
      </w:r>
      <w:proofErr w:type="spellEnd"/>
      <w:r w:rsidRPr="003E3A34">
        <w:rPr>
          <w:rFonts w:ascii="Times New Roman" w:hAnsi="Times New Roman" w:cs="Times New Roman"/>
          <w:sz w:val="24"/>
          <w:szCs w:val="24"/>
        </w:rPr>
        <w:t xml:space="preserve"> C 60 B 3 ZM</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0,4 kg/m2,</w:t>
      </w:r>
      <w:r>
        <w:rPr>
          <w:rFonts w:ascii="Times New Roman" w:hAnsi="Times New Roman" w:cs="Times New Roman"/>
          <w:sz w:val="24"/>
          <w:szCs w:val="24"/>
        </w:rPr>
        <w:t xml:space="preserve"> </w:t>
      </w:r>
      <w:r w:rsidRPr="003E3A34">
        <w:rPr>
          <w:rFonts w:ascii="Times New Roman" w:hAnsi="Times New Roman" w:cs="Times New Roman"/>
          <w:sz w:val="24"/>
          <w:szCs w:val="24"/>
        </w:rPr>
        <w:t>asfalt pozostały 0,24 kg/m2,</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e) istniejąca konstrukcja nawierzchni.</w:t>
      </w:r>
    </w:p>
    <w:p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Konstrukcja nawierzchni jezdni od km 0+605 do km 1+610</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a) 4 cm – </w:t>
      </w:r>
      <w:proofErr w:type="spellStart"/>
      <w:r w:rsidRPr="003E3A34">
        <w:rPr>
          <w:rFonts w:ascii="Times New Roman" w:hAnsi="Times New Roman" w:cs="Times New Roman"/>
          <w:sz w:val="24"/>
          <w:szCs w:val="24"/>
        </w:rPr>
        <w:t>w-wa</w:t>
      </w:r>
      <w:proofErr w:type="spellEnd"/>
      <w:r w:rsidRPr="003E3A34">
        <w:rPr>
          <w:rFonts w:ascii="Times New Roman" w:hAnsi="Times New Roman" w:cs="Times New Roman"/>
          <w:sz w:val="24"/>
          <w:szCs w:val="24"/>
        </w:rPr>
        <w:t xml:space="preserve"> ścieralna z betonu asfaltowego AC 11 S 50/70 KR 1-2 wg WT-2:2010,</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b) skropienie emulsją asfaltową </w:t>
      </w:r>
      <w:proofErr w:type="spellStart"/>
      <w:r w:rsidRPr="003E3A34">
        <w:rPr>
          <w:rFonts w:ascii="Times New Roman" w:hAnsi="Times New Roman" w:cs="Times New Roman"/>
          <w:sz w:val="24"/>
          <w:szCs w:val="24"/>
        </w:rPr>
        <w:t>szybkorozpadową</w:t>
      </w:r>
      <w:proofErr w:type="spellEnd"/>
      <w:r w:rsidRPr="003E3A34">
        <w:rPr>
          <w:rFonts w:ascii="Times New Roman" w:hAnsi="Times New Roman" w:cs="Times New Roman"/>
          <w:sz w:val="24"/>
          <w:szCs w:val="24"/>
        </w:rPr>
        <w:t xml:space="preserve"> C 60 B 3 ZM</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0,4 kg/m2, asfalt pozostały 0,24 kg/m2,</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c) 5 cm – </w:t>
      </w:r>
      <w:proofErr w:type="spellStart"/>
      <w:r w:rsidRPr="003E3A34">
        <w:rPr>
          <w:rFonts w:ascii="Times New Roman" w:hAnsi="Times New Roman" w:cs="Times New Roman"/>
          <w:sz w:val="24"/>
          <w:szCs w:val="24"/>
        </w:rPr>
        <w:t>w-wa</w:t>
      </w:r>
      <w:proofErr w:type="spellEnd"/>
      <w:r w:rsidRPr="003E3A34">
        <w:rPr>
          <w:rFonts w:ascii="Times New Roman" w:hAnsi="Times New Roman" w:cs="Times New Roman"/>
          <w:sz w:val="24"/>
          <w:szCs w:val="24"/>
        </w:rPr>
        <w:t xml:space="preserve"> wiążąca z betonu asfaltowego AC 11 W 50/70 KR 1-2 wg WT-2:2010,</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d) skropienie emulsją asfaltową </w:t>
      </w:r>
      <w:proofErr w:type="spellStart"/>
      <w:r w:rsidRPr="003E3A34">
        <w:rPr>
          <w:rFonts w:ascii="Times New Roman" w:hAnsi="Times New Roman" w:cs="Times New Roman"/>
          <w:sz w:val="24"/>
          <w:szCs w:val="24"/>
        </w:rPr>
        <w:t>wolnorozpadową</w:t>
      </w:r>
      <w:proofErr w:type="spellEnd"/>
      <w:r w:rsidRPr="003E3A34">
        <w:rPr>
          <w:rFonts w:ascii="Times New Roman" w:hAnsi="Times New Roman" w:cs="Times New Roman"/>
          <w:sz w:val="24"/>
          <w:szCs w:val="24"/>
        </w:rPr>
        <w:t xml:space="preserve"> C 60 B 10 ZM/R</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0,7</w:t>
      </w:r>
      <w:r w:rsidR="008B7FF4">
        <w:rPr>
          <w:rFonts w:ascii="Times New Roman" w:hAnsi="Times New Roman" w:cs="Times New Roman"/>
          <w:sz w:val="24"/>
          <w:szCs w:val="24"/>
        </w:rPr>
        <w:t> </w:t>
      </w:r>
      <w:r w:rsidRPr="003E3A34">
        <w:rPr>
          <w:rFonts w:ascii="Times New Roman" w:hAnsi="Times New Roman" w:cs="Times New Roman"/>
          <w:sz w:val="24"/>
          <w:szCs w:val="24"/>
        </w:rPr>
        <w:t>kg/m2, asfalt pozostały 0,42 kg/m2,</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e) 20 cm – podbudowa zasadnicza z mieszanki kruszywa</w:t>
      </w:r>
      <w:r>
        <w:rPr>
          <w:rFonts w:ascii="Times New Roman" w:hAnsi="Times New Roman" w:cs="Times New Roman"/>
          <w:sz w:val="24"/>
          <w:szCs w:val="24"/>
        </w:rPr>
        <w:t xml:space="preserve"> </w:t>
      </w:r>
      <w:r w:rsidRPr="003E3A34">
        <w:rPr>
          <w:rFonts w:ascii="Times New Roman" w:hAnsi="Times New Roman" w:cs="Times New Roman"/>
          <w:sz w:val="24"/>
          <w:szCs w:val="24"/>
        </w:rPr>
        <w:t>niezwiązanego 0/31,5 KR 1-2 wg WT-4:2010,</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f) 31 cm – warstwa </w:t>
      </w:r>
      <w:proofErr w:type="spellStart"/>
      <w:r w:rsidRPr="003E3A34">
        <w:rPr>
          <w:rFonts w:ascii="Times New Roman" w:hAnsi="Times New Roman" w:cs="Times New Roman"/>
          <w:sz w:val="24"/>
          <w:szCs w:val="24"/>
        </w:rPr>
        <w:t>mrozoochronna</w:t>
      </w:r>
      <w:proofErr w:type="spellEnd"/>
      <w:r w:rsidRPr="003E3A34">
        <w:rPr>
          <w:rFonts w:ascii="Times New Roman" w:hAnsi="Times New Roman" w:cs="Times New Roman"/>
          <w:sz w:val="24"/>
          <w:szCs w:val="24"/>
        </w:rPr>
        <w:t xml:space="preserve"> z mieszanki kruszywa związanego</w:t>
      </w:r>
      <w:r>
        <w:rPr>
          <w:rFonts w:ascii="Times New Roman" w:hAnsi="Times New Roman" w:cs="Times New Roman"/>
          <w:sz w:val="24"/>
          <w:szCs w:val="24"/>
        </w:rPr>
        <w:t xml:space="preserve"> </w:t>
      </w:r>
      <w:r w:rsidRPr="003E3A34">
        <w:rPr>
          <w:rFonts w:ascii="Times New Roman" w:hAnsi="Times New Roman" w:cs="Times New Roman"/>
          <w:sz w:val="24"/>
          <w:szCs w:val="24"/>
        </w:rPr>
        <w:t>cementem C1.5/2 CBGM 0/8 wg WT-5:2010,</w:t>
      </w:r>
    </w:p>
    <w:p w:rsid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g) podłoże gruntowe.</w:t>
      </w:r>
    </w:p>
    <w:p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Konstrukcja nawierzchni zjazdów</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a) 15 cm – nawierzchnia z mieszanki kruszywa niezwiązanego</w:t>
      </w:r>
      <w:r>
        <w:rPr>
          <w:rFonts w:ascii="Times New Roman" w:hAnsi="Times New Roman" w:cs="Times New Roman"/>
          <w:sz w:val="24"/>
          <w:szCs w:val="24"/>
        </w:rPr>
        <w:t xml:space="preserve"> </w:t>
      </w:r>
      <w:r w:rsidRPr="003E3A34">
        <w:rPr>
          <w:rFonts w:ascii="Times New Roman" w:hAnsi="Times New Roman" w:cs="Times New Roman"/>
          <w:sz w:val="24"/>
          <w:szCs w:val="24"/>
        </w:rPr>
        <w:t>0/31,5 KR 1-2 wg WT-4:2010,</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b) 15 cm – podbudowa pomocnicza z kruszywa 0/2 f7,</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c) podłoże gruntowe lub nasyp wg PN-S-02205:1998.</w:t>
      </w:r>
    </w:p>
    <w:p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 xml:space="preserve">Konstrukcja nawierzchni zjazdów w strefie przylegającej do krawędzi jezdni </w:t>
      </w:r>
      <w:r w:rsidR="008B7FF4">
        <w:rPr>
          <w:rFonts w:ascii="Times New Roman" w:hAnsi="Times New Roman" w:cs="Times New Roman"/>
          <w:b/>
          <w:bCs/>
          <w:sz w:val="24"/>
          <w:szCs w:val="24"/>
        </w:rPr>
        <w:br/>
      </w:r>
      <w:r w:rsidRPr="003E3A34">
        <w:rPr>
          <w:rFonts w:ascii="Times New Roman" w:hAnsi="Times New Roman" w:cs="Times New Roman"/>
          <w:b/>
          <w:bCs/>
          <w:sz w:val="24"/>
          <w:szCs w:val="24"/>
        </w:rPr>
        <w:t>o szer.</w:t>
      </w:r>
      <w:r w:rsidR="008B7FF4">
        <w:rPr>
          <w:rFonts w:ascii="Times New Roman" w:hAnsi="Times New Roman" w:cs="Times New Roman"/>
          <w:b/>
          <w:bCs/>
          <w:sz w:val="24"/>
          <w:szCs w:val="24"/>
        </w:rPr>
        <w:t> </w:t>
      </w:r>
      <w:r w:rsidRPr="003E3A34">
        <w:rPr>
          <w:rFonts w:ascii="Times New Roman" w:hAnsi="Times New Roman" w:cs="Times New Roman"/>
          <w:b/>
          <w:bCs/>
          <w:sz w:val="24"/>
          <w:szCs w:val="24"/>
        </w:rPr>
        <w:t>1,00</w:t>
      </w:r>
      <w:r w:rsidR="008B7FF4">
        <w:rPr>
          <w:rFonts w:ascii="Times New Roman" w:hAnsi="Times New Roman" w:cs="Times New Roman"/>
          <w:b/>
          <w:bCs/>
          <w:sz w:val="24"/>
          <w:szCs w:val="24"/>
        </w:rPr>
        <w:t> </w:t>
      </w:r>
      <w:r w:rsidRPr="003E3A34">
        <w:rPr>
          <w:rFonts w:ascii="Times New Roman" w:hAnsi="Times New Roman" w:cs="Times New Roman"/>
          <w:b/>
          <w:bCs/>
          <w:sz w:val="24"/>
          <w:szCs w:val="24"/>
        </w:rPr>
        <w:t>m</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a) 5 cm – </w:t>
      </w:r>
      <w:proofErr w:type="spellStart"/>
      <w:r w:rsidRPr="003E3A34">
        <w:rPr>
          <w:rFonts w:ascii="Times New Roman" w:hAnsi="Times New Roman" w:cs="Times New Roman"/>
          <w:sz w:val="24"/>
          <w:szCs w:val="24"/>
        </w:rPr>
        <w:t>w-wa</w:t>
      </w:r>
      <w:proofErr w:type="spellEnd"/>
      <w:r w:rsidRPr="003E3A34">
        <w:rPr>
          <w:rFonts w:ascii="Times New Roman" w:hAnsi="Times New Roman" w:cs="Times New Roman"/>
          <w:sz w:val="24"/>
          <w:szCs w:val="24"/>
        </w:rPr>
        <w:t xml:space="preserve"> ścieralna z betonu asfaltowego AC 11 S 50/70 KR 1-2 wg WT-2:2010,</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b) skropienie emulsją asfaltową </w:t>
      </w:r>
      <w:proofErr w:type="spellStart"/>
      <w:r w:rsidRPr="003E3A34">
        <w:rPr>
          <w:rFonts w:ascii="Times New Roman" w:hAnsi="Times New Roman" w:cs="Times New Roman"/>
          <w:sz w:val="24"/>
          <w:szCs w:val="24"/>
        </w:rPr>
        <w:t>wolnorozpadową</w:t>
      </w:r>
      <w:proofErr w:type="spellEnd"/>
      <w:r w:rsidRPr="003E3A34">
        <w:rPr>
          <w:rFonts w:ascii="Times New Roman" w:hAnsi="Times New Roman" w:cs="Times New Roman"/>
          <w:sz w:val="24"/>
          <w:szCs w:val="24"/>
        </w:rPr>
        <w:t xml:space="preserve"> C 60 B 10 ZM/R</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0,7</w:t>
      </w:r>
      <w:r w:rsidR="008B7FF4">
        <w:rPr>
          <w:rFonts w:ascii="Times New Roman" w:hAnsi="Times New Roman" w:cs="Times New Roman"/>
          <w:sz w:val="24"/>
          <w:szCs w:val="24"/>
        </w:rPr>
        <w:t> </w:t>
      </w:r>
      <w:r w:rsidRPr="003E3A34">
        <w:rPr>
          <w:rFonts w:ascii="Times New Roman" w:hAnsi="Times New Roman" w:cs="Times New Roman"/>
          <w:sz w:val="24"/>
          <w:szCs w:val="24"/>
        </w:rPr>
        <w:t>kg/m2, asfalt pozostały 0,42 kg/m2,</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c) 15 cm – nawierzchnia z mieszanki kruszywa niezwiązanego</w:t>
      </w:r>
      <w:r w:rsidR="008B7FF4">
        <w:rPr>
          <w:rFonts w:ascii="Times New Roman" w:hAnsi="Times New Roman" w:cs="Times New Roman"/>
          <w:sz w:val="24"/>
          <w:szCs w:val="24"/>
        </w:rPr>
        <w:t xml:space="preserve"> </w:t>
      </w:r>
      <w:r w:rsidRPr="003E3A34">
        <w:rPr>
          <w:rFonts w:ascii="Times New Roman" w:hAnsi="Times New Roman" w:cs="Times New Roman"/>
          <w:sz w:val="24"/>
          <w:szCs w:val="24"/>
        </w:rPr>
        <w:t>0/31,5 KR 1-2 wg WT-4:2010,</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d) 15 cm – podbudowa pomocnicza z kruszywa 0/2 f7,</w:t>
      </w:r>
    </w:p>
    <w:p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e) podłoże gruntowe lub nasyp wg PN-S-02205:1998.</w:t>
      </w:r>
    </w:p>
    <w:p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Konstrukcja nawierzchni poboczy</w:t>
      </w:r>
    </w:p>
    <w:p w:rsidR="00F321D2"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a) 10 cm – nawierzchnia z mieszanki kruszywa niezwiązanego 0/31,5 KR 1-2</w:t>
      </w:r>
      <w:r w:rsidR="008B7FF4">
        <w:rPr>
          <w:rFonts w:ascii="Times New Roman" w:hAnsi="Times New Roman" w:cs="Times New Roman"/>
          <w:sz w:val="24"/>
          <w:szCs w:val="24"/>
        </w:rPr>
        <w:t xml:space="preserve"> </w:t>
      </w:r>
      <w:r w:rsidRPr="003E3A34">
        <w:rPr>
          <w:rFonts w:ascii="Times New Roman" w:hAnsi="Times New Roman" w:cs="Times New Roman"/>
          <w:sz w:val="24"/>
          <w:szCs w:val="24"/>
        </w:rPr>
        <w:t>wg WT-4:2010.</w:t>
      </w:r>
    </w:p>
    <w:p w:rsidR="008B7FF4" w:rsidRDefault="008B7FF4" w:rsidP="008B7FF4">
      <w:pPr>
        <w:spacing w:after="0" w:line="360" w:lineRule="auto"/>
        <w:jc w:val="both"/>
        <w:rPr>
          <w:rFonts w:ascii="Times New Roman" w:hAnsi="Times New Roman" w:cs="Times New Roman"/>
          <w:b/>
          <w:bCs/>
          <w:sz w:val="24"/>
          <w:szCs w:val="24"/>
        </w:rPr>
      </w:pPr>
      <w:r w:rsidRPr="008B7FF4">
        <w:rPr>
          <w:rFonts w:ascii="Times New Roman" w:hAnsi="Times New Roman" w:cs="Times New Roman"/>
          <w:b/>
          <w:bCs/>
          <w:sz w:val="24"/>
          <w:szCs w:val="24"/>
        </w:rPr>
        <w:t>Obramowania</w:t>
      </w:r>
    </w:p>
    <w:p w:rsidR="008B7FF4" w:rsidRPr="008B7FF4" w:rsidRDefault="008B7FF4" w:rsidP="008B7FF4">
      <w:pPr>
        <w:spacing w:after="0" w:line="360" w:lineRule="auto"/>
        <w:jc w:val="both"/>
        <w:rPr>
          <w:rFonts w:ascii="Times New Roman" w:hAnsi="Times New Roman" w:cs="Times New Roman"/>
          <w:b/>
          <w:bCs/>
          <w:sz w:val="24"/>
          <w:szCs w:val="24"/>
        </w:rPr>
      </w:pPr>
      <w:r w:rsidRPr="008B7FF4">
        <w:rPr>
          <w:rFonts w:ascii="Times New Roman" w:hAnsi="Times New Roman" w:cs="Times New Roman"/>
          <w:sz w:val="24"/>
          <w:szCs w:val="24"/>
        </w:rPr>
        <w:t>Do elementów tych zaliczają się krawężniki uliczne betonowe 15x30 cm.</w:t>
      </w:r>
      <w:r>
        <w:rPr>
          <w:rFonts w:ascii="Times New Roman" w:hAnsi="Times New Roman" w:cs="Times New Roman"/>
          <w:b/>
          <w:bCs/>
          <w:sz w:val="24"/>
          <w:szCs w:val="24"/>
        </w:rPr>
        <w:t xml:space="preserve"> </w:t>
      </w:r>
      <w:r w:rsidRPr="008B7FF4">
        <w:rPr>
          <w:rFonts w:ascii="Times New Roman" w:hAnsi="Times New Roman" w:cs="Times New Roman"/>
          <w:sz w:val="24"/>
          <w:szCs w:val="24"/>
        </w:rPr>
        <w:t>Wszystkie te elementy należy posadowić na ławie z oporem z betonu klasy C12/15.</w:t>
      </w:r>
      <w:r>
        <w:rPr>
          <w:rFonts w:ascii="Times New Roman" w:hAnsi="Times New Roman" w:cs="Times New Roman"/>
          <w:b/>
          <w:bCs/>
          <w:sz w:val="24"/>
          <w:szCs w:val="24"/>
        </w:rPr>
        <w:t xml:space="preserve"> </w:t>
      </w:r>
      <w:r w:rsidRPr="008B7FF4">
        <w:rPr>
          <w:rFonts w:ascii="Times New Roman" w:hAnsi="Times New Roman" w:cs="Times New Roman"/>
          <w:sz w:val="24"/>
          <w:szCs w:val="24"/>
        </w:rPr>
        <w:t>Wymiary ław oporowych pokazano w części rysunkowej niniejszego opracowania.</w:t>
      </w:r>
      <w:r>
        <w:rPr>
          <w:rFonts w:ascii="Times New Roman" w:hAnsi="Times New Roman" w:cs="Times New Roman"/>
          <w:b/>
          <w:bCs/>
          <w:sz w:val="24"/>
          <w:szCs w:val="24"/>
        </w:rPr>
        <w:t xml:space="preserve"> </w:t>
      </w:r>
      <w:r w:rsidRPr="008B7FF4">
        <w:rPr>
          <w:rFonts w:ascii="Times New Roman" w:hAnsi="Times New Roman" w:cs="Times New Roman"/>
          <w:sz w:val="24"/>
          <w:szCs w:val="24"/>
        </w:rPr>
        <w:t xml:space="preserve">Obniżenie światła </w:t>
      </w:r>
      <w:r w:rsidRPr="008B7FF4">
        <w:rPr>
          <w:rFonts w:ascii="Times New Roman" w:hAnsi="Times New Roman" w:cs="Times New Roman"/>
          <w:sz w:val="24"/>
          <w:szCs w:val="24"/>
        </w:rPr>
        <w:lastRenderedPageBreak/>
        <w:t xml:space="preserve">krawężnika </w:t>
      </w:r>
      <w:r>
        <w:rPr>
          <w:rFonts w:ascii="Times New Roman" w:hAnsi="Times New Roman" w:cs="Times New Roman"/>
          <w:sz w:val="24"/>
          <w:szCs w:val="24"/>
        </w:rPr>
        <w:br/>
      </w:r>
      <w:r w:rsidRPr="008B7FF4">
        <w:rPr>
          <w:rFonts w:ascii="Times New Roman" w:hAnsi="Times New Roman" w:cs="Times New Roman"/>
          <w:sz w:val="24"/>
          <w:szCs w:val="24"/>
        </w:rPr>
        <w:t>z 12</w:t>
      </w:r>
      <w:r>
        <w:rPr>
          <w:rFonts w:ascii="Times New Roman" w:hAnsi="Times New Roman" w:cs="Times New Roman"/>
          <w:sz w:val="24"/>
          <w:szCs w:val="24"/>
        </w:rPr>
        <w:t> </w:t>
      </w:r>
      <w:r w:rsidRPr="008B7FF4">
        <w:rPr>
          <w:rFonts w:ascii="Times New Roman" w:hAnsi="Times New Roman" w:cs="Times New Roman"/>
          <w:sz w:val="24"/>
          <w:szCs w:val="24"/>
        </w:rPr>
        <w:t>cm do 2 cm należy wykonywać na długości 3 m</w:t>
      </w:r>
      <w:r>
        <w:rPr>
          <w:rFonts w:ascii="Times New Roman" w:hAnsi="Times New Roman" w:cs="Times New Roman"/>
          <w:b/>
          <w:bCs/>
          <w:sz w:val="24"/>
          <w:szCs w:val="24"/>
        </w:rPr>
        <w:t xml:space="preserve"> </w:t>
      </w:r>
      <w:r w:rsidRPr="008B7FF4">
        <w:rPr>
          <w:rFonts w:ascii="Times New Roman" w:hAnsi="Times New Roman" w:cs="Times New Roman"/>
          <w:sz w:val="24"/>
          <w:szCs w:val="24"/>
        </w:rPr>
        <w:t>(odcinek zejściowy i wejściowy).</w:t>
      </w:r>
    </w:p>
    <w:p w:rsidR="003E3A34" w:rsidRPr="00C2192E" w:rsidRDefault="003E3A34" w:rsidP="003E3A34">
      <w:pPr>
        <w:spacing w:after="0" w:line="360" w:lineRule="auto"/>
        <w:jc w:val="both"/>
        <w:rPr>
          <w:rFonts w:ascii="Times New Roman" w:hAnsi="Times New Roman" w:cs="Times New Roman"/>
          <w:sz w:val="24"/>
          <w:szCs w:val="24"/>
        </w:rPr>
      </w:pPr>
    </w:p>
    <w:sectPr w:rsidR="003E3A34" w:rsidRPr="00C2192E" w:rsidSect="00BE73F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80F" w:rsidRDefault="0008680F" w:rsidP="003E3A34">
      <w:pPr>
        <w:spacing w:after="0" w:line="240" w:lineRule="auto"/>
      </w:pPr>
      <w:r>
        <w:separator/>
      </w:r>
    </w:p>
  </w:endnote>
  <w:endnote w:type="continuationSeparator" w:id="0">
    <w:p w:rsidR="0008680F" w:rsidRDefault="0008680F" w:rsidP="003E3A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3E7" w:rsidRDefault="00E923E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2843735"/>
      <w:docPartObj>
        <w:docPartGallery w:val="Page Numbers (Bottom of Page)"/>
        <w:docPartUnique/>
      </w:docPartObj>
    </w:sdtPr>
    <w:sdtContent>
      <w:p w:rsidR="00E923E7" w:rsidRDefault="00E923E7">
        <w:pPr>
          <w:pStyle w:val="Stopka"/>
          <w:jc w:val="right"/>
        </w:pPr>
        <w:fldSimple w:instr=" PAGE   \* MERGEFORMAT ">
          <w:r>
            <w:rPr>
              <w:noProof/>
            </w:rPr>
            <w:t>1</w:t>
          </w:r>
        </w:fldSimple>
      </w:p>
    </w:sdtContent>
  </w:sdt>
  <w:p w:rsidR="00E923E7" w:rsidRDefault="00E923E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3E7" w:rsidRDefault="00E923E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80F" w:rsidRDefault="0008680F" w:rsidP="003E3A34">
      <w:pPr>
        <w:spacing w:after="0" w:line="240" w:lineRule="auto"/>
      </w:pPr>
      <w:r>
        <w:separator/>
      </w:r>
    </w:p>
  </w:footnote>
  <w:footnote w:type="continuationSeparator" w:id="0">
    <w:p w:rsidR="0008680F" w:rsidRDefault="0008680F" w:rsidP="003E3A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3E7" w:rsidRDefault="00E923E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3E7" w:rsidRDefault="00E923E7">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3E7" w:rsidRDefault="00E923E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6C17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A35BF2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E1D4F1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7D80878"/>
    <w:multiLevelType w:val="hybridMultilevel"/>
    <w:tmpl w:val="E1CCF00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C4F597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F9A56B0"/>
    <w:multiLevelType w:val="hybridMultilevel"/>
    <w:tmpl w:val="E1CCF000"/>
    <w:lvl w:ilvl="0" w:tplc="0B249E6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FA91A46"/>
    <w:multiLevelType w:val="hybridMultilevel"/>
    <w:tmpl w:val="81AAB9B6"/>
    <w:lvl w:ilvl="0" w:tplc="A1AE1B3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4A5010"/>
    <w:multiLevelType w:val="hybridMultilevel"/>
    <w:tmpl w:val="70029C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484D01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5"/>
  </w:num>
  <w:num w:numId="3">
    <w:abstractNumId w:val="3"/>
  </w:num>
  <w:num w:numId="4">
    <w:abstractNumId w:val="1"/>
  </w:num>
  <w:num w:numId="5">
    <w:abstractNumId w:val="7"/>
  </w:num>
  <w:num w:numId="6">
    <w:abstractNumId w:val="0"/>
  </w:num>
  <w:num w:numId="7">
    <w:abstractNumId w:val="2"/>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113D2"/>
    <w:rsid w:val="0008680F"/>
    <w:rsid w:val="001B687E"/>
    <w:rsid w:val="003147A1"/>
    <w:rsid w:val="00385CFC"/>
    <w:rsid w:val="003B22FD"/>
    <w:rsid w:val="003B3068"/>
    <w:rsid w:val="003E3A34"/>
    <w:rsid w:val="003F73A8"/>
    <w:rsid w:val="00490E34"/>
    <w:rsid w:val="006E7504"/>
    <w:rsid w:val="007267F4"/>
    <w:rsid w:val="008B7FF4"/>
    <w:rsid w:val="00A60053"/>
    <w:rsid w:val="00A64EEB"/>
    <w:rsid w:val="00BE73FA"/>
    <w:rsid w:val="00C2192E"/>
    <w:rsid w:val="00CA2702"/>
    <w:rsid w:val="00CB057A"/>
    <w:rsid w:val="00CB11FD"/>
    <w:rsid w:val="00DA2780"/>
    <w:rsid w:val="00E923E7"/>
    <w:rsid w:val="00F113D2"/>
    <w:rsid w:val="00F321D2"/>
    <w:rsid w:val="00FB67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73FA"/>
  </w:style>
  <w:style w:type="paragraph" w:styleId="Nagwek1">
    <w:name w:val="heading 1"/>
    <w:basedOn w:val="Normalny"/>
    <w:next w:val="Normalny"/>
    <w:link w:val="Nagwek1Znak"/>
    <w:uiPriority w:val="9"/>
    <w:qFormat/>
    <w:rsid w:val="00F113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113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113D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113D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113D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113D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113D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113D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113D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113D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113D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113D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113D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113D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113D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113D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113D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113D2"/>
    <w:rPr>
      <w:rFonts w:eastAsiaTheme="majorEastAsia" w:cstheme="majorBidi"/>
      <w:color w:val="272727" w:themeColor="text1" w:themeTint="D8"/>
    </w:rPr>
  </w:style>
  <w:style w:type="paragraph" w:styleId="Tytu">
    <w:name w:val="Title"/>
    <w:basedOn w:val="Normalny"/>
    <w:next w:val="Normalny"/>
    <w:link w:val="TytuZnak"/>
    <w:uiPriority w:val="10"/>
    <w:qFormat/>
    <w:rsid w:val="00F113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113D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13D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13D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113D2"/>
    <w:pPr>
      <w:spacing w:before="160"/>
      <w:jc w:val="center"/>
    </w:pPr>
    <w:rPr>
      <w:i/>
      <w:iCs/>
      <w:color w:val="404040" w:themeColor="text1" w:themeTint="BF"/>
    </w:rPr>
  </w:style>
  <w:style w:type="character" w:customStyle="1" w:styleId="CytatZnak">
    <w:name w:val="Cytat Znak"/>
    <w:basedOn w:val="Domylnaczcionkaakapitu"/>
    <w:link w:val="Cytat"/>
    <w:uiPriority w:val="29"/>
    <w:rsid w:val="00F113D2"/>
    <w:rPr>
      <w:i/>
      <w:iCs/>
      <w:color w:val="404040" w:themeColor="text1" w:themeTint="BF"/>
    </w:rPr>
  </w:style>
  <w:style w:type="paragraph" w:styleId="Akapitzlist">
    <w:name w:val="List Paragraph"/>
    <w:basedOn w:val="Normalny"/>
    <w:uiPriority w:val="34"/>
    <w:qFormat/>
    <w:rsid w:val="00F113D2"/>
    <w:pPr>
      <w:ind w:left="720"/>
      <w:contextualSpacing/>
    </w:pPr>
  </w:style>
  <w:style w:type="character" w:styleId="Wyrnienieintensywne">
    <w:name w:val="Intense Emphasis"/>
    <w:basedOn w:val="Domylnaczcionkaakapitu"/>
    <w:uiPriority w:val="21"/>
    <w:qFormat/>
    <w:rsid w:val="00F113D2"/>
    <w:rPr>
      <w:i/>
      <w:iCs/>
      <w:color w:val="2F5496" w:themeColor="accent1" w:themeShade="BF"/>
    </w:rPr>
  </w:style>
  <w:style w:type="paragraph" w:styleId="Cytatintensywny">
    <w:name w:val="Intense Quote"/>
    <w:basedOn w:val="Normalny"/>
    <w:next w:val="Normalny"/>
    <w:link w:val="CytatintensywnyZnak"/>
    <w:uiPriority w:val="30"/>
    <w:qFormat/>
    <w:rsid w:val="00F113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113D2"/>
    <w:rPr>
      <w:i/>
      <w:iCs/>
      <w:color w:val="2F5496" w:themeColor="accent1" w:themeShade="BF"/>
    </w:rPr>
  </w:style>
  <w:style w:type="character" w:styleId="Odwoanieintensywne">
    <w:name w:val="Intense Reference"/>
    <w:basedOn w:val="Domylnaczcionkaakapitu"/>
    <w:uiPriority w:val="32"/>
    <w:qFormat/>
    <w:rsid w:val="00F113D2"/>
    <w:rPr>
      <w:b/>
      <w:bCs/>
      <w:smallCaps/>
      <w:color w:val="2F5496" w:themeColor="accent1" w:themeShade="BF"/>
      <w:spacing w:val="5"/>
    </w:rPr>
  </w:style>
  <w:style w:type="paragraph" w:styleId="Tekstprzypisukocowego">
    <w:name w:val="endnote text"/>
    <w:basedOn w:val="Normalny"/>
    <w:link w:val="TekstprzypisukocowegoZnak"/>
    <w:uiPriority w:val="99"/>
    <w:semiHidden/>
    <w:unhideWhenUsed/>
    <w:rsid w:val="003E3A3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E3A34"/>
    <w:rPr>
      <w:sz w:val="20"/>
      <w:szCs w:val="20"/>
    </w:rPr>
  </w:style>
  <w:style w:type="character" w:styleId="Odwoanieprzypisukocowego">
    <w:name w:val="endnote reference"/>
    <w:basedOn w:val="Domylnaczcionkaakapitu"/>
    <w:uiPriority w:val="99"/>
    <w:semiHidden/>
    <w:unhideWhenUsed/>
    <w:rsid w:val="003E3A34"/>
    <w:rPr>
      <w:vertAlign w:val="superscript"/>
    </w:rPr>
  </w:style>
  <w:style w:type="paragraph" w:customStyle="1" w:styleId="Default">
    <w:name w:val="Default"/>
    <w:rsid w:val="00FB67FB"/>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agwek">
    <w:name w:val="header"/>
    <w:basedOn w:val="Normalny"/>
    <w:link w:val="NagwekZnak"/>
    <w:uiPriority w:val="99"/>
    <w:semiHidden/>
    <w:unhideWhenUsed/>
    <w:rsid w:val="00E923E7"/>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923E7"/>
  </w:style>
  <w:style w:type="paragraph" w:styleId="Stopka">
    <w:name w:val="footer"/>
    <w:basedOn w:val="Normalny"/>
    <w:link w:val="StopkaZnak"/>
    <w:uiPriority w:val="99"/>
    <w:unhideWhenUsed/>
    <w:rsid w:val="00E923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23E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4</Pages>
  <Words>863</Words>
  <Characters>5178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AK. Kowalik</dc:creator>
  <cp:keywords/>
  <dc:description/>
  <cp:lastModifiedBy>KKozak</cp:lastModifiedBy>
  <cp:revision>4</cp:revision>
  <dcterms:created xsi:type="dcterms:W3CDTF">2025-03-10T12:38:00Z</dcterms:created>
  <dcterms:modified xsi:type="dcterms:W3CDTF">2025-04-03T08:40:00Z</dcterms:modified>
</cp:coreProperties>
</file>