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AE" w:rsidRPr="00102561" w:rsidRDefault="005015AE" w:rsidP="005015AE">
      <w:pPr>
        <w:pStyle w:val="Standard"/>
        <w:jc w:val="center"/>
        <w:rPr>
          <w:rFonts w:ascii="Times New Roman" w:hAnsi="Times New Roman"/>
          <w:sz w:val="28"/>
          <w:szCs w:val="28"/>
        </w:rPr>
      </w:pPr>
      <w:r w:rsidRPr="00102561">
        <w:rPr>
          <w:rFonts w:ascii="Times New Roman" w:hAnsi="Times New Roman"/>
          <w:sz w:val="28"/>
          <w:szCs w:val="28"/>
        </w:rPr>
        <w:t>Opis przedmiotu zamówienia</w:t>
      </w:r>
    </w:p>
    <w:p w:rsidR="001844C5" w:rsidRPr="00102561" w:rsidRDefault="005015AE" w:rsidP="005015AE">
      <w:pPr>
        <w:pStyle w:val="Standard"/>
        <w:jc w:val="center"/>
        <w:rPr>
          <w:sz w:val="28"/>
          <w:szCs w:val="28"/>
        </w:rPr>
      </w:pPr>
      <w:r w:rsidRPr="00102561">
        <w:rPr>
          <w:rFonts w:ascii="Times New Roman" w:hAnsi="Times New Roman"/>
          <w:sz w:val="28"/>
          <w:szCs w:val="28"/>
        </w:rPr>
        <w:t>Wdrożenie i utrzymanie systemu oraz systemy bezpieczeństwa</w:t>
      </w:r>
    </w:p>
    <w:p w:rsidR="001844C5" w:rsidRPr="00102561" w:rsidRDefault="001844C5">
      <w:pPr>
        <w:pStyle w:val="Standard"/>
        <w:rPr>
          <w:rFonts w:ascii="Times New Roman" w:hAnsi="Times New Roman" w:cs="Times New Roman"/>
        </w:rPr>
      </w:pPr>
    </w:p>
    <w:p w:rsidR="005015AE" w:rsidRPr="00262D0D" w:rsidRDefault="005015AE" w:rsidP="00262D0D">
      <w:pPr>
        <w:rPr>
          <w:rFonts w:ascii="Times New Roman" w:hAnsi="Times New Roman" w:cs="Times New Roman"/>
        </w:rPr>
      </w:pP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Dostawa i montaż zamiennego </w:t>
      </w:r>
      <w:proofErr w:type="spellStart"/>
      <w:r w:rsidRPr="00262D0D">
        <w:rPr>
          <w:rFonts w:ascii="Times New Roman" w:hAnsi="Times New Roman"/>
        </w:rPr>
        <w:t>panela</w:t>
      </w:r>
      <w:proofErr w:type="spellEnd"/>
      <w:r w:rsidRPr="00262D0D">
        <w:rPr>
          <w:rFonts w:ascii="Times New Roman" w:hAnsi="Times New Roman"/>
        </w:rPr>
        <w:t xml:space="preserve"> wizualizacji dla potrzeb SUW Połoniny: Panel musi posiadać zaimplementowane oprogramowanie wizualizacji współpracujące z istniejącym systemem sterowania. Obecny system sterowania pozwala za pomocą istniejącego panelu sterowania sterować urządzeniami na dwóch ujęciach.</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Zintegrowanie nowych mętnościomierzy na ujęciu Pokrzywy (2 szt. zanurzeniowe sondy) i Sewerynówka (1 szt. zanurzeniowa sonda) SUW Czarna Woda (1 szt. </w:t>
      </w:r>
      <w:proofErr w:type="spellStart"/>
      <w:r w:rsidRPr="00262D0D">
        <w:rPr>
          <w:rFonts w:ascii="Times New Roman" w:hAnsi="Times New Roman"/>
        </w:rPr>
        <w:t>narurowy</w:t>
      </w:r>
      <w:proofErr w:type="spellEnd"/>
      <w:r w:rsidRPr="00262D0D">
        <w:rPr>
          <w:rFonts w:ascii="Times New Roman" w:hAnsi="Times New Roman"/>
        </w:rPr>
        <w:t xml:space="preserve">) i z istniejącym systemem sterowania znajdującym się na SUW Połoniny (obiekty ujęcie Połoniny i Sewerynówka oddalone od SUW Połoniny ok 3.5 km, połączone między sobą siecią światłowodową). Brak połączenia z SUW Czarna Woda. </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Mętnościomierze fabrycznie nowe, pracujące w zakresie od 0 – min 250 </w:t>
      </w:r>
      <w:proofErr w:type="spellStart"/>
      <w:r w:rsidRPr="00262D0D">
        <w:rPr>
          <w:rFonts w:ascii="Times New Roman" w:hAnsi="Times New Roman"/>
        </w:rPr>
        <w:t>ntu</w:t>
      </w:r>
      <w:proofErr w:type="spellEnd"/>
      <w:r w:rsidRPr="00262D0D">
        <w:rPr>
          <w:rFonts w:ascii="Times New Roman" w:hAnsi="Times New Roman"/>
        </w:rPr>
        <w:t xml:space="preserve"> jako zanurzeniowe w czaszy zbiornika ujęcia powierzchniowego (dopuszcza się pomiary mętności poprzez s</w:t>
      </w:r>
      <w:r w:rsidR="003278CA" w:rsidRPr="00262D0D">
        <w:rPr>
          <w:rFonts w:ascii="Times New Roman" w:hAnsi="Times New Roman"/>
        </w:rPr>
        <w:t>on</w:t>
      </w:r>
      <w:r w:rsidRPr="00262D0D">
        <w:rPr>
          <w:rFonts w:ascii="Times New Roman" w:hAnsi="Times New Roman"/>
        </w:rPr>
        <w:t xml:space="preserve">dy fotometryczne dostarczone z kompletnym wyposażeniem)  oraz jeden </w:t>
      </w:r>
      <w:proofErr w:type="spellStart"/>
      <w:r w:rsidRPr="00262D0D">
        <w:rPr>
          <w:rFonts w:ascii="Times New Roman" w:hAnsi="Times New Roman"/>
        </w:rPr>
        <w:t>narurowy</w:t>
      </w:r>
      <w:proofErr w:type="spellEnd"/>
      <w:r w:rsidRPr="00262D0D">
        <w:rPr>
          <w:rFonts w:ascii="Times New Roman" w:hAnsi="Times New Roman"/>
        </w:rPr>
        <w:t>. Obiekty na których planuje się montaż mętnościomierzy posiadają stanowiska umożliwiające ich zainstalowanie po dostosowaniu. Dostarczane urządzenia muszą byś wyposażone w wyjście analogowe które umożliwi zintegrowanie z istniejącym systemem, obudowa urządzeń musi pozwalać na pracę na zewnątrz, obudowa min IP68</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Uruchomienie systemu automatycznego zamykania zasuw na ujęciu powierzchniowym Pokrzywy w przypadku gwałtownego wzrostu mętności wody. Ujęcie powierzchniowe Pokrzywy posiada na wlocie do czaszy zapory piętrzącej jaz trójprzęsłowy wyposażony w zasuwy (zastawy) ze stali kwasowej napędzane elektrycznie i sterowane zarówno z samego ujęcia jak i ze stacji uzdatniania wody SUW Połoniny. Zadanie polega na uruchomieniu systemu sterowania oraz automatyki uzależniającej pra</w:t>
      </w:r>
      <w:r w:rsidR="002E1082" w:rsidRPr="00262D0D">
        <w:rPr>
          <w:rFonts w:ascii="Times New Roman" w:hAnsi="Times New Roman"/>
        </w:rPr>
        <w:t>ce jazu trój</w:t>
      </w:r>
      <w:r w:rsidRPr="00262D0D">
        <w:rPr>
          <w:rFonts w:ascii="Times New Roman" w:hAnsi="Times New Roman"/>
        </w:rPr>
        <w:t>przęsłowego od mętności wody wpadającej do ujęcia.</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Wykonanie bloku automatyki na SUW Połoniny uzależniającego automatyczne zamykanie zasuwy dopływu wody od czasu zrzutu osadu z separatorów. Zadanie polega na dostosowaniu istniejącego systemu automatyki do pracy stacji uzdatniania </w:t>
      </w:r>
      <w:r w:rsidR="003F5265" w:rsidRPr="00262D0D">
        <w:rPr>
          <w:rFonts w:ascii="Times New Roman" w:hAnsi="Times New Roman"/>
        </w:rPr>
        <w:t>w</w:t>
      </w:r>
      <w:r w:rsidRPr="00262D0D">
        <w:rPr>
          <w:rFonts w:ascii="Times New Roman" w:hAnsi="Times New Roman"/>
        </w:rPr>
        <w:t xml:space="preserve">ody Połoniny gdzie, w sposób automatyczny czasowo ograniczony zostanie przepływ wody z ujęcia Pokrzywy na czas dokonywania zrzutu osadu z separatorów celem ograniczenia skoków ciśnienia. </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Dostawa systemu zdalnego serwisowania instalacji sterowania SUW Połoniny oraz ujęć wody. Zadanie ma na celu umożliwienie dostępu dla zdalnej pomocy serwisowej, Zamawiający umożliwi dostęp do sieci internetowej tylko na SUW Połoniny połączonej z dwoma ujęciami siecią światłowodową.</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Rozbudowa monitoringu wizyjnego stacji uzdatniania wody w Szczawnicy i Jaworkach. Zadanie polega na realizacji monitoringu wizyjnego na SUW Połoniny – Szczawnica (3 kamery) i SUW Czarna Woda – Jaworki (2 Kamery), zapisy z kamer muszą być rejestrowane a dostęp do monitoringu oraz jego sterowanie odbywać się musi z siedziby zamawiającego tj. ul. Zawodzie 19C Szczawnica. Kamery wyposażone w podczerwień i czujnik ruchu oraz funkcję śledzenia. Rozdzielczość min 2 </w:t>
      </w:r>
      <w:proofErr w:type="spellStart"/>
      <w:r w:rsidRPr="00262D0D">
        <w:rPr>
          <w:rFonts w:ascii="Times New Roman" w:hAnsi="Times New Roman"/>
        </w:rPr>
        <w:t>mpx</w:t>
      </w:r>
      <w:proofErr w:type="spellEnd"/>
      <w:r w:rsidRPr="00262D0D">
        <w:rPr>
          <w:rFonts w:ascii="Times New Roman" w:hAnsi="Times New Roman"/>
        </w:rPr>
        <w:t xml:space="preserve">. </w:t>
      </w:r>
    </w:p>
    <w:p w:rsidR="00D67BEE" w:rsidRPr="00262D0D" w:rsidRDefault="005015AE" w:rsidP="00262D0D">
      <w:pPr>
        <w:pStyle w:val="Akapitzlist"/>
        <w:numPr>
          <w:ilvl w:val="0"/>
          <w:numId w:val="7"/>
        </w:numPr>
        <w:rPr>
          <w:rFonts w:ascii="Times New Roman" w:hAnsi="Times New Roman"/>
        </w:rPr>
      </w:pPr>
      <w:r w:rsidRPr="00262D0D">
        <w:rPr>
          <w:rFonts w:ascii="Times New Roman" w:hAnsi="Times New Roman"/>
        </w:rPr>
        <w:t xml:space="preserve">Wymiana agregatu wraz z systemem </w:t>
      </w:r>
      <w:proofErr w:type="spellStart"/>
      <w:r w:rsidRPr="00262D0D">
        <w:rPr>
          <w:rFonts w:ascii="Times New Roman" w:hAnsi="Times New Roman"/>
        </w:rPr>
        <w:t>ups</w:t>
      </w:r>
      <w:proofErr w:type="spellEnd"/>
      <w:r w:rsidRPr="00262D0D">
        <w:rPr>
          <w:rFonts w:ascii="Times New Roman" w:hAnsi="Times New Roman"/>
        </w:rPr>
        <w:t xml:space="preserve"> na stacji uzdatniania "Czarna Woda" w Jaworkach. Nowe urządzenie pozwalające na nieprzerwaną pracę stacji uzdatniania wody w czasie przerw w dostawie energii elektrycznej konieczność montażu wraz z układem SZR – </w:t>
      </w:r>
      <w:r w:rsidR="003278CA" w:rsidRPr="00262D0D">
        <w:rPr>
          <w:rFonts w:ascii="Times New Roman" w:hAnsi="Times New Roman"/>
        </w:rPr>
        <w:t>s</w:t>
      </w:r>
      <w:r w:rsidRPr="00262D0D">
        <w:rPr>
          <w:rFonts w:ascii="Times New Roman" w:hAnsi="Times New Roman"/>
        </w:rPr>
        <w:t xml:space="preserve">amoczynnego </w:t>
      </w:r>
      <w:r w:rsidR="003278CA" w:rsidRPr="00262D0D">
        <w:rPr>
          <w:rFonts w:ascii="Times New Roman" w:hAnsi="Times New Roman"/>
        </w:rPr>
        <w:t>z</w:t>
      </w:r>
      <w:r w:rsidRPr="00262D0D">
        <w:rPr>
          <w:rFonts w:ascii="Times New Roman" w:hAnsi="Times New Roman"/>
        </w:rPr>
        <w:t>ałączania rezerwy</w:t>
      </w:r>
      <w:r w:rsidR="00D67BEE" w:rsidRPr="00262D0D">
        <w:rPr>
          <w:rFonts w:ascii="Times New Roman" w:hAnsi="Times New Roman"/>
        </w:rPr>
        <w:t>:</w:t>
      </w:r>
    </w:p>
    <w:p w:rsidR="00D67BEE" w:rsidRPr="00262D0D" w:rsidRDefault="005015AE" w:rsidP="0041147B">
      <w:pPr>
        <w:pStyle w:val="Akapitzlist"/>
        <w:numPr>
          <w:ilvl w:val="1"/>
          <w:numId w:val="7"/>
        </w:numPr>
        <w:rPr>
          <w:rFonts w:ascii="Times New Roman" w:hAnsi="Times New Roman"/>
        </w:rPr>
      </w:pPr>
      <w:r w:rsidRPr="00262D0D">
        <w:rPr>
          <w:rFonts w:ascii="Times New Roman" w:hAnsi="Times New Roman"/>
        </w:rPr>
        <w:t>Moc znamionowa agregatu min</w:t>
      </w:r>
      <w:r w:rsidR="00D67BEE" w:rsidRPr="00262D0D">
        <w:rPr>
          <w:rFonts w:ascii="Times New Roman" w:hAnsi="Times New Roman"/>
        </w:rPr>
        <w:t>.</w:t>
      </w:r>
      <w:r w:rsidRPr="00262D0D">
        <w:rPr>
          <w:rFonts w:ascii="Times New Roman" w:hAnsi="Times New Roman"/>
        </w:rPr>
        <w:t xml:space="preserve"> 30 </w:t>
      </w:r>
      <w:proofErr w:type="spellStart"/>
      <w:r w:rsidRPr="00262D0D">
        <w:rPr>
          <w:rFonts w:ascii="Times New Roman" w:hAnsi="Times New Roman"/>
        </w:rPr>
        <w:t>kVa</w:t>
      </w:r>
      <w:proofErr w:type="spellEnd"/>
    </w:p>
    <w:p w:rsidR="00D67BEE" w:rsidRPr="00262D0D" w:rsidRDefault="005015AE" w:rsidP="0041147B">
      <w:pPr>
        <w:pStyle w:val="Akapitzlist"/>
        <w:numPr>
          <w:ilvl w:val="1"/>
          <w:numId w:val="7"/>
        </w:numPr>
        <w:rPr>
          <w:rFonts w:ascii="Times New Roman" w:hAnsi="Times New Roman"/>
        </w:rPr>
      </w:pPr>
      <w:r w:rsidRPr="00262D0D">
        <w:rPr>
          <w:rFonts w:ascii="Times New Roman" w:hAnsi="Times New Roman"/>
        </w:rPr>
        <w:lastRenderedPageBreak/>
        <w:t>Agregat w obudowie zewnętrznej lub do wewnątrz do pomieszczenia o wymiarach 2,8 m x 2,3 m wys. 3m.</w:t>
      </w:r>
    </w:p>
    <w:p w:rsidR="00D67BEE" w:rsidRPr="00262D0D" w:rsidRDefault="00D67BEE" w:rsidP="0041147B">
      <w:pPr>
        <w:pStyle w:val="Akapitzlist"/>
        <w:numPr>
          <w:ilvl w:val="1"/>
          <w:numId w:val="7"/>
        </w:numPr>
        <w:rPr>
          <w:rFonts w:ascii="Times New Roman" w:hAnsi="Times New Roman"/>
        </w:rPr>
      </w:pPr>
      <w:r w:rsidRPr="00262D0D">
        <w:rPr>
          <w:rFonts w:ascii="Times New Roman" w:hAnsi="Times New Roman"/>
        </w:rPr>
        <w:t>Agregat z</w:t>
      </w:r>
      <w:r w:rsidR="005015AE" w:rsidRPr="00262D0D">
        <w:rPr>
          <w:rFonts w:ascii="Times New Roman" w:hAnsi="Times New Roman"/>
        </w:rPr>
        <w:t xml:space="preserve">asilany silnikiem wysokoprężnym </w:t>
      </w:r>
    </w:p>
    <w:p w:rsidR="005015AE" w:rsidRPr="00262D0D" w:rsidRDefault="00D67BEE" w:rsidP="0041147B">
      <w:pPr>
        <w:pStyle w:val="Akapitzlist"/>
        <w:numPr>
          <w:ilvl w:val="1"/>
          <w:numId w:val="7"/>
        </w:numPr>
        <w:rPr>
          <w:rFonts w:ascii="Times New Roman" w:hAnsi="Times New Roman"/>
        </w:rPr>
      </w:pPr>
      <w:bookmarkStart w:id="0" w:name="_GoBack"/>
      <w:bookmarkEnd w:id="0"/>
      <w:r w:rsidRPr="00262D0D">
        <w:rPr>
          <w:rFonts w:ascii="Times New Roman" w:hAnsi="Times New Roman"/>
        </w:rPr>
        <w:t>Agregat w</w:t>
      </w:r>
      <w:r w:rsidR="005015AE" w:rsidRPr="00262D0D">
        <w:rPr>
          <w:rFonts w:ascii="Times New Roman" w:hAnsi="Times New Roman"/>
        </w:rPr>
        <w:t>yposażony w automatyczny rozruch wraz z licznikiem motogodzin.</w:t>
      </w:r>
    </w:p>
    <w:p w:rsidR="003F5265" w:rsidRPr="00262D0D" w:rsidRDefault="003F5265" w:rsidP="00262D0D">
      <w:pPr>
        <w:pStyle w:val="Akapitzlist"/>
        <w:numPr>
          <w:ilvl w:val="0"/>
          <w:numId w:val="7"/>
        </w:numPr>
        <w:rPr>
          <w:rFonts w:ascii="Times New Roman" w:hAnsi="Times New Roman"/>
        </w:rPr>
      </w:pPr>
      <w:r w:rsidRPr="00262D0D">
        <w:rPr>
          <w:rFonts w:ascii="Times New Roman" w:hAnsi="Times New Roman"/>
        </w:rPr>
        <w:t>Integracja wszystkich systemów wraz z uruchomieniem</w:t>
      </w:r>
    </w:p>
    <w:p w:rsidR="005015AE" w:rsidRPr="00262D0D" w:rsidRDefault="005015AE" w:rsidP="00262D0D">
      <w:pPr>
        <w:pStyle w:val="Akapitzlist"/>
        <w:numPr>
          <w:ilvl w:val="0"/>
          <w:numId w:val="7"/>
        </w:numPr>
        <w:rPr>
          <w:rFonts w:ascii="Times New Roman" w:hAnsi="Times New Roman"/>
        </w:rPr>
      </w:pPr>
      <w:r w:rsidRPr="00262D0D">
        <w:rPr>
          <w:rFonts w:ascii="Times New Roman" w:hAnsi="Times New Roman"/>
        </w:rPr>
        <w:t>Wdrożenie i utrzymanie systemu</w:t>
      </w:r>
      <w:r w:rsidR="00E93B5E" w:rsidRPr="00262D0D">
        <w:rPr>
          <w:rFonts w:ascii="Times New Roman" w:hAnsi="Times New Roman"/>
        </w:rPr>
        <w:t>.</w:t>
      </w:r>
    </w:p>
    <w:p w:rsidR="005015AE" w:rsidRPr="00102561" w:rsidRDefault="005015AE" w:rsidP="005015AE">
      <w:pPr>
        <w:pStyle w:val="Akapitzlist"/>
        <w:widowControl w:val="0"/>
        <w:tabs>
          <w:tab w:val="left" w:pos="-1985"/>
        </w:tabs>
        <w:autoSpaceDE w:val="0"/>
        <w:spacing w:after="0" w:line="240" w:lineRule="auto"/>
        <w:ind w:left="426"/>
        <w:jc w:val="both"/>
        <w:rPr>
          <w:rFonts w:ascii="Times New Roman" w:hAnsi="Times New Roman"/>
          <w:bCs/>
          <w:sz w:val="24"/>
          <w:szCs w:val="24"/>
          <w:shd w:val="clear" w:color="auto" w:fill="D4EA6B"/>
        </w:rPr>
      </w:pPr>
    </w:p>
    <w:p w:rsidR="0030108E" w:rsidRPr="00102561" w:rsidRDefault="0030108E">
      <w:pPr>
        <w:pStyle w:val="Standard"/>
        <w:rPr>
          <w:rFonts w:ascii="Times New Roman" w:hAnsi="Times New Roman" w:cs="Times New Roman"/>
        </w:rPr>
      </w:pPr>
      <w:r w:rsidRPr="00102561">
        <w:rPr>
          <w:rFonts w:ascii="Times New Roman" w:hAnsi="Times New Roman" w:cs="Times New Roman"/>
        </w:rPr>
        <w:t xml:space="preserve"> </w:t>
      </w:r>
    </w:p>
    <w:sectPr w:rsidR="0030108E" w:rsidRPr="00102561" w:rsidSect="001844C5">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31" w:rsidRDefault="00801731" w:rsidP="001844C5">
      <w:r>
        <w:separator/>
      </w:r>
    </w:p>
  </w:endnote>
  <w:endnote w:type="continuationSeparator" w:id="0">
    <w:p w:rsidR="00801731" w:rsidRDefault="00801731" w:rsidP="0018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31" w:rsidRDefault="00801731" w:rsidP="001844C5">
      <w:r w:rsidRPr="001844C5">
        <w:rPr>
          <w:color w:val="000000"/>
        </w:rPr>
        <w:separator/>
      </w:r>
    </w:p>
  </w:footnote>
  <w:footnote w:type="continuationSeparator" w:id="0">
    <w:p w:rsidR="00801731" w:rsidRDefault="00801731" w:rsidP="00184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CA" w:rsidRDefault="003278CA" w:rsidP="003278CA">
    <w:pPr>
      <w:pBdr>
        <w:bottom w:val="single" w:sz="6" w:space="0" w:color="000000"/>
      </w:pBdr>
      <w:ind w:left="-709"/>
      <w:jc w:val="center"/>
    </w:pPr>
    <w:r>
      <w:rPr>
        <w:noProof/>
        <w:lang w:eastAsia="pl-PL" w:bidi="ar-SA"/>
      </w:rPr>
      <w:drawing>
        <wp:inline distT="0" distB="0" distL="0" distR="0">
          <wp:extent cx="1295400" cy="590550"/>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1295400" cy="590550"/>
                  </a:xfrm>
                  <a:prstGeom prst="rect">
                    <a:avLst/>
                  </a:prstGeom>
                  <a:noFill/>
                  <a:ln w="9525">
                    <a:noFill/>
                    <a:miter lim="800000"/>
                    <a:headEnd/>
                    <a:tailEnd/>
                  </a:ln>
                </pic:spPr>
              </pic:pic>
            </a:graphicData>
          </a:graphic>
        </wp:inline>
      </w:drawing>
    </w:r>
    <w:r>
      <w:rPr>
        <w:noProof/>
        <w:lang w:eastAsia="pl-PL" w:bidi="ar-SA"/>
      </w:rPr>
      <w:drawing>
        <wp:inline distT="0" distB="0" distL="0" distR="0">
          <wp:extent cx="1352550" cy="533400"/>
          <wp:effectExtent l="1905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srcRect/>
                  <a:stretch>
                    <a:fillRect/>
                  </a:stretch>
                </pic:blipFill>
                <pic:spPr bwMode="auto">
                  <a:xfrm>
                    <a:off x="0" y="0"/>
                    <a:ext cx="1352550" cy="533400"/>
                  </a:xfrm>
                  <a:prstGeom prst="rect">
                    <a:avLst/>
                  </a:prstGeom>
                  <a:noFill/>
                  <a:ln w="9525">
                    <a:noFill/>
                    <a:miter lim="800000"/>
                    <a:headEnd/>
                    <a:tailEnd/>
                  </a:ln>
                </pic:spPr>
              </pic:pic>
            </a:graphicData>
          </a:graphic>
        </wp:inline>
      </w:drawing>
    </w:r>
    <w:r>
      <w:rPr>
        <w:noProof/>
        <w:lang w:eastAsia="pl-PL" w:bidi="ar-SA"/>
      </w:rPr>
      <w:drawing>
        <wp:inline distT="0" distB="0" distL="0" distR="0">
          <wp:extent cx="1838325" cy="447675"/>
          <wp:effectExtent l="1905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srcRect/>
                  <a:stretch>
                    <a:fillRect/>
                  </a:stretch>
                </pic:blipFill>
                <pic:spPr bwMode="auto">
                  <a:xfrm>
                    <a:off x="0" y="0"/>
                    <a:ext cx="1838325" cy="447675"/>
                  </a:xfrm>
                  <a:prstGeom prst="rect">
                    <a:avLst/>
                  </a:prstGeom>
                  <a:noFill/>
                  <a:ln w="9525">
                    <a:noFill/>
                    <a:miter lim="800000"/>
                    <a:headEnd/>
                    <a:tailEnd/>
                  </a:ln>
                </pic:spPr>
              </pic:pic>
            </a:graphicData>
          </a:graphic>
        </wp:inline>
      </w:drawing>
    </w:r>
    <w:r>
      <w:rPr>
        <w:noProof/>
        <w:lang w:eastAsia="pl-PL" w:bidi="ar-SA"/>
      </w:rPr>
      <w:drawing>
        <wp:inline distT="0" distB="0" distL="0" distR="0">
          <wp:extent cx="1771650" cy="657225"/>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
                  <a:srcRect/>
                  <a:stretch>
                    <a:fillRect/>
                  </a:stretch>
                </pic:blipFill>
                <pic:spPr bwMode="auto">
                  <a:xfrm>
                    <a:off x="0" y="0"/>
                    <a:ext cx="1771650" cy="657225"/>
                  </a:xfrm>
                  <a:prstGeom prst="rect">
                    <a:avLst/>
                  </a:prstGeom>
                  <a:noFill/>
                  <a:ln w="9525">
                    <a:noFill/>
                    <a:miter lim="800000"/>
                    <a:headEnd/>
                    <a:tailEnd/>
                  </a:ln>
                </pic:spPr>
              </pic:pic>
            </a:graphicData>
          </a:graphic>
        </wp:inline>
      </w:drawing>
    </w:r>
  </w:p>
  <w:p w:rsidR="003278CA" w:rsidRPr="00190927" w:rsidRDefault="003278CA" w:rsidP="003278CA">
    <w:pPr>
      <w:pStyle w:val="Nagwek"/>
      <w:jc w:val="right"/>
      <w:rPr>
        <w:sz w:val="8"/>
        <w:szCs w:val="8"/>
      </w:rPr>
    </w:pPr>
  </w:p>
  <w:p w:rsidR="003278CA" w:rsidRPr="00190927" w:rsidRDefault="003278CA" w:rsidP="003278CA">
    <w:pPr>
      <w:pStyle w:val="Nagwek"/>
      <w:jc w:val="right"/>
      <w:rPr>
        <w:sz w:val="8"/>
        <w:szCs w:val="8"/>
      </w:rPr>
    </w:pPr>
    <w:r w:rsidRPr="009C1BAC">
      <w:rPr>
        <w:szCs w:val="24"/>
      </w:rPr>
      <w:t xml:space="preserve">Załącznik nr </w:t>
    </w:r>
    <w:r>
      <w:rPr>
        <w:szCs w:val="24"/>
      </w:rPr>
      <w:t>1</w:t>
    </w:r>
    <w:r w:rsidRPr="009C1BAC">
      <w:rPr>
        <w:szCs w:val="24"/>
      </w:rPr>
      <w:t xml:space="preserve"> do </w:t>
    </w:r>
    <w:r>
      <w:rPr>
        <w:szCs w:val="24"/>
      </w:rPr>
      <w:t>SWZ znak MZGK PO 02/2025</w:t>
    </w:r>
  </w:p>
  <w:p w:rsidR="003278CA" w:rsidRDefault="003278C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1"/>
    <w:multiLevelType w:val="multilevel"/>
    <w:tmpl w:val="00000031"/>
    <w:name w:val="WW8Num55"/>
    <w:lvl w:ilvl="0">
      <w:start w:val="1"/>
      <w:numFmt w:val="decimal"/>
      <w:lvlText w:val="%1."/>
      <w:lvlJc w:val="left"/>
      <w:pPr>
        <w:tabs>
          <w:tab w:val="num" w:pos="0"/>
        </w:tabs>
        <w:ind w:left="720" w:hanging="360"/>
      </w:pPr>
      <w:rPr>
        <w:rFonts w:ascii="Times New Roman" w:hAnsi="Times New Roman" w:cs="Times New Roman" w:hint="default"/>
        <w:i w:val="0"/>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6EB4990"/>
    <w:multiLevelType w:val="hybridMultilevel"/>
    <w:tmpl w:val="B58AF7D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A326E18"/>
    <w:multiLevelType w:val="hybridMultilevel"/>
    <w:tmpl w:val="9FD2CA7C"/>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623606E2"/>
    <w:multiLevelType w:val="hybridMultilevel"/>
    <w:tmpl w:val="C11036D4"/>
    <w:lvl w:ilvl="0" w:tplc="0415000F">
      <w:start w:val="1"/>
      <w:numFmt w:val="decimal"/>
      <w:lvlText w:val="%1."/>
      <w:lvlJc w:val="left"/>
      <w:pPr>
        <w:ind w:left="720" w:hanging="360"/>
      </w:pPr>
    </w:lvl>
    <w:lvl w:ilvl="1" w:tplc="DE0054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B1424D"/>
    <w:multiLevelType w:val="hybridMultilevel"/>
    <w:tmpl w:val="CFF0D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9D5FB4"/>
    <w:multiLevelType w:val="hybridMultilevel"/>
    <w:tmpl w:val="8B5CF4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1A1E49"/>
    <w:multiLevelType w:val="hybridMultilevel"/>
    <w:tmpl w:val="3136721A"/>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844C5"/>
    <w:rsid w:val="00102561"/>
    <w:rsid w:val="001844C5"/>
    <w:rsid w:val="00222274"/>
    <w:rsid w:val="00262D0D"/>
    <w:rsid w:val="002D654E"/>
    <w:rsid w:val="002E1082"/>
    <w:rsid w:val="0030108E"/>
    <w:rsid w:val="003278CA"/>
    <w:rsid w:val="003F5265"/>
    <w:rsid w:val="0041147B"/>
    <w:rsid w:val="004A1965"/>
    <w:rsid w:val="005015AE"/>
    <w:rsid w:val="00535192"/>
    <w:rsid w:val="006452EE"/>
    <w:rsid w:val="00666CDE"/>
    <w:rsid w:val="00671F8C"/>
    <w:rsid w:val="0071556E"/>
    <w:rsid w:val="007E7270"/>
    <w:rsid w:val="007F5C8B"/>
    <w:rsid w:val="00801731"/>
    <w:rsid w:val="00823B3A"/>
    <w:rsid w:val="00881491"/>
    <w:rsid w:val="009F50EC"/>
    <w:rsid w:val="00BA1DE9"/>
    <w:rsid w:val="00CE4753"/>
    <w:rsid w:val="00D3563A"/>
    <w:rsid w:val="00D67BEE"/>
    <w:rsid w:val="00DD7AF9"/>
    <w:rsid w:val="00DF40FD"/>
    <w:rsid w:val="00E31814"/>
    <w:rsid w:val="00E93B5E"/>
    <w:rsid w:val="00ED5B67"/>
    <w:rsid w:val="00F61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2C02AF-75C5-4BB1-BBC3-D20A8A8D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3"/>
        <w:sz w:val="24"/>
        <w:szCs w:val="24"/>
        <w:lang w:val="pl-PL"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96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844C5"/>
  </w:style>
  <w:style w:type="paragraph" w:customStyle="1" w:styleId="Heading">
    <w:name w:val="Heading"/>
    <w:basedOn w:val="Standard"/>
    <w:next w:val="Textbody"/>
    <w:rsid w:val="001844C5"/>
    <w:pPr>
      <w:keepNext/>
      <w:spacing w:before="240" w:after="120"/>
    </w:pPr>
    <w:rPr>
      <w:rFonts w:ascii="Liberation Sans" w:eastAsia="Microsoft YaHei" w:hAnsi="Liberation Sans"/>
      <w:sz w:val="28"/>
      <w:szCs w:val="28"/>
    </w:rPr>
  </w:style>
  <w:style w:type="paragraph" w:customStyle="1" w:styleId="Textbody">
    <w:name w:val="Text body"/>
    <w:basedOn w:val="Standard"/>
    <w:rsid w:val="001844C5"/>
    <w:pPr>
      <w:spacing w:after="140" w:line="276" w:lineRule="auto"/>
    </w:pPr>
  </w:style>
  <w:style w:type="paragraph" w:styleId="Lista">
    <w:name w:val="List"/>
    <w:basedOn w:val="Textbody"/>
    <w:rsid w:val="001844C5"/>
  </w:style>
  <w:style w:type="paragraph" w:customStyle="1" w:styleId="Legenda1">
    <w:name w:val="Legenda1"/>
    <w:basedOn w:val="Standard"/>
    <w:rsid w:val="001844C5"/>
    <w:pPr>
      <w:suppressLineNumbers/>
      <w:spacing w:before="120" w:after="120"/>
    </w:pPr>
    <w:rPr>
      <w:i/>
      <w:iCs/>
    </w:rPr>
  </w:style>
  <w:style w:type="paragraph" w:customStyle="1" w:styleId="Index">
    <w:name w:val="Index"/>
    <w:basedOn w:val="Standard"/>
    <w:rsid w:val="001844C5"/>
    <w:pPr>
      <w:suppressLineNumbers/>
    </w:pPr>
  </w:style>
  <w:style w:type="character" w:styleId="Hipercze">
    <w:name w:val="Hyperlink"/>
    <w:basedOn w:val="Domylnaczcionkaakapitu"/>
    <w:uiPriority w:val="99"/>
    <w:unhideWhenUsed/>
    <w:rsid w:val="0030108E"/>
    <w:rPr>
      <w:color w:val="0000FF" w:themeColor="hyperlink"/>
      <w:u w:val="single"/>
    </w:rPr>
  </w:style>
  <w:style w:type="paragraph" w:styleId="Akapitzlist">
    <w:name w:val="List Paragraph"/>
    <w:basedOn w:val="Normalny"/>
    <w:qFormat/>
    <w:rsid w:val="005015AE"/>
    <w:pPr>
      <w:suppressAutoHyphens w:val="0"/>
      <w:autoSpaceDN/>
      <w:spacing w:after="200" w:line="276" w:lineRule="auto"/>
      <w:ind w:left="720"/>
      <w:contextualSpacing/>
      <w:textAlignment w:val="auto"/>
    </w:pPr>
    <w:rPr>
      <w:rFonts w:ascii="Calibri" w:eastAsia="Times New Roman" w:hAnsi="Calibri" w:cs="Times New Roman"/>
      <w:kern w:val="0"/>
      <w:sz w:val="22"/>
      <w:szCs w:val="22"/>
      <w:lang w:bidi="ar-SA"/>
    </w:rPr>
  </w:style>
  <w:style w:type="paragraph" w:styleId="Nagwek">
    <w:name w:val="header"/>
    <w:basedOn w:val="Normalny"/>
    <w:link w:val="NagwekZnak"/>
    <w:uiPriority w:val="99"/>
    <w:unhideWhenUsed/>
    <w:rsid w:val="003278CA"/>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3278CA"/>
    <w:rPr>
      <w:rFonts w:cs="Mangal"/>
      <w:szCs w:val="21"/>
    </w:rPr>
  </w:style>
  <w:style w:type="paragraph" w:styleId="Stopka">
    <w:name w:val="footer"/>
    <w:basedOn w:val="Normalny"/>
    <w:link w:val="StopkaZnak"/>
    <w:uiPriority w:val="99"/>
    <w:semiHidden/>
    <w:unhideWhenUsed/>
    <w:rsid w:val="003278CA"/>
    <w:pPr>
      <w:tabs>
        <w:tab w:val="center" w:pos="4536"/>
        <w:tab w:val="right" w:pos="9072"/>
      </w:tabs>
    </w:pPr>
    <w:rPr>
      <w:rFonts w:cs="Mangal"/>
      <w:szCs w:val="21"/>
    </w:rPr>
  </w:style>
  <w:style w:type="character" w:customStyle="1" w:styleId="StopkaZnak">
    <w:name w:val="Stopka Znak"/>
    <w:basedOn w:val="Domylnaczcionkaakapitu"/>
    <w:link w:val="Stopka"/>
    <w:uiPriority w:val="99"/>
    <w:semiHidden/>
    <w:rsid w:val="003278CA"/>
    <w:rPr>
      <w:rFonts w:cs="Mangal"/>
      <w:szCs w:val="21"/>
    </w:rPr>
  </w:style>
  <w:style w:type="paragraph" w:styleId="Tekstdymka">
    <w:name w:val="Balloon Text"/>
    <w:basedOn w:val="Normalny"/>
    <w:link w:val="TekstdymkaZnak"/>
    <w:uiPriority w:val="99"/>
    <w:semiHidden/>
    <w:unhideWhenUsed/>
    <w:rsid w:val="003278CA"/>
    <w:rPr>
      <w:rFonts w:ascii="Tahoma" w:hAnsi="Tahoma" w:cs="Mangal"/>
      <w:sz w:val="16"/>
      <w:szCs w:val="14"/>
    </w:rPr>
  </w:style>
  <w:style w:type="character" w:customStyle="1" w:styleId="TekstdymkaZnak">
    <w:name w:val="Tekst dymka Znak"/>
    <w:basedOn w:val="Domylnaczcionkaakapitu"/>
    <w:link w:val="Tekstdymka"/>
    <w:uiPriority w:val="99"/>
    <w:semiHidden/>
    <w:rsid w:val="003278CA"/>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523</Words>
  <Characters>3138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dc:creator>
  <cp:lastModifiedBy>Małgorzata Synowiec</cp:lastModifiedBy>
  <cp:revision>17</cp:revision>
  <dcterms:created xsi:type="dcterms:W3CDTF">2025-02-28T17:26:00Z</dcterms:created>
  <dcterms:modified xsi:type="dcterms:W3CDTF">2025-03-31T11:27:00Z</dcterms:modified>
</cp:coreProperties>
</file>