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B41F3" w14:textId="77777777" w:rsidR="00DF66DE" w:rsidRPr="00C21305" w:rsidRDefault="00DF66DE" w:rsidP="00DF66DE">
      <w:pPr>
        <w:rPr>
          <w:rFonts w:cstheme="minorHAnsi"/>
          <w:b/>
        </w:rPr>
      </w:pPr>
      <w:bookmarkStart w:id="0" w:name="_Hlk189955596"/>
      <w:bookmarkStart w:id="1" w:name="_Hlk178685025"/>
      <w:r w:rsidRPr="00C21305">
        <w:rPr>
          <w:rFonts w:cstheme="minorHAnsi"/>
          <w:b/>
        </w:rPr>
        <w:t>ZSS/26/23/ZP/1/2025</w:t>
      </w:r>
    </w:p>
    <w:p w14:paraId="7E2DF7BE" w14:textId="0D0EEBA7" w:rsidR="00DF66DE" w:rsidRPr="00C21305" w:rsidRDefault="00DF66DE" w:rsidP="00DF66DE">
      <w:pPr>
        <w:rPr>
          <w:rFonts w:cstheme="minorHAnsi"/>
          <w:b/>
        </w:rPr>
      </w:pPr>
      <w:r w:rsidRPr="00C21305">
        <w:rPr>
          <w:rFonts w:cstheme="minorHAnsi"/>
          <w:b/>
        </w:rPr>
        <w:t>Załącznik Nr 7. - 7.3. do SWZ</w:t>
      </w:r>
    </w:p>
    <w:bookmarkEnd w:id="0"/>
    <w:p w14:paraId="44862684" w14:textId="77777777" w:rsidR="00DF66DE" w:rsidRPr="00C21305" w:rsidRDefault="00DF66DE" w:rsidP="00DF66DE">
      <w:pPr>
        <w:spacing w:line="20" w:lineRule="atLeast"/>
        <w:jc w:val="center"/>
        <w:rPr>
          <w:rFonts w:cstheme="minorHAnsi"/>
          <w:b/>
          <w:u w:val="single"/>
        </w:rPr>
      </w:pPr>
    </w:p>
    <w:p w14:paraId="7A5A4649" w14:textId="32048AD6" w:rsidR="00491D77" w:rsidRPr="00C21305" w:rsidRDefault="00491D77" w:rsidP="00491D77">
      <w:pPr>
        <w:spacing w:line="20" w:lineRule="atLeast"/>
        <w:jc w:val="center"/>
        <w:rPr>
          <w:rFonts w:cstheme="minorHAnsi"/>
          <w:b/>
          <w:u w:val="single"/>
        </w:rPr>
      </w:pPr>
      <w:r w:rsidRPr="00C21305">
        <w:rPr>
          <w:rFonts w:cstheme="minorHAnsi"/>
          <w:b/>
          <w:u w:val="single"/>
        </w:rPr>
        <w:t>OPIS PRZEDMIOTU ZAMÓWIENIA / PARAMETRY TECHNICZNE</w:t>
      </w:r>
    </w:p>
    <w:p w14:paraId="74476935" w14:textId="77777777" w:rsidR="00491D77" w:rsidRPr="00C21305" w:rsidRDefault="00491D77" w:rsidP="00491D77">
      <w:pPr>
        <w:jc w:val="center"/>
        <w:rPr>
          <w:rFonts w:cstheme="minorHAnsi"/>
          <w:b/>
          <w:bCs/>
        </w:rPr>
      </w:pPr>
      <w:r w:rsidRPr="00C21305">
        <w:rPr>
          <w:rFonts w:cstheme="minorHAnsi"/>
          <w:b/>
          <w:bCs/>
        </w:rPr>
        <w:t xml:space="preserve">– </w:t>
      </w:r>
      <w:r w:rsidRPr="00C21305">
        <w:rPr>
          <w:rFonts w:cstheme="minorHAnsi"/>
          <w:b/>
          <w:bCs/>
          <w:color w:val="FF0000"/>
          <w:u w:val="single"/>
        </w:rPr>
        <w:t>Wykonawca składa wraz z ofertą</w:t>
      </w:r>
    </w:p>
    <w:p w14:paraId="6A5849C4" w14:textId="2492062E" w:rsidR="00491D77" w:rsidRPr="00C21305" w:rsidRDefault="00491D77" w:rsidP="00491D77">
      <w:pPr>
        <w:spacing w:line="20" w:lineRule="atLeast"/>
        <w:jc w:val="center"/>
        <w:rPr>
          <w:rFonts w:cstheme="minorHAnsi"/>
          <w:b/>
          <w:u w:val="single"/>
        </w:rPr>
      </w:pPr>
      <w:r w:rsidRPr="00C21305">
        <w:rPr>
          <w:rFonts w:cstheme="minorHAnsi"/>
          <w:b/>
          <w:u w:val="single"/>
        </w:rPr>
        <w:t xml:space="preserve">PAKIET NR </w:t>
      </w:r>
      <w:r w:rsidR="00C21305" w:rsidRPr="00C21305">
        <w:rPr>
          <w:rFonts w:cstheme="minorHAnsi"/>
          <w:b/>
          <w:u w:val="single"/>
        </w:rPr>
        <w:t>3</w:t>
      </w:r>
    </w:p>
    <w:p w14:paraId="5D23F694" w14:textId="77777777" w:rsidR="00C21305" w:rsidRPr="00C21305" w:rsidRDefault="00C21305" w:rsidP="00491D77">
      <w:pPr>
        <w:spacing w:line="20" w:lineRule="atLeast"/>
        <w:jc w:val="center"/>
        <w:rPr>
          <w:rFonts w:cstheme="minorHAnsi"/>
          <w:b/>
          <w:u w:val="single"/>
        </w:rPr>
      </w:pPr>
    </w:p>
    <w:p w14:paraId="5812C370" w14:textId="1C9F65B8" w:rsidR="00491D77" w:rsidRPr="00C21305" w:rsidRDefault="00491D77" w:rsidP="00491D77">
      <w:pPr>
        <w:ind w:left="-426"/>
        <w:rPr>
          <w:rFonts w:cstheme="minorHAnsi"/>
          <w:b/>
          <w:bCs/>
        </w:rPr>
      </w:pPr>
      <w:r w:rsidRPr="00C21305">
        <w:rPr>
          <w:rFonts w:cstheme="minorHAnsi"/>
          <w:b/>
          <w:bCs/>
        </w:rPr>
        <w:t xml:space="preserve">Pozycja Nr </w:t>
      </w:r>
      <w:r w:rsidR="00D71B9F" w:rsidRPr="00C21305">
        <w:rPr>
          <w:rFonts w:cstheme="minorHAnsi"/>
          <w:b/>
          <w:bCs/>
        </w:rPr>
        <w:t>2</w:t>
      </w:r>
      <w:r w:rsidRPr="00C21305">
        <w:rPr>
          <w:rFonts w:cstheme="minorHAnsi"/>
          <w:b/>
          <w:bCs/>
        </w:rPr>
        <w:t xml:space="preserve"> </w:t>
      </w:r>
      <w:r w:rsidR="0002504F" w:rsidRPr="00C21305">
        <w:rPr>
          <w:rFonts w:cstheme="minorHAnsi"/>
          <w:b/>
          <w:bCs/>
        </w:rPr>
        <w:t>–</w:t>
      </w:r>
      <w:r w:rsidRPr="00C21305">
        <w:rPr>
          <w:rFonts w:cstheme="minorHAnsi"/>
          <w:b/>
          <w:bCs/>
        </w:rPr>
        <w:t xml:space="preserve"> </w:t>
      </w:r>
      <w:r w:rsidR="00D71B9F" w:rsidRPr="00C21305">
        <w:rPr>
          <w:rFonts w:cstheme="minorHAnsi"/>
          <w:b/>
          <w:bCs/>
        </w:rPr>
        <w:t xml:space="preserve">Ekran Projekcyjny Na Statywie </w:t>
      </w:r>
      <w:r w:rsidRPr="00C21305">
        <w:rPr>
          <w:rFonts w:cstheme="minorHAnsi"/>
          <w:b/>
          <w:bCs/>
        </w:rPr>
        <w:t xml:space="preserve">: </w:t>
      </w:r>
    </w:p>
    <w:p w14:paraId="62E0745B" w14:textId="77777777" w:rsidR="00491D77" w:rsidRPr="00C21305" w:rsidRDefault="00491D77" w:rsidP="00491D77">
      <w:pPr>
        <w:pStyle w:val="Nagwek2"/>
        <w:ind w:left="-426"/>
        <w:jc w:val="both"/>
        <w:rPr>
          <w:rFonts w:asciiTheme="minorHAnsi" w:hAnsiTheme="minorHAnsi" w:cstheme="minorHAnsi"/>
          <w:sz w:val="22"/>
          <w:szCs w:val="22"/>
        </w:rPr>
      </w:pPr>
      <w:r w:rsidRPr="00C21305">
        <w:rPr>
          <w:rFonts w:asciiTheme="minorHAnsi" w:hAnsiTheme="minorHAnsi" w:cstheme="minorHAnsi"/>
          <w:sz w:val="22"/>
          <w:szCs w:val="22"/>
        </w:rPr>
        <w:t xml:space="preserve">Oferuję: </w:t>
      </w:r>
      <w:r w:rsidRPr="00C21305">
        <w:rPr>
          <w:rFonts w:asciiTheme="minorHAnsi" w:hAnsiTheme="minorHAnsi" w:cstheme="minorHAnsi"/>
          <w:sz w:val="22"/>
          <w:szCs w:val="22"/>
          <w:highlight w:val="green"/>
        </w:rPr>
        <w:t>_____________________________________________________________________</w:t>
      </w:r>
      <w:r w:rsidRPr="00C21305">
        <w:rPr>
          <w:rFonts w:asciiTheme="minorHAnsi" w:hAnsiTheme="minorHAnsi" w:cstheme="minorHAnsi"/>
          <w:sz w:val="22"/>
          <w:szCs w:val="22"/>
        </w:rPr>
        <w:t xml:space="preserve"> </w:t>
      </w:r>
    </w:p>
    <w:p w14:paraId="57DCAAA3" w14:textId="77777777" w:rsidR="00491D77" w:rsidRDefault="00491D77" w:rsidP="00491D77">
      <w:pPr>
        <w:pStyle w:val="Nagwek2"/>
        <w:ind w:left="-426"/>
        <w:jc w:val="both"/>
        <w:rPr>
          <w:rFonts w:asciiTheme="minorHAnsi" w:hAnsiTheme="minorHAnsi" w:cstheme="minorHAnsi"/>
          <w:sz w:val="22"/>
          <w:szCs w:val="22"/>
        </w:rPr>
      </w:pPr>
      <w:r w:rsidRPr="00C21305">
        <w:rPr>
          <w:rFonts w:asciiTheme="minorHAnsi" w:hAnsiTheme="minorHAnsi" w:cstheme="minorHAnsi"/>
          <w:sz w:val="22"/>
          <w:szCs w:val="22"/>
        </w:rPr>
        <w:t>zgodnie z n/w parametrami – podać nazwę, producenta, marka, model, typ, itp.</w:t>
      </w:r>
    </w:p>
    <w:p w14:paraId="45EAA42D" w14:textId="77777777" w:rsidR="00635A6D" w:rsidRPr="00635A6D" w:rsidRDefault="00635A6D" w:rsidP="00635A6D">
      <w:pPr>
        <w:rPr>
          <w:lang w:eastAsia="ar-SA"/>
        </w:rPr>
      </w:pPr>
    </w:p>
    <w:p w14:paraId="478B186A" w14:textId="77777777" w:rsidR="00491D77" w:rsidRPr="00C21305" w:rsidRDefault="00491D77" w:rsidP="00491D77">
      <w:pPr>
        <w:ind w:left="-426"/>
        <w:rPr>
          <w:rFonts w:cstheme="minorHAnsi"/>
          <w:b/>
          <w:bCs/>
          <w:lang w:eastAsia="ar-SA"/>
        </w:rPr>
      </w:pPr>
      <w:bookmarkStart w:id="2" w:name="_Hlk178681982"/>
      <w:r w:rsidRPr="00C21305">
        <w:rPr>
          <w:rFonts w:cstheme="minorHAnsi"/>
          <w:b/>
          <w:bCs/>
          <w:lang w:eastAsia="ar-SA"/>
        </w:rPr>
        <w:t>Part Numer: __________________________________________________________*</w:t>
      </w:r>
      <w:bookmarkEnd w:id="1"/>
    </w:p>
    <w:bookmarkEnd w:id="2"/>
    <w:p w14:paraId="7C667BAA" w14:textId="77777777" w:rsidR="00CC2CE9" w:rsidRPr="00C21305" w:rsidRDefault="00CC2CE9" w:rsidP="00CC2CE9">
      <w:pPr>
        <w:rPr>
          <w:rFonts w:cstheme="minorHAnsi"/>
        </w:rPr>
      </w:pPr>
    </w:p>
    <w:tbl>
      <w:tblPr>
        <w:tblStyle w:val="Tabela-Siatka"/>
        <w:tblW w:w="10034" w:type="dxa"/>
        <w:tblInd w:w="-572" w:type="dxa"/>
        <w:tblLook w:val="04A0" w:firstRow="1" w:lastRow="0" w:firstColumn="1" w:lastColumn="0" w:noHBand="0" w:noVBand="1"/>
      </w:tblPr>
      <w:tblGrid>
        <w:gridCol w:w="709"/>
        <w:gridCol w:w="815"/>
        <w:gridCol w:w="8510"/>
      </w:tblGrid>
      <w:tr w:rsidR="00CC2CE9" w:rsidRPr="00C21305" w14:paraId="29700A55" w14:textId="77777777" w:rsidTr="006B5575">
        <w:tc>
          <w:tcPr>
            <w:tcW w:w="709" w:type="dxa"/>
            <w:tcBorders>
              <w:top w:val="single" w:sz="4" w:space="0" w:color="auto"/>
              <w:left w:val="single" w:sz="4" w:space="0" w:color="auto"/>
              <w:bottom w:val="single" w:sz="4" w:space="0" w:color="auto"/>
              <w:right w:val="single" w:sz="4" w:space="0" w:color="auto"/>
            </w:tcBorders>
            <w:hideMark/>
          </w:tcPr>
          <w:p w14:paraId="02A32F42" w14:textId="77777777" w:rsidR="00CC2CE9" w:rsidRPr="00C21305" w:rsidRDefault="00CC2CE9" w:rsidP="00CC2CE9">
            <w:pPr>
              <w:spacing w:after="160" w:line="259" w:lineRule="auto"/>
              <w:rPr>
                <w:rFonts w:cstheme="minorHAnsi"/>
              </w:rPr>
            </w:pPr>
            <w:r w:rsidRPr="00C21305">
              <w:rPr>
                <w:rFonts w:cstheme="minorHAnsi"/>
              </w:rPr>
              <w:t>Lp.</w:t>
            </w:r>
          </w:p>
        </w:tc>
        <w:tc>
          <w:tcPr>
            <w:tcW w:w="815" w:type="dxa"/>
            <w:tcBorders>
              <w:top w:val="single" w:sz="4" w:space="0" w:color="auto"/>
              <w:left w:val="single" w:sz="4" w:space="0" w:color="auto"/>
              <w:bottom w:val="single" w:sz="4" w:space="0" w:color="auto"/>
              <w:right w:val="single" w:sz="4" w:space="0" w:color="auto"/>
            </w:tcBorders>
            <w:hideMark/>
          </w:tcPr>
          <w:p w14:paraId="4958AC40" w14:textId="77777777" w:rsidR="00CC2CE9" w:rsidRPr="00C21305" w:rsidRDefault="00CC2CE9" w:rsidP="00CC2CE9">
            <w:pPr>
              <w:spacing w:after="160" w:line="259" w:lineRule="auto"/>
              <w:rPr>
                <w:rFonts w:cstheme="minorHAnsi"/>
              </w:rPr>
            </w:pPr>
            <w:r w:rsidRPr="00C21305">
              <w:rPr>
                <w:rFonts w:cstheme="minorHAnsi"/>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C21305" w:rsidRDefault="00CC2CE9" w:rsidP="00CC2CE9">
            <w:pPr>
              <w:spacing w:after="160" w:line="259" w:lineRule="auto"/>
              <w:rPr>
                <w:rFonts w:cstheme="minorHAnsi"/>
              </w:rPr>
            </w:pPr>
            <w:r w:rsidRPr="00C21305">
              <w:rPr>
                <w:rFonts w:cstheme="minorHAnsi"/>
              </w:rPr>
              <w:t>Opis</w:t>
            </w:r>
            <w:r w:rsidR="00491D77" w:rsidRPr="00C21305">
              <w:rPr>
                <w:rFonts w:cstheme="minorHAnsi"/>
              </w:rPr>
              <w:t xml:space="preserve"> wymaganych parametrów</w:t>
            </w:r>
          </w:p>
        </w:tc>
      </w:tr>
      <w:tr w:rsidR="00CC2CE9" w:rsidRPr="00C21305" w14:paraId="2B7A486A" w14:textId="77777777" w:rsidTr="006B5575">
        <w:tc>
          <w:tcPr>
            <w:tcW w:w="709" w:type="dxa"/>
            <w:tcBorders>
              <w:top w:val="single" w:sz="4" w:space="0" w:color="auto"/>
              <w:left w:val="single" w:sz="4" w:space="0" w:color="auto"/>
              <w:bottom w:val="single" w:sz="4" w:space="0" w:color="auto"/>
              <w:right w:val="single" w:sz="4" w:space="0" w:color="auto"/>
            </w:tcBorders>
          </w:tcPr>
          <w:p w14:paraId="4A492D07" w14:textId="77777777" w:rsidR="00CC2CE9" w:rsidRPr="00C21305" w:rsidRDefault="00CC2CE9" w:rsidP="006B5575">
            <w:pPr>
              <w:numPr>
                <w:ilvl w:val="0"/>
                <w:numId w:val="1"/>
              </w:numPr>
              <w:spacing w:after="160" w:line="259" w:lineRule="auto"/>
              <w:ind w:left="32" w:firstLine="0"/>
              <w:rPr>
                <w:rFonts w:cstheme="minorHAnsi"/>
              </w:rPr>
            </w:pPr>
          </w:p>
        </w:tc>
        <w:tc>
          <w:tcPr>
            <w:tcW w:w="815" w:type="dxa"/>
            <w:tcBorders>
              <w:top w:val="single" w:sz="4" w:space="0" w:color="auto"/>
              <w:left w:val="single" w:sz="4" w:space="0" w:color="auto"/>
              <w:bottom w:val="single" w:sz="4" w:space="0" w:color="auto"/>
              <w:right w:val="single" w:sz="4" w:space="0" w:color="auto"/>
            </w:tcBorders>
          </w:tcPr>
          <w:p w14:paraId="745150B0" w14:textId="24B25A06" w:rsidR="00CC2CE9" w:rsidRPr="00C21305" w:rsidRDefault="0002504F" w:rsidP="00CC2CE9">
            <w:pPr>
              <w:spacing w:after="160" w:line="259" w:lineRule="auto"/>
              <w:rPr>
                <w:rFonts w:cstheme="minorHAnsi"/>
              </w:rPr>
            </w:pPr>
            <w:r w:rsidRPr="00C21305">
              <w:rPr>
                <w:rFonts w:cstheme="minorHAnsi"/>
              </w:rPr>
              <w:t xml:space="preserve">1 </w:t>
            </w:r>
            <w:r w:rsidR="00D50535" w:rsidRPr="00C21305">
              <w:rPr>
                <w:rFonts w:cstheme="minorHAnsi"/>
              </w:rPr>
              <w:t>szt.</w:t>
            </w:r>
          </w:p>
        </w:tc>
        <w:tc>
          <w:tcPr>
            <w:tcW w:w="8510" w:type="dxa"/>
            <w:tcBorders>
              <w:top w:val="single" w:sz="4" w:space="0" w:color="auto"/>
              <w:left w:val="single" w:sz="4" w:space="0" w:color="auto"/>
              <w:bottom w:val="single" w:sz="4" w:space="0" w:color="auto"/>
              <w:right w:val="single" w:sz="4" w:space="0" w:color="auto"/>
            </w:tcBorders>
          </w:tcPr>
          <w:p w14:paraId="79563ADF" w14:textId="541C1681" w:rsidR="00D71B9F" w:rsidRPr="00C21305" w:rsidRDefault="00D71B9F" w:rsidP="00D71B9F">
            <w:pPr>
              <w:rPr>
                <w:rFonts w:cstheme="minorHAnsi"/>
              </w:rPr>
            </w:pPr>
            <w:r w:rsidRPr="00C21305">
              <w:rPr>
                <w:rFonts w:cstheme="minorHAnsi"/>
              </w:rPr>
              <w:t xml:space="preserve">Przenośny i lekki ekran projekcyjny min. 92" 16:9 </w:t>
            </w:r>
          </w:p>
          <w:p w14:paraId="7C1D665C" w14:textId="4BBB5E0F" w:rsidR="00D71B9F" w:rsidRPr="00C21305" w:rsidRDefault="00D71B9F" w:rsidP="00D71B9F">
            <w:pPr>
              <w:rPr>
                <w:rFonts w:cstheme="minorHAnsi"/>
              </w:rPr>
            </w:pPr>
            <w:r w:rsidRPr="00C21305">
              <w:rPr>
                <w:rFonts w:cstheme="minorHAnsi"/>
              </w:rPr>
              <w:t>Inteligentny pasek podporowy i uchwyt, który blokuje ekran w obudowie podczas transportu. Po podniesieniu paska podporowego obudowa automatycznie się odblokowuje, umożliwiając podciągnięcie ekranu za uchwyt. Gdy ekran jest schowany, obudowa automatycznie się blokuje</w:t>
            </w:r>
          </w:p>
          <w:p w14:paraId="0EECC040" w14:textId="77777777" w:rsidR="00D71B9F" w:rsidRPr="00C21305" w:rsidRDefault="00D71B9F" w:rsidP="00D71B9F">
            <w:pPr>
              <w:rPr>
                <w:rFonts w:cstheme="minorHAnsi"/>
              </w:rPr>
            </w:pPr>
          </w:p>
          <w:p w14:paraId="2B980F39" w14:textId="77777777" w:rsidR="00D71B9F" w:rsidRPr="00C21305" w:rsidRDefault="00D71B9F" w:rsidP="00D71B9F">
            <w:pPr>
              <w:rPr>
                <w:rFonts w:cstheme="minorHAnsi"/>
              </w:rPr>
            </w:pPr>
            <w:r w:rsidRPr="00C21305">
              <w:rPr>
                <w:rFonts w:cstheme="minorHAnsi"/>
              </w:rPr>
              <w:t>Nóżki z regulacją poziomu</w:t>
            </w:r>
          </w:p>
          <w:p w14:paraId="038CCB7D" w14:textId="77777777" w:rsidR="00D71B9F" w:rsidRPr="00C21305" w:rsidRDefault="00D71B9F" w:rsidP="00D71B9F">
            <w:pPr>
              <w:rPr>
                <w:rFonts w:cstheme="minorHAnsi"/>
              </w:rPr>
            </w:pPr>
            <w:r w:rsidRPr="00C21305">
              <w:rPr>
                <w:rFonts w:cstheme="minorHAnsi"/>
              </w:rPr>
              <w:t>Ukryte pod obudową z ukrytą konstrukcją, dwie nogi podtrzymujące można wykręcić, aby odsłonić cztery indywidualnie regulowane nóżki. Tylny wspornik jest również wyposażony w stojak podłogowy, aby zapewnić dodatkową stabilność. Dzięki tej konstrukcji ekran może pozostać zrównoważony nawet bez opierania się na większości nierównych powierzchni.</w:t>
            </w:r>
          </w:p>
          <w:p w14:paraId="4B671C5A" w14:textId="77777777" w:rsidR="00D71B9F" w:rsidRPr="00C21305" w:rsidRDefault="00D71B9F" w:rsidP="00D71B9F">
            <w:pPr>
              <w:rPr>
                <w:rFonts w:cstheme="minorHAnsi"/>
              </w:rPr>
            </w:pPr>
          </w:p>
          <w:p w14:paraId="4DB78D66" w14:textId="77777777" w:rsidR="00D71B9F" w:rsidRPr="00C21305" w:rsidRDefault="00D71B9F" w:rsidP="00D71B9F">
            <w:pPr>
              <w:rPr>
                <w:rFonts w:cstheme="minorHAnsi"/>
              </w:rPr>
            </w:pPr>
            <w:r w:rsidRPr="00C21305">
              <w:rPr>
                <w:rFonts w:cstheme="minorHAnsi"/>
              </w:rPr>
              <w:t>Matowa tkanina wykonana z włókna szklanego</w:t>
            </w:r>
          </w:p>
          <w:p w14:paraId="15B860B1" w14:textId="77777777" w:rsidR="00D71B9F" w:rsidRPr="00C21305" w:rsidRDefault="00D71B9F" w:rsidP="00D71B9F">
            <w:pPr>
              <w:rPr>
                <w:rFonts w:cstheme="minorHAnsi"/>
              </w:rPr>
            </w:pPr>
            <w:r w:rsidRPr="00C21305">
              <w:rPr>
                <w:rFonts w:cstheme="minorHAnsi"/>
              </w:rPr>
              <w:t>Materiał ekranu z certyfikatem ISF</w:t>
            </w:r>
          </w:p>
          <w:p w14:paraId="5D622996" w14:textId="77777777" w:rsidR="00D71B9F" w:rsidRPr="00C21305" w:rsidRDefault="00D71B9F" w:rsidP="00D71B9F">
            <w:pPr>
              <w:rPr>
                <w:rFonts w:cstheme="minorHAnsi"/>
              </w:rPr>
            </w:pPr>
            <w:r w:rsidRPr="00C21305">
              <w:rPr>
                <w:rFonts w:cstheme="minorHAnsi"/>
              </w:rPr>
              <w:t>Wysokiej jakości trwały materiał ekranu składający się z czterech warstw i zawierający włókno szklane jako główną warstwę nośną</w:t>
            </w:r>
          </w:p>
          <w:p w14:paraId="19E23DAE" w14:textId="77777777" w:rsidR="00D71B9F" w:rsidRPr="00C21305" w:rsidRDefault="00D71B9F" w:rsidP="00D71B9F">
            <w:pPr>
              <w:rPr>
                <w:rFonts w:cstheme="minorHAnsi"/>
              </w:rPr>
            </w:pPr>
            <w:r w:rsidRPr="00C21305">
              <w:rPr>
                <w:rFonts w:cstheme="minorHAnsi"/>
              </w:rPr>
              <w:t>wysoka odporność na temperaturę, ogień, wilgoć, odkształcenia i rozciągani</w:t>
            </w:r>
          </w:p>
          <w:p w14:paraId="1764FC0D" w14:textId="77777777" w:rsidR="00D71B9F" w:rsidRPr="00C21305" w:rsidRDefault="00D71B9F" w:rsidP="00D71B9F">
            <w:pPr>
              <w:rPr>
                <w:rFonts w:cstheme="minorHAnsi"/>
              </w:rPr>
            </w:pPr>
            <w:r w:rsidRPr="00C21305">
              <w:rPr>
                <w:rFonts w:cstheme="minorHAnsi"/>
              </w:rPr>
              <w:t xml:space="preserve">Zewnętrzna powierzchnia nasycona </w:t>
            </w:r>
            <w:proofErr w:type="spellStart"/>
            <w:r w:rsidRPr="00C21305">
              <w:rPr>
                <w:rFonts w:cstheme="minorHAnsi"/>
              </w:rPr>
              <w:t>mikrokropkami</w:t>
            </w:r>
            <w:proofErr w:type="spellEnd"/>
            <w:r w:rsidRPr="00C21305">
              <w:rPr>
                <w:rFonts w:cstheme="minorHAnsi"/>
              </w:rPr>
              <w:t xml:space="preserve"> z PVC, które pomagają wytwarzać i odbijać najlepsze możliwe obrazy o szerokim i jednolitym kącie widzenia 160 stopni.</w:t>
            </w:r>
          </w:p>
          <w:p w14:paraId="7B31403C" w14:textId="6AD305CB" w:rsidR="0029674B" w:rsidRPr="00C21305" w:rsidRDefault="0029674B" w:rsidP="00D71B9F">
            <w:pPr>
              <w:pStyle w:val="Akapitzlist"/>
              <w:spacing w:line="278" w:lineRule="auto"/>
              <w:rPr>
                <w:rFonts w:cstheme="minorHAnsi"/>
              </w:rPr>
            </w:pPr>
          </w:p>
        </w:tc>
      </w:tr>
    </w:tbl>
    <w:p w14:paraId="0D38E5D9" w14:textId="77777777" w:rsidR="00CC2CE9" w:rsidRPr="00C21305" w:rsidRDefault="00CC2CE9" w:rsidP="00CC2CE9">
      <w:pPr>
        <w:rPr>
          <w:rFonts w:cstheme="minorHAnsi"/>
        </w:rPr>
      </w:pPr>
    </w:p>
    <w:p w14:paraId="3F85F7B4" w14:textId="77777777" w:rsidR="00BC6514" w:rsidRPr="00C21305" w:rsidRDefault="00BC6514" w:rsidP="00BC6514">
      <w:pPr>
        <w:spacing w:line="20" w:lineRule="atLeast"/>
        <w:ind w:left="-284" w:hanging="425"/>
        <w:rPr>
          <w:rFonts w:cstheme="minorHAnsi"/>
          <w:b/>
          <w:color w:val="FF0000"/>
          <w:highlight w:val="yellow"/>
          <w:u w:val="single"/>
        </w:rPr>
      </w:pPr>
      <w:bookmarkStart w:id="3" w:name="_Hlk178684653"/>
      <w:r w:rsidRPr="00C21305">
        <w:rPr>
          <w:rFonts w:cstheme="minorHAnsi"/>
          <w:b/>
          <w:color w:val="FF0000"/>
          <w:highlight w:val="yellow"/>
          <w:u w:val="single"/>
        </w:rPr>
        <w:t>Wykonawca składa przedmiotowy załącznik wraz z ofertą</w:t>
      </w:r>
    </w:p>
    <w:p w14:paraId="117C8A43" w14:textId="77777777" w:rsidR="00BC6514" w:rsidRPr="00C21305" w:rsidRDefault="00BC6514" w:rsidP="00BC6514">
      <w:pPr>
        <w:spacing w:line="20" w:lineRule="atLeast"/>
        <w:ind w:left="-284" w:hanging="425"/>
        <w:rPr>
          <w:rFonts w:cstheme="minorHAnsi"/>
          <w:b/>
          <w:color w:val="FF0000"/>
          <w:highlight w:val="yellow"/>
          <w:u w:val="single"/>
        </w:rPr>
      </w:pPr>
    </w:p>
    <w:p w14:paraId="71D0E5F5" w14:textId="77777777" w:rsidR="00BC6514" w:rsidRPr="00C21305" w:rsidRDefault="00BC6514" w:rsidP="00BC6514">
      <w:pPr>
        <w:spacing w:line="20" w:lineRule="atLeast"/>
        <w:ind w:left="-284" w:hanging="425"/>
        <w:rPr>
          <w:rFonts w:cstheme="minorHAnsi"/>
          <w:b/>
          <w:color w:val="FF0000"/>
          <w:u w:val="single"/>
        </w:rPr>
      </w:pPr>
      <w:r w:rsidRPr="00C21305">
        <w:rPr>
          <w:rFonts w:cstheme="minorHAnsi"/>
          <w:b/>
          <w:color w:val="FF0000"/>
          <w:u w:val="single"/>
        </w:rPr>
        <w:lastRenderedPageBreak/>
        <w:t xml:space="preserve">Brak złożenia przedmiotowego Załącznika skutkuje odrzuceniem oferty z postępowania. </w:t>
      </w:r>
    </w:p>
    <w:p w14:paraId="7612DBFD" w14:textId="77777777" w:rsidR="00BC6514" w:rsidRPr="00C21305" w:rsidRDefault="00BC6514" w:rsidP="00BC6514">
      <w:pPr>
        <w:spacing w:line="20" w:lineRule="atLeast"/>
        <w:ind w:left="-284" w:hanging="425"/>
        <w:rPr>
          <w:rFonts w:cstheme="minorHAnsi"/>
          <w:b/>
          <w:color w:val="FF0000"/>
          <w:u w:val="single"/>
        </w:rPr>
      </w:pPr>
    </w:p>
    <w:p w14:paraId="4C8E8001" w14:textId="77777777" w:rsidR="00BC6514" w:rsidRPr="00C21305" w:rsidRDefault="00BC6514" w:rsidP="00BC6514">
      <w:pPr>
        <w:spacing w:line="20" w:lineRule="atLeast"/>
        <w:ind w:left="-284" w:hanging="425"/>
        <w:rPr>
          <w:rFonts w:cstheme="minorHAnsi"/>
          <w:b/>
          <w:color w:val="FF0000"/>
          <w:u w:val="single"/>
        </w:rPr>
      </w:pPr>
      <w:r w:rsidRPr="00C21305">
        <w:rPr>
          <w:rFonts w:cstheme="minorHAnsi"/>
          <w:b/>
          <w:color w:val="FF0000"/>
          <w:u w:val="single"/>
        </w:rPr>
        <w:t>*podać dla wszystkich oferowanych produktów</w:t>
      </w:r>
    </w:p>
    <w:p w14:paraId="11D19363" w14:textId="77777777" w:rsidR="00BC6514" w:rsidRPr="00C21305" w:rsidRDefault="00BC6514" w:rsidP="00BC6514">
      <w:pPr>
        <w:spacing w:line="20" w:lineRule="atLeast"/>
        <w:ind w:left="-284" w:hanging="425"/>
        <w:rPr>
          <w:rFonts w:cstheme="minorHAnsi"/>
          <w:b/>
          <w:color w:val="FF0000"/>
          <w:u w:val="single"/>
        </w:rPr>
      </w:pPr>
    </w:p>
    <w:p w14:paraId="300FFB75" w14:textId="77777777" w:rsidR="00BC6514" w:rsidRPr="00C21305" w:rsidRDefault="00BC6514" w:rsidP="00BC6514">
      <w:pPr>
        <w:pStyle w:val="Akapitzlist"/>
        <w:numPr>
          <w:ilvl w:val="1"/>
          <w:numId w:val="16"/>
        </w:numPr>
        <w:autoSpaceDE w:val="0"/>
        <w:autoSpaceDN w:val="0"/>
        <w:adjustRightInd w:val="0"/>
        <w:spacing w:after="0" w:line="276" w:lineRule="auto"/>
        <w:ind w:left="-284" w:right="210" w:hanging="425"/>
        <w:jc w:val="both"/>
        <w:rPr>
          <w:rFonts w:eastAsia="Times New Roman" w:cstheme="minorHAnsi"/>
          <w:b/>
        </w:rPr>
      </w:pPr>
      <w:r w:rsidRPr="00C21305">
        <w:rPr>
          <w:rFonts w:cstheme="minorHAnsi"/>
          <w:u w:val="single"/>
        </w:rPr>
        <w:t>UWAGA:</w:t>
      </w:r>
      <w:r w:rsidRPr="00C21305">
        <w:rPr>
          <w:rFonts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C21305">
        <w:rPr>
          <w:rFonts w:cstheme="minorHAnsi"/>
          <w:b/>
        </w:rPr>
        <w:t>dla danej pozycji.</w:t>
      </w:r>
    </w:p>
    <w:p w14:paraId="702E7DB6" w14:textId="77777777" w:rsidR="00BC6514" w:rsidRPr="00C21305" w:rsidRDefault="00BC6514" w:rsidP="00BC6514">
      <w:pPr>
        <w:pStyle w:val="Akapitzlist"/>
        <w:numPr>
          <w:ilvl w:val="1"/>
          <w:numId w:val="16"/>
        </w:numPr>
        <w:autoSpaceDE w:val="0"/>
        <w:autoSpaceDN w:val="0"/>
        <w:adjustRightInd w:val="0"/>
        <w:spacing w:after="0" w:line="276" w:lineRule="auto"/>
        <w:ind w:left="-284" w:right="210" w:hanging="425"/>
        <w:jc w:val="both"/>
        <w:rPr>
          <w:rFonts w:eastAsia="Times New Roman" w:cstheme="minorHAnsi"/>
        </w:rPr>
      </w:pPr>
      <w:r w:rsidRPr="00C21305">
        <w:rPr>
          <w:rFonts w:cstheme="minorHAns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C21305">
        <w:rPr>
          <w:rFonts w:cstheme="minorHAnsi"/>
          <w:b/>
          <w:bCs/>
        </w:rPr>
        <w:t>Obowiązek udowodnienia  równoważności leży po stronie Wykonawcy</w:t>
      </w:r>
      <w:r w:rsidRPr="00C21305">
        <w:rPr>
          <w:rFonts w:cstheme="minorHAnsi"/>
          <w:bCs/>
        </w:rPr>
        <w:t>.</w:t>
      </w:r>
    </w:p>
    <w:bookmarkEnd w:id="3"/>
    <w:p w14:paraId="00207085" w14:textId="77777777" w:rsidR="00524914" w:rsidRPr="00C21305" w:rsidRDefault="00524914">
      <w:pPr>
        <w:rPr>
          <w:rFonts w:cstheme="minorHAnsi"/>
        </w:rPr>
      </w:pPr>
    </w:p>
    <w:sectPr w:rsidR="00524914" w:rsidRPr="00C21305"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8CB70" w14:textId="77777777" w:rsidR="001946FF" w:rsidRDefault="001946FF" w:rsidP="00CA53DD">
      <w:pPr>
        <w:spacing w:after="0" w:line="240" w:lineRule="auto"/>
      </w:pPr>
      <w:r>
        <w:separator/>
      </w:r>
    </w:p>
  </w:endnote>
  <w:endnote w:type="continuationSeparator" w:id="0">
    <w:p w14:paraId="090CD9B3" w14:textId="77777777" w:rsidR="001946FF" w:rsidRDefault="001946FF"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C78AE" w14:textId="77777777" w:rsidR="001946FF" w:rsidRDefault="001946FF" w:rsidP="00CA53DD">
      <w:pPr>
        <w:spacing w:after="0" w:line="240" w:lineRule="auto"/>
      </w:pPr>
      <w:r>
        <w:separator/>
      </w:r>
    </w:p>
  </w:footnote>
  <w:footnote w:type="continuationSeparator" w:id="0">
    <w:p w14:paraId="237EF64D" w14:textId="77777777" w:rsidR="001946FF" w:rsidRDefault="001946FF"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7DE8" w14:textId="77777777" w:rsidR="00DF66DE" w:rsidRPr="00513846" w:rsidRDefault="00DF66DE" w:rsidP="00DF66DE">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6E93210B" wp14:editId="1D679530">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DF66DE" w:rsidRDefault="00CA53DD" w:rsidP="00DF66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1145E0"/>
    <w:rsid w:val="00193982"/>
    <w:rsid w:val="001946FF"/>
    <w:rsid w:val="001A20B5"/>
    <w:rsid w:val="001B7F65"/>
    <w:rsid w:val="001C5468"/>
    <w:rsid w:val="001F7214"/>
    <w:rsid w:val="00241378"/>
    <w:rsid w:val="00252F90"/>
    <w:rsid w:val="00267316"/>
    <w:rsid w:val="0029674B"/>
    <w:rsid w:val="002B5014"/>
    <w:rsid w:val="002C13F1"/>
    <w:rsid w:val="002E5E96"/>
    <w:rsid w:val="00357809"/>
    <w:rsid w:val="00376D0A"/>
    <w:rsid w:val="003B256B"/>
    <w:rsid w:val="003D2D7A"/>
    <w:rsid w:val="0041195B"/>
    <w:rsid w:val="00491D77"/>
    <w:rsid w:val="00515C86"/>
    <w:rsid w:val="00524914"/>
    <w:rsid w:val="00571DDD"/>
    <w:rsid w:val="00581DFE"/>
    <w:rsid w:val="005E20A4"/>
    <w:rsid w:val="00635A6D"/>
    <w:rsid w:val="006B535E"/>
    <w:rsid w:val="006B5575"/>
    <w:rsid w:val="008E2074"/>
    <w:rsid w:val="008F0DAD"/>
    <w:rsid w:val="00905811"/>
    <w:rsid w:val="009F19B2"/>
    <w:rsid w:val="00A3798D"/>
    <w:rsid w:val="00B4527F"/>
    <w:rsid w:val="00B676B4"/>
    <w:rsid w:val="00B80314"/>
    <w:rsid w:val="00BC6514"/>
    <w:rsid w:val="00BD3993"/>
    <w:rsid w:val="00C21305"/>
    <w:rsid w:val="00C23A3A"/>
    <w:rsid w:val="00CA53DD"/>
    <w:rsid w:val="00CB7AD7"/>
    <w:rsid w:val="00CC2CE9"/>
    <w:rsid w:val="00CC482E"/>
    <w:rsid w:val="00CE60AE"/>
    <w:rsid w:val="00CF4C0A"/>
    <w:rsid w:val="00D01C4D"/>
    <w:rsid w:val="00D451E3"/>
    <w:rsid w:val="00D50535"/>
    <w:rsid w:val="00D71B9F"/>
    <w:rsid w:val="00DB53FD"/>
    <w:rsid w:val="00DF158A"/>
    <w:rsid w:val="00DF38E4"/>
    <w:rsid w:val="00DF66DE"/>
    <w:rsid w:val="00E80B3A"/>
    <w:rsid w:val="00E90CB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379</Words>
  <Characters>2275</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5</cp:revision>
  <dcterms:created xsi:type="dcterms:W3CDTF">2025-01-07T11:37:00Z</dcterms:created>
  <dcterms:modified xsi:type="dcterms:W3CDTF">2025-03-21T20:22:00Z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