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DE9D9" w:themeColor="accent6" w:themeTint="33"/>
  <w:body>
    <w:tbl>
      <w:tblPr>
        <w:tblStyle w:val="Tabela-Siatka"/>
        <w:tblW w:w="9214" w:type="dxa"/>
        <w:tblInd w:w="392" w:type="dxa"/>
        <w:tblLook w:val="04A0" w:firstRow="1" w:lastRow="0" w:firstColumn="1" w:lastColumn="0" w:noHBand="0" w:noVBand="1"/>
      </w:tblPr>
      <w:tblGrid>
        <w:gridCol w:w="9214"/>
      </w:tblGrid>
      <w:tr w:rsidR="00CF579B" w:rsidRPr="000E368E" w14:paraId="129D9E08" w14:textId="77777777" w:rsidTr="00A639C4">
        <w:trPr>
          <w:trHeight w:val="838"/>
        </w:trPr>
        <w:tc>
          <w:tcPr>
            <w:tcW w:w="9214" w:type="dxa"/>
          </w:tcPr>
          <w:p w14:paraId="53DB72CD" w14:textId="77777777" w:rsidR="000F6CE6" w:rsidRPr="000F6CE6" w:rsidRDefault="000F6CE6" w:rsidP="00E619F6">
            <w:pPr>
              <w:tabs>
                <w:tab w:val="left" w:pos="408"/>
              </w:tabs>
              <w:ind w:left="360"/>
              <w:jc w:val="center"/>
              <w:rPr>
                <w:b/>
                <w:sz w:val="6"/>
                <w:szCs w:val="6"/>
              </w:rPr>
            </w:pPr>
          </w:p>
          <w:p w14:paraId="668B8C98" w14:textId="1135B132" w:rsidR="00CF579B" w:rsidRPr="009C6825" w:rsidRDefault="00CF579B" w:rsidP="00E619F6">
            <w:pPr>
              <w:tabs>
                <w:tab w:val="left" w:pos="408"/>
              </w:tabs>
              <w:ind w:left="360"/>
              <w:jc w:val="center"/>
              <w:rPr>
                <w:b/>
              </w:rPr>
            </w:pPr>
            <w:r w:rsidRPr="009C6825">
              <w:rPr>
                <w:b/>
              </w:rPr>
              <w:t>Treść tego dokumentu należy czytać łącznie z SWZ -</w:t>
            </w:r>
            <w:r w:rsidR="00F4236A" w:rsidRPr="009C6825">
              <w:rPr>
                <w:b/>
              </w:rPr>
              <w:br/>
            </w:r>
            <w:r w:rsidRPr="009C6825">
              <w:rPr>
                <w:b/>
              </w:rPr>
              <w:t xml:space="preserve"> jest to integralna część</w:t>
            </w:r>
            <w:r w:rsidR="00387614" w:rsidRPr="009C6825">
              <w:rPr>
                <w:b/>
              </w:rPr>
              <w:t xml:space="preserve"> Rozdziału I</w:t>
            </w:r>
            <w:r w:rsidRPr="009C6825">
              <w:rPr>
                <w:b/>
              </w:rPr>
              <w:t xml:space="preserve"> </w:t>
            </w:r>
            <w:r w:rsidR="00387614" w:rsidRPr="009C6825">
              <w:rPr>
                <w:b/>
              </w:rPr>
              <w:t xml:space="preserve">- </w:t>
            </w:r>
            <w:r w:rsidRPr="009C6825">
              <w:rPr>
                <w:b/>
              </w:rPr>
              <w:t>Instrukcj</w:t>
            </w:r>
            <w:r w:rsidR="00387614" w:rsidRPr="009C6825">
              <w:rPr>
                <w:b/>
              </w:rPr>
              <w:t>a</w:t>
            </w:r>
            <w:r w:rsidRPr="009C6825">
              <w:rPr>
                <w:b/>
              </w:rPr>
              <w:t xml:space="preserve"> dla Wykonawców </w:t>
            </w:r>
            <w:r w:rsidR="00387614" w:rsidRPr="009C6825">
              <w:rPr>
                <w:b/>
              </w:rPr>
              <w:t>(IDW)</w:t>
            </w:r>
          </w:p>
        </w:tc>
      </w:tr>
    </w:tbl>
    <w:p w14:paraId="2F7B3E1D" w14:textId="77777777" w:rsidR="003E5CE7" w:rsidRPr="000F6CE6" w:rsidRDefault="003E5CE7" w:rsidP="00E619F6">
      <w:pPr>
        <w:tabs>
          <w:tab w:val="left" w:pos="408"/>
        </w:tabs>
        <w:ind w:left="360"/>
        <w:jc w:val="center"/>
        <w:rPr>
          <w:b/>
          <w:sz w:val="14"/>
          <w:szCs w:val="14"/>
        </w:rPr>
      </w:pPr>
    </w:p>
    <w:tbl>
      <w:tblPr>
        <w:tblStyle w:val="Tabela-Siatka"/>
        <w:tblpPr w:leftFromText="141" w:rightFromText="141" w:vertAnchor="text" w:tblpX="392" w:tblpY="1"/>
        <w:tblOverlap w:val="never"/>
        <w:tblW w:w="9180" w:type="dxa"/>
        <w:tblLayout w:type="fixed"/>
        <w:tblLook w:val="04A0" w:firstRow="1" w:lastRow="0" w:firstColumn="1" w:lastColumn="0" w:noHBand="0" w:noVBand="1"/>
      </w:tblPr>
      <w:tblGrid>
        <w:gridCol w:w="1384"/>
        <w:gridCol w:w="7796"/>
      </w:tblGrid>
      <w:tr w:rsidR="00E261AA" w:rsidRPr="00A639C4" w14:paraId="6B45B2AB" w14:textId="77777777" w:rsidTr="00A639C4">
        <w:trPr>
          <w:trHeight w:val="693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0A9B4E" w14:textId="7DFA41A6" w:rsidR="0070256A" w:rsidRPr="00A639C4" w:rsidRDefault="00E261AA" w:rsidP="00E619F6">
            <w:pPr>
              <w:tabs>
                <w:tab w:val="left" w:pos="408"/>
              </w:tabs>
              <w:jc w:val="center"/>
              <w:rPr>
                <w:b/>
                <w:sz w:val="16"/>
                <w:szCs w:val="16"/>
              </w:rPr>
            </w:pPr>
            <w:r w:rsidRPr="00A639C4">
              <w:rPr>
                <w:b/>
                <w:sz w:val="16"/>
                <w:szCs w:val="16"/>
              </w:rPr>
              <w:t>Punkt (IDW) którego dotyczą informacje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F4BEB9" w14:textId="77777777" w:rsidR="00E261AA" w:rsidRPr="009C6825" w:rsidRDefault="00E261AA" w:rsidP="00E619F6">
            <w:pPr>
              <w:tabs>
                <w:tab w:val="left" w:pos="408"/>
              </w:tabs>
              <w:jc w:val="center"/>
              <w:rPr>
                <w:b/>
              </w:rPr>
            </w:pPr>
            <w:r w:rsidRPr="009C6825">
              <w:rPr>
                <w:b/>
              </w:rPr>
              <w:t>Treść informacji</w:t>
            </w:r>
          </w:p>
        </w:tc>
      </w:tr>
      <w:tr w:rsidR="009E1376" w:rsidRPr="00A639C4" w14:paraId="4B0B30A6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7430E121" w14:textId="70170ABD" w:rsidR="009E1376" w:rsidRPr="00A639C4" w:rsidRDefault="009E1376" w:rsidP="00E619F6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4.1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1239B616" w14:textId="5A079DE3" w:rsidR="0070256A" w:rsidRPr="00A639C4" w:rsidRDefault="009E1376" w:rsidP="00E619F6">
            <w:pPr>
              <w:tabs>
                <w:tab w:val="left" w:pos="408"/>
              </w:tabs>
              <w:rPr>
                <w:b/>
              </w:rPr>
            </w:pPr>
            <w:r w:rsidRPr="00A639C4">
              <w:rPr>
                <w:b/>
              </w:rPr>
              <w:t>Pełna nazwa zamówienia, opis przedmiotu zamówienia, sposób realizacji zamówienia oraz oznaczenie wg Wspólnego Słownika Zamówień (CPV)</w:t>
            </w:r>
          </w:p>
        </w:tc>
      </w:tr>
      <w:tr w:rsidR="009E1376" w:rsidRPr="00A639C4" w14:paraId="7BC763C2" w14:textId="77777777" w:rsidTr="00A639C4">
        <w:tc>
          <w:tcPr>
            <w:tcW w:w="1384" w:type="dxa"/>
            <w:vMerge w:val="restart"/>
            <w:shd w:val="clear" w:color="auto" w:fill="auto"/>
          </w:tcPr>
          <w:p w14:paraId="05438F84" w14:textId="77777777" w:rsidR="009E1376" w:rsidRPr="00A639C4" w:rsidRDefault="009E1376" w:rsidP="00E619F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0C6CF8EF" w14:textId="77777777" w:rsidR="00E619F6" w:rsidRDefault="00E619F6" w:rsidP="00E619F6">
            <w:pPr>
              <w:ind w:left="300" w:hanging="300"/>
              <w:jc w:val="both"/>
              <w:rPr>
                <w:b/>
              </w:rPr>
            </w:pPr>
          </w:p>
          <w:p w14:paraId="7EBB23AB" w14:textId="0B746C57" w:rsidR="009E1376" w:rsidRPr="00A639C4" w:rsidRDefault="009E1376" w:rsidP="00E619F6">
            <w:pPr>
              <w:ind w:left="300" w:hanging="300"/>
              <w:jc w:val="both"/>
              <w:rPr>
                <w:b/>
              </w:rPr>
            </w:pPr>
            <w:r w:rsidRPr="00A639C4">
              <w:rPr>
                <w:b/>
              </w:rPr>
              <w:t>Pełna nazwa zamówienia:</w:t>
            </w:r>
          </w:p>
          <w:p w14:paraId="05DA617E" w14:textId="77777777" w:rsidR="00871CAB" w:rsidRDefault="00871CAB" w:rsidP="00871CAB">
            <w:pPr>
              <w:ind w:left="300" w:hanging="300"/>
              <w:jc w:val="both"/>
              <w:rPr>
                <w:b/>
              </w:rPr>
            </w:pPr>
          </w:p>
          <w:p w14:paraId="53F1FF42" w14:textId="56A509E5" w:rsidR="00871CAB" w:rsidRDefault="0045315C" w:rsidP="00871CAB">
            <w:pPr>
              <w:ind w:left="300" w:hanging="300"/>
              <w:jc w:val="both"/>
              <w:rPr>
                <w:b/>
              </w:rPr>
            </w:pPr>
            <w:r>
              <w:rPr>
                <w:b/>
              </w:rPr>
              <w:t xml:space="preserve">     UTRZYMA</w:t>
            </w:r>
            <w:r w:rsidR="00871CAB">
              <w:rPr>
                <w:b/>
              </w:rPr>
              <w:t>NIE  CZYSTOŚCI W POMIESZCZENIACH BIUROWYCH BUDYNKÓW ADMINISTROWANYCH PRZEZ PODKARPACKI ZARZĄD DRÓG WOJEWÓDZKICH W RZESZOWIE w 2025r</w:t>
            </w:r>
            <w:r w:rsidR="00EE2E67">
              <w:rPr>
                <w:b/>
              </w:rPr>
              <w:t xml:space="preserve">. </w:t>
            </w:r>
            <w:r w:rsidR="00FC52EE">
              <w:rPr>
                <w:b/>
              </w:rPr>
              <w:t>– RDW  Stalow</w:t>
            </w:r>
            <w:r w:rsidR="003D2DF4">
              <w:rPr>
                <w:b/>
              </w:rPr>
              <w:t>a</w:t>
            </w:r>
            <w:r w:rsidR="00FC52EE">
              <w:rPr>
                <w:b/>
              </w:rPr>
              <w:t xml:space="preserve"> Wol</w:t>
            </w:r>
            <w:r w:rsidR="003D2DF4">
              <w:rPr>
                <w:b/>
              </w:rPr>
              <w:t>a</w:t>
            </w:r>
            <w:r w:rsidR="00871CAB">
              <w:rPr>
                <w:b/>
              </w:rPr>
              <w:t>”</w:t>
            </w:r>
          </w:p>
          <w:p w14:paraId="519B4AC8" w14:textId="77777777" w:rsidR="00293B88" w:rsidRPr="00293B88" w:rsidRDefault="00293B88" w:rsidP="00F15997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7A3913D1" w14:textId="77777777" w:rsidR="009E1376" w:rsidRPr="00A639C4" w:rsidRDefault="009E1376" w:rsidP="00E619F6">
            <w:pPr>
              <w:ind w:left="300" w:hanging="300"/>
              <w:jc w:val="both"/>
              <w:rPr>
                <w:bCs/>
              </w:rPr>
            </w:pPr>
            <w:r w:rsidRPr="00A639C4">
              <w:rPr>
                <w:bCs/>
              </w:rPr>
              <w:t xml:space="preserve">W/w nazwy należy używać na każdym etapie prowadzonego postępowania. </w:t>
            </w:r>
          </w:p>
          <w:p w14:paraId="7ABA3C6C" w14:textId="4A7D4724" w:rsidR="009E1376" w:rsidRPr="00A639C4" w:rsidRDefault="009E1376" w:rsidP="00E619F6">
            <w:pPr>
              <w:ind w:left="34"/>
              <w:jc w:val="both"/>
              <w:rPr>
                <w:bCs/>
              </w:rPr>
            </w:pPr>
            <w:r w:rsidRPr="00A639C4">
              <w:rPr>
                <w:bCs/>
              </w:rPr>
              <w:t xml:space="preserve">Z uwagi na możliwość wpisania ograniczonej liczby znaków w platformie </w:t>
            </w:r>
            <w:r w:rsidR="008E05D4">
              <w:rPr>
                <w:bCs/>
              </w:rPr>
              <w:br/>
            </w:r>
            <w:r w:rsidRPr="00A639C4">
              <w:rPr>
                <w:bCs/>
              </w:rPr>
              <w:t>e-</w:t>
            </w:r>
            <w:r w:rsidR="00A639C4" w:rsidRPr="00A639C4">
              <w:rPr>
                <w:bCs/>
              </w:rPr>
              <w:t>zamówienia nazwa</w:t>
            </w:r>
            <w:r w:rsidRPr="00A639C4">
              <w:rPr>
                <w:bCs/>
              </w:rPr>
              <w:t xml:space="preserve"> zamówienia może się różnić od nazwy użytej w innych dokumentach postępowania.</w:t>
            </w:r>
          </w:p>
          <w:p w14:paraId="0BE56E5C" w14:textId="77777777" w:rsidR="009E1376" w:rsidRPr="00A639C4" w:rsidRDefault="009E1376" w:rsidP="00E619F6">
            <w:pPr>
              <w:tabs>
                <w:tab w:val="left" w:pos="408"/>
              </w:tabs>
              <w:rPr>
                <w:b/>
              </w:rPr>
            </w:pPr>
          </w:p>
        </w:tc>
      </w:tr>
      <w:tr w:rsidR="000A578E" w:rsidRPr="00A639C4" w14:paraId="6EA5BC02" w14:textId="77777777" w:rsidTr="00A639C4">
        <w:tc>
          <w:tcPr>
            <w:tcW w:w="1384" w:type="dxa"/>
            <w:vMerge/>
            <w:shd w:val="clear" w:color="auto" w:fill="auto"/>
          </w:tcPr>
          <w:p w14:paraId="5A0C33ED" w14:textId="77777777" w:rsidR="000A578E" w:rsidRPr="00A639C4" w:rsidRDefault="000A578E" w:rsidP="00E619F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6E66CB94" w14:textId="77777777" w:rsidR="00E619F6" w:rsidRDefault="00E619F6" w:rsidP="00E619F6">
            <w:pPr>
              <w:ind w:left="300" w:hanging="300"/>
              <w:jc w:val="both"/>
              <w:rPr>
                <w:b/>
              </w:rPr>
            </w:pPr>
          </w:p>
          <w:p w14:paraId="4C6456B4" w14:textId="4B96AC8F" w:rsidR="000A578E" w:rsidRDefault="000A578E" w:rsidP="00E619F6">
            <w:pPr>
              <w:ind w:left="300" w:hanging="300"/>
              <w:jc w:val="both"/>
              <w:rPr>
                <w:b/>
              </w:rPr>
            </w:pPr>
            <w:r w:rsidRPr="000E368E">
              <w:rPr>
                <w:b/>
              </w:rPr>
              <w:t>Opis przedmiotu zamówienia</w:t>
            </w:r>
            <w:r>
              <w:rPr>
                <w:b/>
              </w:rPr>
              <w:t>:</w:t>
            </w:r>
          </w:p>
          <w:p w14:paraId="3988F167" w14:textId="77777777" w:rsidR="00871CAB" w:rsidRDefault="00871CAB" w:rsidP="00E619F6">
            <w:pPr>
              <w:ind w:left="300" w:hanging="300"/>
              <w:jc w:val="both"/>
              <w:rPr>
                <w:b/>
              </w:rPr>
            </w:pPr>
          </w:p>
          <w:p w14:paraId="1F973214" w14:textId="09591D27" w:rsidR="00871CAB" w:rsidRPr="00871CAB" w:rsidRDefault="00871CAB" w:rsidP="00FC52EE">
            <w:pPr>
              <w:jc w:val="both"/>
              <w:rPr>
                <w:b/>
              </w:rPr>
            </w:pPr>
            <w:r w:rsidRPr="00871CAB">
              <w:rPr>
                <w:b/>
              </w:rPr>
              <w:t>UTRZYMANIE CZYSTOŚCI W POMIESZCZENIACH BIUROWYCH BUDYNKÓW ADMINISTROWANYCH PRZEZ PODKARPACKI ZARZĄD DRÓG WOJEWÓDZKICH W RZESZOWIE w 2025r</w:t>
            </w:r>
            <w:r w:rsidR="00EE2E67">
              <w:rPr>
                <w:b/>
              </w:rPr>
              <w:t>.</w:t>
            </w:r>
            <w:r w:rsidRPr="00871CAB">
              <w:rPr>
                <w:b/>
              </w:rPr>
              <w:t xml:space="preserve"> - RDW </w:t>
            </w:r>
            <w:r w:rsidR="00EE2E67">
              <w:rPr>
                <w:b/>
              </w:rPr>
              <w:t xml:space="preserve">  </w:t>
            </w:r>
            <w:r w:rsidRPr="00871CAB">
              <w:rPr>
                <w:b/>
              </w:rPr>
              <w:t>Stalow</w:t>
            </w:r>
            <w:r w:rsidR="003D2DF4">
              <w:rPr>
                <w:b/>
              </w:rPr>
              <w:t>a</w:t>
            </w:r>
            <w:r w:rsidRPr="00871CAB">
              <w:rPr>
                <w:b/>
              </w:rPr>
              <w:t xml:space="preserve"> Wol</w:t>
            </w:r>
            <w:r w:rsidR="003D2DF4">
              <w:rPr>
                <w:b/>
              </w:rPr>
              <w:t>a</w:t>
            </w:r>
            <w:r w:rsidR="00FC52EE">
              <w:rPr>
                <w:b/>
              </w:rPr>
              <w:t>.</w:t>
            </w:r>
          </w:p>
          <w:p w14:paraId="55A1D1FC" w14:textId="77777777" w:rsidR="00871CAB" w:rsidRPr="00871CAB" w:rsidRDefault="00871CAB" w:rsidP="00871CAB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</w:rPr>
            </w:pPr>
          </w:p>
          <w:p w14:paraId="0C90C54C" w14:textId="2710DEBE" w:rsidR="000A578E" w:rsidRDefault="000A578E" w:rsidP="00E619F6">
            <w:pPr>
              <w:jc w:val="both"/>
            </w:pPr>
            <w:r>
              <w:t>Opis Przedmiotu Zamówienia</w:t>
            </w:r>
            <w:r w:rsidRPr="007B75D4">
              <w:t xml:space="preserve"> oraz sposób realizacji zamówienia zawiera </w:t>
            </w:r>
            <w:r w:rsidR="002B480D">
              <w:t xml:space="preserve">                                 </w:t>
            </w:r>
            <w:r w:rsidRPr="006D551E">
              <w:rPr>
                <w:b/>
                <w:bCs/>
              </w:rPr>
              <w:t>OPZ</w:t>
            </w:r>
            <w:r w:rsidR="00777783">
              <w:rPr>
                <w:b/>
                <w:bCs/>
              </w:rPr>
              <w:t xml:space="preserve"> </w:t>
            </w:r>
            <w:r w:rsidRPr="007B75D4">
              <w:t>stanowiąc</w:t>
            </w:r>
            <w:r w:rsidR="000C5D0B">
              <w:t>y</w:t>
            </w:r>
            <w:r w:rsidRPr="007B75D4">
              <w:t xml:space="preserve"> </w:t>
            </w:r>
            <w:r>
              <w:rPr>
                <w:b/>
              </w:rPr>
              <w:t xml:space="preserve">Załącznik </w:t>
            </w:r>
            <w:r w:rsidRPr="007B75D4">
              <w:rPr>
                <w:b/>
              </w:rPr>
              <w:t>do SWZ</w:t>
            </w:r>
            <w:r w:rsidRPr="007B75D4">
              <w:t>.</w:t>
            </w:r>
          </w:p>
          <w:p w14:paraId="2130F7F8" w14:textId="55218D0B" w:rsidR="00CC10AD" w:rsidRPr="00A639C4" w:rsidRDefault="00CC10AD" w:rsidP="00E6333B">
            <w:pPr>
              <w:widowControl/>
              <w:autoSpaceDE/>
              <w:autoSpaceDN/>
              <w:adjustRightInd/>
              <w:jc w:val="both"/>
              <w:rPr>
                <w:b/>
              </w:rPr>
            </w:pPr>
          </w:p>
        </w:tc>
      </w:tr>
      <w:tr w:rsidR="00777783" w:rsidRPr="00A639C4" w14:paraId="65569BC4" w14:textId="77777777" w:rsidTr="00A639C4">
        <w:tc>
          <w:tcPr>
            <w:tcW w:w="1384" w:type="dxa"/>
            <w:vMerge/>
            <w:shd w:val="clear" w:color="auto" w:fill="auto"/>
          </w:tcPr>
          <w:p w14:paraId="0E5A35B9" w14:textId="77777777" w:rsidR="00777783" w:rsidRPr="00A639C4" w:rsidRDefault="00777783" w:rsidP="00E619F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35616D41" w14:textId="77777777" w:rsidR="00E619F6" w:rsidRDefault="00E619F6" w:rsidP="00E619F6">
            <w:pPr>
              <w:ind w:left="300" w:hanging="300"/>
              <w:jc w:val="both"/>
              <w:rPr>
                <w:b/>
              </w:rPr>
            </w:pPr>
          </w:p>
          <w:p w14:paraId="5CFF46B7" w14:textId="789CE09A" w:rsidR="00777783" w:rsidRPr="00A639C4" w:rsidRDefault="00777783" w:rsidP="00E619F6">
            <w:pPr>
              <w:ind w:left="300" w:hanging="300"/>
              <w:jc w:val="both"/>
              <w:rPr>
                <w:b/>
              </w:rPr>
            </w:pPr>
            <w:r w:rsidRPr="00A639C4">
              <w:rPr>
                <w:b/>
              </w:rPr>
              <w:t>Oznaczenie wg Wspólnego Słownika Zamówień (CPV)</w:t>
            </w:r>
          </w:p>
          <w:p w14:paraId="63DD0974" w14:textId="77777777" w:rsidR="00871CAB" w:rsidRDefault="00871CAB" w:rsidP="00871CAB">
            <w:pPr>
              <w:tabs>
                <w:tab w:val="left" w:pos="408"/>
              </w:tabs>
              <w:jc w:val="both"/>
              <w:rPr>
                <w:b/>
              </w:rPr>
            </w:pPr>
          </w:p>
          <w:p w14:paraId="4DD79E34" w14:textId="4526008F" w:rsidR="00871CAB" w:rsidRPr="00272F23" w:rsidRDefault="00FE2C9E" w:rsidP="00871CAB">
            <w:pPr>
              <w:tabs>
                <w:tab w:val="left" w:pos="408"/>
              </w:tabs>
              <w:jc w:val="both"/>
              <w:rPr>
                <w:b/>
              </w:rPr>
            </w:pPr>
            <w:hyperlink r:id="rId8" w:history="1">
              <w:r w:rsidR="00871CAB" w:rsidRPr="000756A2">
                <w:rPr>
                  <w:b/>
                </w:rPr>
                <w:t>90910000-9</w:t>
              </w:r>
            </w:hyperlink>
            <w:r w:rsidR="00871CAB" w:rsidRPr="000756A2">
              <w:rPr>
                <w:b/>
              </w:rPr>
              <w:t xml:space="preserve"> </w:t>
            </w:r>
            <w:r w:rsidR="00871CAB">
              <w:rPr>
                <w:b/>
              </w:rPr>
              <w:t xml:space="preserve"> </w:t>
            </w:r>
            <w:r w:rsidR="00871CAB" w:rsidRPr="00E07E50">
              <w:rPr>
                <w:b/>
              </w:rPr>
              <w:t xml:space="preserve">usługi </w:t>
            </w:r>
            <w:r w:rsidR="00871CAB">
              <w:rPr>
                <w:b/>
              </w:rPr>
              <w:t>sprzątania</w:t>
            </w:r>
          </w:p>
          <w:p w14:paraId="35CBC523" w14:textId="0342CE90" w:rsidR="00E6333B" w:rsidRPr="00871CAB" w:rsidRDefault="00E6333B" w:rsidP="00871CAB">
            <w:pPr>
              <w:tabs>
                <w:tab w:val="left" w:pos="408"/>
              </w:tabs>
              <w:jc w:val="both"/>
              <w:rPr>
                <w:b/>
              </w:rPr>
            </w:pPr>
          </w:p>
        </w:tc>
      </w:tr>
      <w:tr w:rsidR="00777783" w:rsidRPr="00A639C4" w14:paraId="3A8A3E00" w14:textId="77777777" w:rsidTr="00A639C4">
        <w:tc>
          <w:tcPr>
            <w:tcW w:w="1384" w:type="dxa"/>
            <w:vMerge/>
            <w:shd w:val="clear" w:color="auto" w:fill="auto"/>
          </w:tcPr>
          <w:p w14:paraId="50BFF663" w14:textId="77777777" w:rsidR="00777783" w:rsidRPr="00A639C4" w:rsidRDefault="00777783" w:rsidP="00E619F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56A55507" w14:textId="77777777" w:rsidR="00E619F6" w:rsidRDefault="00E619F6" w:rsidP="00E619F6">
            <w:pPr>
              <w:ind w:left="300" w:hanging="300"/>
              <w:jc w:val="both"/>
              <w:rPr>
                <w:b/>
              </w:rPr>
            </w:pPr>
          </w:p>
          <w:p w14:paraId="08E1CD76" w14:textId="08C708B2" w:rsidR="00777783" w:rsidRPr="00A639C4" w:rsidRDefault="00777783" w:rsidP="00E619F6">
            <w:pPr>
              <w:ind w:left="300" w:hanging="300"/>
              <w:jc w:val="both"/>
              <w:rPr>
                <w:b/>
              </w:rPr>
            </w:pPr>
            <w:r w:rsidRPr="00A639C4">
              <w:rPr>
                <w:b/>
              </w:rPr>
              <w:t>Sposób realizacji zamówienia</w:t>
            </w:r>
          </w:p>
          <w:p w14:paraId="5993CE9B" w14:textId="77777777" w:rsidR="00777783" w:rsidRDefault="00777783" w:rsidP="00E619F6">
            <w:pPr>
              <w:tabs>
                <w:tab w:val="left" w:pos="408"/>
              </w:tabs>
              <w:jc w:val="both"/>
            </w:pPr>
            <w:r w:rsidRPr="00A639C4">
              <w:t>Realizacja przedmiotu zamówienia musi być zgodna z ofertą i SWZ, w szczególności:</w:t>
            </w:r>
            <w:r>
              <w:t xml:space="preserve"> </w:t>
            </w:r>
          </w:p>
          <w:p w14:paraId="79E0762C" w14:textId="63602B3B" w:rsidR="007607B8" w:rsidRPr="00B07530" w:rsidRDefault="007607B8" w:rsidP="009B3E08">
            <w:pPr>
              <w:pStyle w:val="Akapitzlist"/>
              <w:numPr>
                <w:ilvl w:val="0"/>
                <w:numId w:val="2"/>
              </w:numPr>
              <w:tabs>
                <w:tab w:val="left" w:pos="408"/>
              </w:tabs>
              <w:jc w:val="both"/>
            </w:pPr>
            <w:r w:rsidRPr="00B07530">
              <w:t>Projektowanymi postanowieniami umowy w sprawie zamówienia publicznego,</w:t>
            </w:r>
          </w:p>
          <w:p w14:paraId="332269F9" w14:textId="77777777" w:rsidR="007607B8" w:rsidRPr="00B07530" w:rsidRDefault="007607B8" w:rsidP="009B3E08">
            <w:pPr>
              <w:numPr>
                <w:ilvl w:val="0"/>
                <w:numId w:val="2"/>
              </w:numPr>
              <w:jc w:val="both"/>
            </w:pPr>
            <w:r>
              <w:t>Opisem Przedmiotu Zamówienia</w:t>
            </w:r>
          </w:p>
          <w:p w14:paraId="6F5C1478" w14:textId="524801D9" w:rsidR="008E05D4" w:rsidRPr="00A639C4" w:rsidRDefault="008E05D4" w:rsidP="00E619F6">
            <w:pPr>
              <w:tabs>
                <w:tab w:val="left" w:pos="408"/>
              </w:tabs>
              <w:rPr>
                <w:b/>
              </w:rPr>
            </w:pPr>
          </w:p>
        </w:tc>
      </w:tr>
      <w:tr w:rsidR="00777783" w:rsidRPr="00A639C4" w14:paraId="7D5B7BE2" w14:textId="77777777" w:rsidTr="00A639C4">
        <w:tc>
          <w:tcPr>
            <w:tcW w:w="1384" w:type="dxa"/>
            <w:vMerge/>
            <w:shd w:val="clear" w:color="auto" w:fill="auto"/>
          </w:tcPr>
          <w:p w14:paraId="275DDF89" w14:textId="77777777" w:rsidR="00777783" w:rsidRPr="00A639C4" w:rsidRDefault="00777783" w:rsidP="00E619F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0207EA56" w14:textId="77777777" w:rsidR="00E619F6" w:rsidRDefault="00E619F6" w:rsidP="00E619F6">
            <w:pPr>
              <w:tabs>
                <w:tab w:val="left" w:pos="408"/>
              </w:tabs>
              <w:jc w:val="both"/>
              <w:rPr>
                <w:b/>
              </w:rPr>
            </w:pPr>
          </w:p>
          <w:p w14:paraId="571B31EB" w14:textId="1FBBC882" w:rsidR="00777783" w:rsidRPr="00A639C4" w:rsidRDefault="00777783" w:rsidP="00E619F6">
            <w:pPr>
              <w:tabs>
                <w:tab w:val="left" w:pos="408"/>
              </w:tabs>
              <w:jc w:val="both"/>
              <w:rPr>
                <w:b/>
              </w:rPr>
            </w:pPr>
            <w:r w:rsidRPr="00A639C4">
              <w:rPr>
                <w:b/>
              </w:rPr>
              <w:t>Okres gwarancji i rękojmi za wady</w:t>
            </w:r>
          </w:p>
          <w:p w14:paraId="6EF7236F" w14:textId="7540EC5E" w:rsidR="00777783" w:rsidRDefault="00F45267" w:rsidP="00E619F6">
            <w:pPr>
              <w:ind w:left="300" w:hanging="300"/>
              <w:jc w:val="both"/>
              <w:rPr>
                <w:b/>
              </w:rPr>
            </w:pPr>
            <w:r>
              <w:rPr>
                <w:b/>
              </w:rPr>
              <w:t xml:space="preserve">- </w:t>
            </w:r>
            <w:r w:rsidR="00F012BF">
              <w:rPr>
                <w:b/>
              </w:rPr>
              <w:t>Nie dotyczy</w:t>
            </w:r>
          </w:p>
          <w:p w14:paraId="57554596" w14:textId="079182CB" w:rsidR="00925D57" w:rsidRPr="00A639C4" w:rsidRDefault="00925D57" w:rsidP="00FC52EE">
            <w:pPr>
              <w:jc w:val="both"/>
              <w:rPr>
                <w:b/>
              </w:rPr>
            </w:pPr>
          </w:p>
        </w:tc>
      </w:tr>
      <w:tr w:rsidR="00777783" w:rsidRPr="00A639C4" w14:paraId="65A68816" w14:textId="77777777" w:rsidTr="00A639C4">
        <w:tc>
          <w:tcPr>
            <w:tcW w:w="1384" w:type="dxa"/>
            <w:vMerge/>
            <w:shd w:val="clear" w:color="auto" w:fill="auto"/>
          </w:tcPr>
          <w:p w14:paraId="15B37764" w14:textId="77777777" w:rsidR="00777783" w:rsidRPr="00A639C4" w:rsidRDefault="00777783" w:rsidP="00E619F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47DB638F" w14:textId="77777777" w:rsidR="00E619F6" w:rsidRPr="00F012BF" w:rsidRDefault="00E619F6" w:rsidP="00E619F6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Calibri"/>
                <w:b/>
                <w:strike/>
                <w:lang w:eastAsia="en-US"/>
              </w:rPr>
            </w:pPr>
          </w:p>
          <w:p w14:paraId="4B799091" w14:textId="04B5A72F" w:rsidR="00777783" w:rsidRPr="00EF7A13" w:rsidRDefault="00777783" w:rsidP="00E619F6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EF7A13">
              <w:rPr>
                <w:rFonts w:eastAsia="Calibri"/>
                <w:b/>
                <w:lang w:eastAsia="en-US"/>
              </w:rPr>
              <w:t xml:space="preserve">Kwota, jaką Zamawiający zamierza przeznaczyć na sfinansowanie zamówienia </w:t>
            </w:r>
          </w:p>
          <w:p w14:paraId="11ABE45E" w14:textId="77777777" w:rsidR="00777783" w:rsidRPr="00EF7A13" w:rsidRDefault="00777783" w:rsidP="00E619F6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Calibri"/>
                <w:bCs/>
                <w:lang w:eastAsia="en-US"/>
              </w:rPr>
            </w:pPr>
            <w:r w:rsidRPr="00EF7A13">
              <w:rPr>
                <w:rFonts w:eastAsia="Calibri"/>
                <w:bCs/>
                <w:lang w:eastAsia="en-US"/>
              </w:rPr>
              <w:t xml:space="preserve">Na podstawie art.  222 ust.  4. </w:t>
            </w:r>
            <w:proofErr w:type="spellStart"/>
            <w:r w:rsidRPr="00EF7A13">
              <w:rPr>
                <w:rFonts w:eastAsia="Calibri"/>
                <w:bCs/>
                <w:lang w:eastAsia="en-US"/>
              </w:rPr>
              <w:t>Pzp</w:t>
            </w:r>
            <w:proofErr w:type="spellEnd"/>
            <w:r w:rsidRPr="00EF7A13">
              <w:rPr>
                <w:rFonts w:eastAsia="Calibri"/>
                <w:bCs/>
                <w:lang w:eastAsia="en-US"/>
              </w:rPr>
              <w:t xml:space="preserve"> Zamawiający, najpóźniej przed otwarciem ofert, udostępnia na stronie internetowej prowadzonego postępowania informację o kwocie, jaką zamierza przeznaczyć na sfinansowanie zamówienia.</w:t>
            </w:r>
          </w:p>
          <w:p w14:paraId="20F80362" w14:textId="7C5A4FEE" w:rsidR="00CC10AD" w:rsidRPr="00F012BF" w:rsidRDefault="00CC10AD" w:rsidP="00871CAB">
            <w:pPr>
              <w:tabs>
                <w:tab w:val="left" w:pos="408"/>
              </w:tabs>
              <w:jc w:val="both"/>
              <w:rPr>
                <w:b/>
                <w:strike/>
              </w:rPr>
            </w:pPr>
          </w:p>
        </w:tc>
      </w:tr>
      <w:tr w:rsidR="009E1376" w:rsidRPr="00A639C4" w14:paraId="6C209C93" w14:textId="77777777" w:rsidTr="00A639C4">
        <w:tc>
          <w:tcPr>
            <w:tcW w:w="1384" w:type="dxa"/>
            <w:vMerge/>
            <w:shd w:val="clear" w:color="auto" w:fill="auto"/>
          </w:tcPr>
          <w:p w14:paraId="24FD1466" w14:textId="77777777" w:rsidR="009E1376" w:rsidRPr="00A639C4" w:rsidRDefault="009E1376" w:rsidP="00E619F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4CAB8A9D" w14:textId="77777777" w:rsidR="00E619F6" w:rsidRDefault="00E619F6" w:rsidP="00E619F6">
            <w:pPr>
              <w:tabs>
                <w:tab w:val="left" w:pos="408"/>
              </w:tabs>
              <w:jc w:val="both"/>
              <w:rPr>
                <w:b/>
                <w:bCs/>
              </w:rPr>
            </w:pPr>
          </w:p>
          <w:p w14:paraId="4C6AFAFF" w14:textId="72A1E4BC" w:rsidR="009E1376" w:rsidRPr="00A639C4" w:rsidRDefault="009E1376" w:rsidP="00E619F6">
            <w:pPr>
              <w:tabs>
                <w:tab w:val="left" w:pos="408"/>
              </w:tabs>
              <w:jc w:val="both"/>
              <w:rPr>
                <w:b/>
                <w:bCs/>
                <w:color w:val="000000"/>
              </w:rPr>
            </w:pPr>
            <w:r w:rsidRPr="00A639C4">
              <w:rPr>
                <w:b/>
                <w:bCs/>
              </w:rPr>
              <w:t xml:space="preserve">Realizacja obowiązków wynikających z </w:t>
            </w:r>
            <w:r w:rsidRPr="00A639C4">
              <w:rPr>
                <w:b/>
                <w:bCs/>
                <w:color w:val="000000"/>
              </w:rPr>
              <w:t xml:space="preserve">Ustawy z dnia 11 stycznia 2018r. </w:t>
            </w:r>
            <w:r w:rsidR="00A14FF0">
              <w:rPr>
                <w:b/>
                <w:bCs/>
                <w:color w:val="000000"/>
              </w:rPr>
              <w:br/>
            </w:r>
            <w:r w:rsidRPr="00A639C4">
              <w:rPr>
                <w:b/>
                <w:bCs/>
                <w:color w:val="000000"/>
              </w:rPr>
              <w:t xml:space="preserve">o </w:t>
            </w:r>
            <w:proofErr w:type="spellStart"/>
            <w:r w:rsidRPr="00A639C4">
              <w:rPr>
                <w:b/>
                <w:bCs/>
                <w:color w:val="000000"/>
              </w:rPr>
              <w:t>elektromobilności</w:t>
            </w:r>
            <w:proofErr w:type="spellEnd"/>
            <w:r w:rsidRPr="00A639C4">
              <w:rPr>
                <w:b/>
                <w:bCs/>
                <w:color w:val="000000"/>
              </w:rPr>
              <w:t xml:space="preserve"> i paliwach alternatywnych.</w:t>
            </w:r>
          </w:p>
          <w:p w14:paraId="3F2BE360" w14:textId="77777777" w:rsidR="009E1376" w:rsidRPr="00A639C4" w:rsidRDefault="009E1376" w:rsidP="00E619F6">
            <w:pPr>
              <w:tabs>
                <w:tab w:val="left" w:pos="408"/>
              </w:tabs>
              <w:jc w:val="both"/>
              <w:rPr>
                <w:b/>
                <w:bCs/>
              </w:rPr>
            </w:pPr>
          </w:p>
          <w:p w14:paraId="11BEB272" w14:textId="3616E5FE" w:rsidR="009E1376" w:rsidRPr="00A639C4" w:rsidRDefault="009E1376" w:rsidP="00E619F6">
            <w:pPr>
              <w:tabs>
                <w:tab w:val="right" w:pos="9354"/>
              </w:tabs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Zgodnie z art. 68 ust. 3 Ustawy z dnia 11 stycznia 2018r. o </w:t>
            </w:r>
            <w:proofErr w:type="spellStart"/>
            <w:r w:rsidRPr="00A639C4">
              <w:rPr>
                <w:color w:val="000000"/>
              </w:rPr>
              <w:t>elektromobilności</w:t>
            </w:r>
            <w:proofErr w:type="spellEnd"/>
            <w:r w:rsidRPr="00A639C4">
              <w:rPr>
                <w:color w:val="000000"/>
              </w:rPr>
              <w:t xml:space="preserve"> </w:t>
            </w:r>
            <w:r w:rsidR="00A14FF0">
              <w:rPr>
                <w:color w:val="000000"/>
              </w:rPr>
              <w:br/>
            </w:r>
            <w:r w:rsidRPr="00A639C4">
              <w:rPr>
                <w:color w:val="000000"/>
              </w:rPr>
              <w:t xml:space="preserve">i paliwach alternatywnych </w:t>
            </w:r>
            <w:r w:rsidRPr="00A639C4">
              <w:rPr>
                <w:b/>
                <w:bCs/>
                <w:color w:val="000000"/>
              </w:rPr>
              <w:t>Zamawiający od dnia 1 stycznia 2022 r. wykonuje, zleca lub powierza wykonywanie zadań publicznych, podmiotom, których łączny udział pojazdów elektrycznych lub pojazdów napędzanych gazem ziemnym we flocie pojazdów samochodowych w rozumieniu art. 2 pkt 33 ustawy z dnia 20 czerwca 1997 r. - Prawo o ruchu drogowym używanych przy wykonywaniu tego zadania będzie wynosił co najmniej 10%</w:t>
            </w:r>
          </w:p>
          <w:p w14:paraId="5BD06759" w14:textId="77777777" w:rsidR="009E1376" w:rsidRPr="00A639C4" w:rsidRDefault="009E1376" w:rsidP="00E619F6">
            <w:pPr>
              <w:tabs>
                <w:tab w:val="right" w:pos="9354"/>
              </w:tabs>
              <w:rPr>
                <w:color w:val="000000"/>
              </w:rPr>
            </w:pPr>
          </w:p>
          <w:p w14:paraId="6519BA6A" w14:textId="7867A3C9" w:rsidR="009E1376" w:rsidRPr="00A639C4" w:rsidRDefault="009E1376" w:rsidP="00E619F6">
            <w:pPr>
              <w:tabs>
                <w:tab w:val="right" w:pos="9354"/>
              </w:tabs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W związku z tym Wykonawca zobowiązany jest do dostosowania się do wymagań wynikających z przepisów w/w ustawy o </w:t>
            </w:r>
            <w:proofErr w:type="spellStart"/>
            <w:r w:rsidRPr="00A639C4">
              <w:rPr>
                <w:color w:val="000000"/>
              </w:rPr>
              <w:t>elektromobilności</w:t>
            </w:r>
            <w:proofErr w:type="spellEnd"/>
            <w:r w:rsidRPr="00A639C4">
              <w:rPr>
                <w:color w:val="000000"/>
              </w:rPr>
              <w:t xml:space="preserve"> i paliwach alternatywnych. Wykonawca zobowiązany jest do zapewnienia udziału pojazdów elektrycznych lub pojazdów napędzanych gazem </w:t>
            </w:r>
            <w:r w:rsidR="00D101E2" w:rsidRPr="00A639C4">
              <w:rPr>
                <w:color w:val="000000"/>
              </w:rPr>
              <w:t>ziemnym we</w:t>
            </w:r>
            <w:r w:rsidRPr="00A639C4">
              <w:rPr>
                <w:color w:val="000000"/>
              </w:rPr>
              <w:t xml:space="preserve"> flocie użytkowanych pojazdów przy wykonywaniu przedmiotowego zamówienia w sposób zgodny z art. 68 ust. 3 ustawy o </w:t>
            </w:r>
            <w:proofErr w:type="spellStart"/>
            <w:r w:rsidRPr="00A639C4">
              <w:rPr>
                <w:color w:val="000000"/>
              </w:rPr>
              <w:t>elektromobilności</w:t>
            </w:r>
            <w:proofErr w:type="spellEnd"/>
            <w:r w:rsidRPr="00A639C4">
              <w:rPr>
                <w:color w:val="000000"/>
              </w:rPr>
              <w:t xml:space="preserve"> i paliwach alternatywnych.</w:t>
            </w:r>
          </w:p>
          <w:p w14:paraId="271162BB" w14:textId="77777777" w:rsidR="009E1376" w:rsidRPr="00A639C4" w:rsidRDefault="009E1376" w:rsidP="00E619F6">
            <w:pPr>
              <w:tabs>
                <w:tab w:val="right" w:pos="9354"/>
              </w:tabs>
              <w:rPr>
                <w:color w:val="000000"/>
              </w:rPr>
            </w:pPr>
            <w:r w:rsidRPr="00A639C4">
              <w:rPr>
                <w:color w:val="000000"/>
              </w:rPr>
              <w:t xml:space="preserve">Zastosowanie mają zwłaszcza: </w:t>
            </w:r>
          </w:p>
          <w:p w14:paraId="61055AD3" w14:textId="0AF0D0CF" w:rsidR="009E1376" w:rsidRPr="00A639C4" w:rsidRDefault="00A639C4" w:rsidP="00E619F6">
            <w:pPr>
              <w:tabs>
                <w:tab w:val="right" w:pos="9354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9E1376" w:rsidRPr="00A639C4">
              <w:rPr>
                <w:color w:val="000000"/>
              </w:rPr>
              <w:t xml:space="preserve">art. 35 ust. 2 pkt 1 ,art. 36 a, art. 68 ust. 3 , art. 76 Ustawy z dnia 11 stycznia 2018 r. o </w:t>
            </w:r>
            <w:proofErr w:type="spellStart"/>
            <w:r w:rsidR="009E1376" w:rsidRPr="00A639C4">
              <w:rPr>
                <w:color w:val="000000"/>
              </w:rPr>
              <w:t>elektromobilności</w:t>
            </w:r>
            <w:proofErr w:type="spellEnd"/>
            <w:r w:rsidR="009E1376" w:rsidRPr="00A639C4">
              <w:rPr>
                <w:color w:val="000000"/>
              </w:rPr>
              <w:t xml:space="preserve"> i paliwach alternatywnych</w:t>
            </w:r>
          </w:p>
          <w:p w14:paraId="257A4804" w14:textId="53875BB5" w:rsidR="009E1376" w:rsidRPr="00A639C4" w:rsidRDefault="00A639C4" w:rsidP="00E619F6">
            <w:pPr>
              <w:tabs>
                <w:tab w:val="right" w:pos="9354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9E1376" w:rsidRPr="00A639C4">
              <w:rPr>
                <w:color w:val="000000"/>
              </w:rPr>
              <w:t>art. 14 ust.1 Ustawy z dnia 5 czerwca 1998 r. o samorządzie województwa</w:t>
            </w:r>
          </w:p>
          <w:p w14:paraId="5F29827D" w14:textId="0AD605AD" w:rsidR="009E1376" w:rsidRPr="00A639C4" w:rsidRDefault="00A639C4" w:rsidP="00E619F6">
            <w:pPr>
              <w:tabs>
                <w:tab w:val="right" w:pos="9354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9E1376" w:rsidRPr="00A639C4">
              <w:rPr>
                <w:color w:val="000000"/>
              </w:rPr>
              <w:t>art. 2 pkt 33 ustawy z dnia 20 czerwca 1997 r. - Prawo o ruchu drogowym</w:t>
            </w:r>
          </w:p>
          <w:p w14:paraId="567FE8B9" w14:textId="77777777" w:rsidR="009E1376" w:rsidRPr="00A639C4" w:rsidRDefault="009E1376" w:rsidP="00E619F6">
            <w:pPr>
              <w:tabs>
                <w:tab w:val="left" w:pos="408"/>
              </w:tabs>
              <w:jc w:val="both"/>
            </w:pPr>
            <w:bookmarkStart w:id="0" w:name="_Hlk92972944"/>
          </w:p>
          <w:p w14:paraId="5C1F1B2E" w14:textId="77777777" w:rsidR="00A639C4" w:rsidRDefault="009E1376" w:rsidP="00E619F6">
            <w:pPr>
              <w:tabs>
                <w:tab w:val="left" w:pos="408"/>
              </w:tabs>
              <w:jc w:val="both"/>
            </w:pPr>
            <w:r w:rsidRPr="00A639C4">
              <w:t xml:space="preserve">Udział pojazdów, o którym mowa w art. 34-36, art. 68 i art. 68a </w:t>
            </w:r>
            <w:r w:rsidRPr="00A639C4">
              <w:rPr>
                <w:color w:val="000000"/>
              </w:rPr>
              <w:t xml:space="preserve">ustawy </w:t>
            </w:r>
            <w:r w:rsidR="00A14FF0">
              <w:rPr>
                <w:color w:val="000000"/>
              </w:rPr>
              <w:br/>
            </w:r>
            <w:r w:rsidRPr="00A639C4">
              <w:rPr>
                <w:color w:val="000000"/>
              </w:rPr>
              <w:t xml:space="preserve">o </w:t>
            </w:r>
            <w:proofErr w:type="spellStart"/>
            <w:r w:rsidRPr="00A639C4">
              <w:rPr>
                <w:color w:val="000000"/>
              </w:rPr>
              <w:t>elektromobilności</w:t>
            </w:r>
            <w:proofErr w:type="spellEnd"/>
            <w:r w:rsidRPr="00A639C4">
              <w:rPr>
                <w:color w:val="000000"/>
              </w:rPr>
              <w:t xml:space="preserve"> i paliwach alternatywnych</w:t>
            </w:r>
            <w:r w:rsidRPr="00A639C4">
              <w:t xml:space="preserve"> oblicza się, stosując zasadę, zgodnie </w:t>
            </w:r>
            <w:r w:rsidR="00A14FF0">
              <w:br/>
            </w:r>
            <w:r w:rsidRPr="00A639C4">
              <w:t>z którą wielkość tego udziału poniżej 0,5 zaokrągla się w dół, a wielkość tego udziału 0,5 i powyżej zaokrągla się w górę.</w:t>
            </w:r>
            <w:bookmarkEnd w:id="0"/>
          </w:p>
          <w:p w14:paraId="1C044D92" w14:textId="6BF17E60" w:rsidR="008E05D4" w:rsidRPr="00E619F6" w:rsidRDefault="008E05D4" w:rsidP="00E619F6">
            <w:pPr>
              <w:tabs>
                <w:tab w:val="left" w:pos="408"/>
              </w:tabs>
              <w:jc w:val="both"/>
            </w:pPr>
          </w:p>
        </w:tc>
      </w:tr>
      <w:tr w:rsidR="009E1376" w:rsidRPr="00A639C4" w14:paraId="1A817A04" w14:textId="77777777" w:rsidTr="00A639C4">
        <w:tc>
          <w:tcPr>
            <w:tcW w:w="1384" w:type="dxa"/>
            <w:vMerge/>
            <w:shd w:val="clear" w:color="auto" w:fill="auto"/>
          </w:tcPr>
          <w:p w14:paraId="00AD4B69" w14:textId="77777777" w:rsidR="009E1376" w:rsidRPr="00A639C4" w:rsidRDefault="009E1376" w:rsidP="00E619F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65A94B88" w14:textId="77777777" w:rsidR="00EF7A13" w:rsidRDefault="00EF7A13" w:rsidP="00E619F6">
            <w:pPr>
              <w:tabs>
                <w:tab w:val="left" w:pos="408"/>
              </w:tabs>
              <w:jc w:val="both"/>
              <w:rPr>
                <w:b/>
                <w:bCs/>
              </w:rPr>
            </w:pPr>
          </w:p>
          <w:p w14:paraId="5FDDE85E" w14:textId="33ECA28E" w:rsidR="009E1376" w:rsidRPr="00A639C4" w:rsidRDefault="009E1376" w:rsidP="00E619F6">
            <w:pPr>
              <w:tabs>
                <w:tab w:val="left" w:pos="408"/>
              </w:tabs>
              <w:jc w:val="both"/>
              <w:rPr>
                <w:b/>
                <w:bCs/>
              </w:rPr>
            </w:pPr>
            <w:r w:rsidRPr="00A639C4">
              <w:rPr>
                <w:b/>
                <w:bCs/>
              </w:rPr>
              <w:t>Organizacja ruchu</w:t>
            </w:r>
            <w:r w:rsidR="00871CAB">
              <w:rPr>
                <w:b/>
                <w:bCs/>
              </w:rPr>
              <w:t xml:space="preserve"> </w:t>
            </w:r>
            <w:r w:rsidR="007E2CFE">
              <w:rPr>
                <w:b/>
                <w:bCs/>
              </w:rPr>
              <w:t xml:space="preserve">- </w:t>
            </w:r>
            <w:r w:rsidR="00871CAB">
              <w:rPr>
                <w:b/>
                <w:bCs/>
              </w:rPr>
              <w:t>nie doty</w:t>
            </w:r>
            <w:r w:rsidR="007E2CFE">
              <w:rPr>
                <w:b/>
                <w:bCs/>
              </w:rPr>
              <w:t>czy</w:t>
            </w:r>
          </w:p>
          <w:p w14:paraId="1332AF73" w14:textId="77777777" w:rsidR="00CC10AD" w:rsidRPr="00A639C4" w:rsidRDefault="00CC10AD" w:rsidP="00E619F6">
            <w:pPr>
              <w:tabs>
                <w:tab w:val="left" w:pos="408"/>
              </w:tabs>
              <w:jc w:val="both"/>
              <w:rPr>
                <w:b/>
                <w:bCs/>
              </w:rPr>
            </w:pPr>
          </w:p>
        </w:tc>
      </w:tr>
      <w:tr w:rsidR="009E1376" w:rsidRPr="00A639C4" w14:paraId="1D1D1909" w14:textId="77777777" w:rsidTr="00A639C4">
        <w:tc>
          <w:tcPr>
            <w:tcW w:w="1384" w:type="dxa"/>
            <w:vMerge/>
            <w:shd w:val="clear" w:color="auto" w:fill="auto"/>
          </w:tcPr>
          <w:p w14:paraId="3263727A" w14:textId="77777777" w:rsidR="009E1376" w:rsidRPr="00A639C4" w:rsidRDefault="009E1376" w:rsidP="00E619F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0B1FC49E" w14:textId="38E6BD8D" w:rsidR="009E1376" w:rsidRPr="00A639C4" w:rsidRDefault="009E1376" w:rsidP="00E619F6">
            <w:pPr>
              <w:tabs>
                <w:tab w:val="left" w:pos="408"/>
              </w:tabs>
              <w:jc w:val="both"/>
              <w:rPr>
                <w:b/>
                <w:bCs/>
              </w:rPr>
            </w:pPr>
            <w:r w:rsidRPr="00A639C4">
              <w:rPr>
                <w:b/>
                <w:bCs/>
              </w:rPr>
              <w:t>Równoważność</w:t>
            </w:r>
          </w:p>
          <w:p w14:paraId="4B3890CD" w14:textId="4113F8FB" w:rsidR="009E1376" w:rsidRPr="00A639C4" w:rsidRDefault="009E1376" w:rsidP="00E619F6">
            <w:pPr>
              <w:tabs>
                <w:tab w:val="left" w:pos="408"/>
              </w:tabs>
              <w:jc w:val="both"/>
            </w:pPr>
            <w:r w:rsidRPr="00A639C4">
              <w:t xml:space="preserve">Tam, gdzie w SWZ zostało wskazane pochodzenie (marka, znak towarowy, producent, dostawca) materiałów lub normy, aprobaty, specyfikacje i systemy, Zamawiający dopuszcza oferowanie materiałów lub rozwiązań równoważnych pod warunkiem, </w:t>
            </w:r>
            <w:r w:rsidR="00EF7AC2">
              <w:t xml:space="preserve">                    </w:t>
            </w:r>
            <w:r w:rsidRPr="00A639C4">
              <w:t xml:space="preserve">że zagwarantują one realizację przedmiotu zamówienia zgodnie z SWZ oraz zapewnią uzyskanie parametrów technicznych nie gorszych od założonych </w:t>
            </w:r>
            <w:r w:rsidR="00A639C4">
              <w:br/>
            </w:r>
            <w:r w:rsidRPr="00A639C4">
              <w:t>w wyżej wymienionych dokumentach.</w:t>
            </w:r>
          </w:p>
          <w:p w14:paraId="5417F5F1" w14:textId="55ED0C37" w:rsidR="009E1376" w:rsidRPr="00A639C4" w:rsidRDefault="009E1376" w:rsidP="00E619F6">
            <w:pPr>
              <w:jc w:val="both"/>
              <w:rPr>
                <w:color w:val="000000"/>
              </w:rPr>
            </w:pPr>
            <w:r w:rsidRPr="00A639C4">
              <w:rPr>
                <w:b/>
                <w:color w:val="000000"/>
              </w:rPr>
              <w:t>Każdemu odwołaniu do</w:t>
            </w:r>
            <w:r w:rsidRPr="000D5B40">
              <w:rPr>
                <w:b/>
              </w:rPr>
              <w:t xml:space="preserve"> </w:t>
            </w:r>
            <w:r w:rsidRPr="008F6691">
              <w:rPr>
                <w:b/>
                <w:color w:val="000000"/>
              </w:rPr>
              <w:t>norm</w:t>
            </w:r>
            <w:r w:rsidR="000D5B40" w:rsidRPr="008F6691">
              <w:rPr>
                <w:b/>
                <w:color w:val="000000"/>
              </w:rPr>
              <w:t xml:space="preserve"> </w:t>
            </w:r>
            <w:r w:rsidRPr="008F6691">
              <w:rPr>
                <w:b/>
                <w:color w:val="000000"/>
              </w:rPr>
              <w:t>przywołanych</w:t>
            </w:r>
            <w:r w:rsidRPr="00A639C4">
              <w:rPr>
                <w:b/>
                <w:color w:val="000000"/>
              </w:rPr>
              <w:t xml:space="preserve"> w niniejszej SWZ </w:t>
            </w:r>
            <w:r w:rsidR="00EF7AC2">
              <w:rPr>
                <w:b/>
                <w:color w:val="000000"/>
              </w:rPr>
              <w:t xml:space="preserve">                                           </w:t>
            </w:r>
            <w:r w:rsidRPr="00A639C4">
              <w:rPr>
                <w:b/>
                <w:color w:val="000000"/>
              </w:rPr>
              <w:t>wraz z załącznikami towarzyszy zwrot: „lub równoważne”.</w:t>
            </w:r>
          </w:p>
          <w:p w14:paraId="35E222DE" w14:textId="01FA8ECC" w:rsidR="00E619F6" w:rsidRDefault="009E1376" w:rsidP="00E619F6">
            <w:pPr>
              <w:tabs>
                <w:tab w:val="left" w:pos="408"/>
              </w:tabs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Nazwy własne użyte w opisie przedmiotu zamówienia, określające typ produktu </w:t>
            </w:r>
            <w:r w:rsidR="00EF7AC2">
              <w:rPr>
                <w:color w:val="000000"/>
              </w:rPr>
              <w:t xml:space="preserve">                    </w:t>
            </w:r>
            <w:r w:rsidRPr="00A639C4">
              <w:rPr>
                <w:color w:val="000000"/>
              </w:rPr>
              <w:t xml:space="preserve">lub producenta, zostały podane przykładowo w celu określenia minimalnych oczekiwanych parametrów jakościowych funkcjonalnych i użytkowych produktu. Wykonawca oferując przedmiot równoważny do opisanego w SWZ jest zobowiązany zachować równoważność w zakresie parametrów </w:t>
            </w:r>
            <w:r w:rsidR="0006539D" w:rsidRPr="00A639C4">
              <w:rPr>
                <w:color w:val="000000"/>
              </w:rPr>
              <w:t>jakościowych,</w:t>
            </w:r>
            <w:r w:rsidRPr="00A639C4">
              <w:rPr>
                <w:color w:val="000000"/>
              </w:rPr>
              <w:t xml:space="preserve"> użytkowych </w:t>
            </w:r>
            <w:r w:rsidR="00A639C4">
              <w:rPr>
                <w:color w:val="000000"/>
              </w:rPr>
              <w:br/>
            </w:r>
            <w:r w:rsidRPr="00A639C4">
              <w:rPr>
                <w:color w:val="000000"/>
              </w:rPr>
              <w:t xml:space="preserve">i funkcjonalnych, które muszą być na poziomie nie niższym od wskazanych przez Zamawiającego. W takim przypadku Wykonawca zobowiązany jest przedstawić wraz z ofertą jego szczegółowy opis/specyfikację, z których w sposób niebudzący wątpliwości Zamawiającego powinno wynikać, że oferowany produkt ma nie gorsze parametry jakościowe, funkcjonalne oraz użytkowe, niż określony przez Zamawiającego.  </w:t>
            </w:r>
          </w:p>
          <w:p w14:paraId="66F31241" w14:textId="77777777" w:rsidR="00CC10AD" w:rsidRDefault="00CC10AD" w:rsidP="00E619F6">
            <w:pPr>
              <w:tabs>
                <w:tab w:val="left" w:pos="408"/>
              </w:tabs>
              <w:jc w:val="both"/>
              <w:rPr>
                <w:color w:val="000000"/>
              </w:rPr>
            </w:pPr>
          </w:p>
          <w:p w14:paraId="2C2B886A" w14:textId="51ECD232" w:rsidR="00EE2E67" w:rsidRPr="00A75A6F" w:rsidRDefault="00EE2E67" w:rsidP="00E619F6">
            <w:pPr>
              <w:tabs>
                <w:tab w:val="left" w:pos="408"/>
              </w:tabs>
              <w:jc w:val="both"/>
              <w:rPr>
                <w:color w:val="000000"/>
              </w:rPr>
            </w:pPr>
          </w:p>
        </w:tc>
      </w:tr>
      <w:tr w:rsidR="00265C7D" w:rsidRPr="00A639C4" w14:paraId="74E3F54E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51F189A6" w14:textId="6CBD9CE1" w:rsidR="00265C7D" w:rsidRPr="00A639C4" w:rsidRDefault="00265C7D" w:rsidP="00E619F6">
            <w:pPr>
              <w:tabs>
                <w:tab w:val="left" w:pos="408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3.1</w:t>
            </w:r>
            <w:r w:rsidR="002B7221">
              <w:rPr>
                <w:b/>
              </w:rPr>
              <w:t xml:space="preserve">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3A3A97F2" w14:textId="4CE2F9B9" w:rsidR="00265C7D" w:rsidRPr="00A639C4" w:rsidRDefault="00265C7D" w:rsidP="00E619F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Pr="00265C7D">
              <w:rPr>
                <w:b/>
                <w:bCs/>
              </w:rPr>
              <w:t>ożliwość negocjacji</w:t>
            </w:r>
          </w:p>
        </w:tc>
      </w:tr>
      <w:tr w:rsidR="00265C7D" w:rsidRPr="00A639C4" w14:paraId="56C45A99" w14:textId="77777777" w:rsidTr="00265C7D">
        <w:tc>
          <w:tcPr>
            <w:tcW w:w="1384" w:type="dxa"/>
            <w:shd w:val="clear" w:color="auto" w:fill="auto"/>
          </w:tcPr>
          <w:p w14:paraId="281CC30D" w14:textId="77777777" w:rsidR="00265C7D" w:rsidRPr="00A639C4" w:rsidRDefault="00265C7D" w:rsidP="00E619F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1DBD8A6E" w14:textId="77777777" w:rsidR="00E619F6" w:rsidRDefault="00E619F6" w:rsidP="00E619F6">
            <w:pPr>
              <w:jc w:val="both"/>
            </w:pPr>
          </w:p>
          <w:p w14:paraId="499FF639" w14:textId="3A0CF270" w:rsidR="00265C7D" w:rsidRDefault="00265C7D" w:rsidP="00E619F6">
            <w:pPr>
              <w:jc w:val="both"/>
            </w:pPr>
            <w:r>
              <w:t>Zamawiający przewiduje możliwość prowadzenia negocjacji w celu ulepszenia treści ofert, które podlegają ocenie w ramach kryteriów oceny ofert tj.:</w:t>
            </w:r>
          </w:p>
          <w:p w14:paraId="0A90D528" w14:textId="77777777" w:rsidR="00265C7D" w:rsidRDefault="00265C7D" w:rsidP="009B3E08">
            <w:pPr>
              <w:pStyle w:val="Akapitzlist"/>
              <w:numPr>
                <w:ilvl w:val="0"/>
                <w:numId w:val="6"/>
              </w:numPr>
              <w:jc w:val="both"/>
            </w:pPr>
            <w:r>
              <w:t xml:space="preserve">cena </w:t>
            </w:r>
          </w:p>
          <w:p w14:paraId="72739266" w14:textId="593E4F9A" w:rsidR="008E05D4" w:rsidRPr="000A578E" w:rsidRDefault="008E05D4" w:rsidP="008E05D4">
            <w:pPr>
              <w:pStyle w:val="Akapitzlist"/>
              <w:ind w:left="720"/>
              <w:jc w:val="both"/>
            </w:pPr>
          </w:p>
        </w:tc>
      </w:tr>
      <w:tr w:rsidR="009E1376" w:rsidRPr="00A639C4" w14:paraId="67762414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7A6F6403" w14:textId="5C478B20" w:rsidR="009E1376" w:rsidRPr="00A639C4" w:rsidRDefault="009E1376" w:rsidP="00E619F6">
            <w:pPr>
              <w:tabs>
                <w:tab w:val="left" w:pos="408"/>
              </w:tabs>
              <w:jc w:val="center"/>
              <w:rPr>
                <w:b/>
              </w:rPr>
            </w:pPr>
            <w:bookmarkStart w:id="1" w:name="_Hlk123634923"/>
            <w:r w:rsidRPr="00A639C4">
              <w:rPr>
                <w:b/>
              </w:rPr>
              <w:t>Pkt 3.8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1E5CC173" w14:textId="19389242" w:rsidR="009E1376" w:rsidRPr="00A639C4" w:rsidRDefault="009E1376" w:rsidP="00E619F6">
            <w:pPr>
              <w:jc w:val="both"/>
              <w:rPr>
                <w:b/>
                <w:bCs/>
              </w:rPr>
            </w:pPr>
            <w:r w:rsidRPr="00A639C4">
              <w:rPr>
                <w:b/>
                <w:bCs/>
              </w:rPr>
              <w:t>Prawo opcji</w:t>
            </w:r>
            <w:r w:rsidRPr="00A639C4">
              <w:rPr>
                <w:bCs/>
              </w:rPr>
              <w:t xml:space="preserve"> </w:t>
            </w:r>
            <w:r w:rsidRPr="00A639C4">
              <w:rPr>
                <w:b/>
                <w:bCs/>
              </w:rPr>
              <w:t xml:space="preserve">zgodnie z art. 441 ust.1 </w:t>
            </w:r>
            <w:proofErr w:type="spellStart"/>
            <w:r w:rsidRPr="00A639C4">
              <w:rPr>
                <w:b/>
                <w:bCs/>
              </w:rPr>
              <w:t>Pzp</w:t>
            </w:r>
            <w:proofErr w:type="spellEnd"/>
          </w:p>
        </w:tc>
      </w:tr>
      <w:bookmarkEnd w:id="1"/>
      <w:tr w:rsidR="00E6333B" w:rsidRPr="00A639C4" w14:paraId="2727A62A" w14:textId="77777777" w:rsidTr="00A639C4">
        <w:tc>
          <w:tcPr>
            <w:tcW w:w="1384" w:type="dxa"/>
            <w:shd w:val="clear" w:color="auto" w:fill="auto"/>
          </w:tcPr>
          <w:p w14:paraId="1D8CBF62" w14:textId="77777777" w:rsidR="00E6333B" w:rsidRPr="00A639C4" w:rsidRDefault="00E6333B" w:rsidP="00E6333B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39686BF4" w14:textId="77777777" w:rsidR="00E6333B" w:rsidRDefault="00E6333B" w:rsidP="00E6333B">
            <w:pPr>
              <w:jc w:val="both"/>
            </w:pPr>
          </w:p>
          <w:p w14:paraId="76023D44" w14:textId="60D94BFB" w:rsidR="00E6333B" w:rsidRDefault="00E6333B" w:rsidP="00E6333B">
            <w:pPr>
              <w:jc w:val="both"/>
            </w:pPr>
            <w:r>
              <w:t xml:space="preserve">Zamawiający zgodnie z art. 441 ust.1 </w:t>
            </w:r>
            <w:proofErr w:type="spellStart"/>
            <w:r>
              <w:t>Pzp</w:t>
            </w:r>
            <w:proofErr w:type="spellEnd"/>
            <w:r w:rsidR="00F012BF">
              <w:t xml:space="preserve"> </w:t>
            </w:r>
            <w:r w:rsidR="00F012BF" w:rsidRPr="00EF7A13">
              <w:rPr>
                <w:b/>
              </w:rPr>
              <w:t>nie</w:t>
            </w:r>
            <w:r w:rsidRPr="00EF7A13">
              <w:rPr>
                <w:b/>
              </w:rPr>
              <w:t xml:space="preserve"> przewiduje</w:t>
            </w:r>
            <w:r>
              <w:t xml:space="preserve"> możliwoś</w:t>
            </w:r>
            <w:r w:rsidR="00EF7A13">
              <w:t>ci</w:t>
            </w:r>
            <w:r>
              <w:t xml:space="preserve"> skorzystania </w:t>
            </w:r>
            <w:r w:rsidR="00EF7A13">
              <w:t xml:space="preserve">                       </w:t>
            </w:r>
            <w:r>
              <w:t xml:space="preserve">z „prawa opcji” </w:t>
            </w:r>
          </w:p>
          <w:p w14:paraId="3B96E6F9" w14:textId="08EDC47C" w:rsidR="00E6333B" w:rsidRPr="00EF7A13" w:rsidRDefault="00E6333B" w:rsidP="00EF7A13">
            <w:pPr>
              <w:jc w:val="both"/>
              <w:rPr>
                <w:b/>
                <w:bCs/>
              </w:rPr>
            </w:pPr>
          </w:p>
        </w:tc>
      </w:tr>
      <w:tr w:rsidR="00E6333B" w:rsidRPr="00A639C4" w14:paraId="214B6BF8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4D350397" w14:textId="7FC52D83" w:rsidR="00E6333B" w:rsidRPr="00A639C4" w:rsidRDefault="00E6333B" w:rsidP="00E6333B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3.10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37E68364" w14:textId="1FDD83F7" w:rsidR="00E6333B" w:rsidRPr="00A639C4" w:rsidRDefault="00E6333B" w:rsidP="00E6333B">
            <w:pPr>
              <w:jc w:val="both"/>
              <w:rPr>
                <w:b/>
              </w:rPr>
            </w:pPr>
            <w:r w:rsidRPr="00A639C4">
              <w:rPr>
                <w:b/>
                <w:bCs/>
              </w:rPr>
              <w:t>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pracy.</w:t>
            </w:r>
          </w:p>
        </w:tc>
      </w:tr>
      <w:tr w:rsidR="00925D57" w:rsidRPr="00A639C4" w14:paraId="60A709E1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6579DE5C" w14:textId="77777777" w:rsidR="00925D57" w:rsidRPr="00A639C4" w:rsidRDefault="00925D57" w:rsidP="00925D57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18CE6CD3" w14:textId="77777777" w:rsidR="00925D57" w:rsidRPr="000E368E" w:rsidRDefault="00925D57" w:rsidP="00925D57">
            <w:pPr>
              <w:jc w:val="both"/>
              <w:rPr>
                <w:b/>
              </w:rPr>
            </w:pPr>
          </w:p>
          <w:p w14:paraId="4231A37C" w14:textId="77777777" w:rsidR="00925D57" w:rsidRPr="000E368E" w:rsidRDefault="00925D57" w:rsidP="00925D57">
            <w:pPr>
              <w:jc w:val="both"/>
              <w:rPr>
                <w:b/>
                <w:bCs/>
              </w:rPr>
            </w:pPr>
            <w:r w:rsidRPr="000E368E">
              <w:rPr>
                <w:b/>
                <w:bCs/>
              </w:rPr>
              <w:t xml:space="preserve">Szczegółowe wymagania o których mowa w art. 95 </w:t>
            </w:r>
            <w:proofErr w:type="spellStart"/>
            <w:r w:rsidRPr="000E368E">
              <w:rPr>
                <w:b/>
                <w:bCs/>
              </w:rPr>
              <w:t>Pzp</w:t>
            </w:r>
            <w:proofErr w:type="spellEnd"/>
            <w:r w:rsidRPr="000E368E">
              <w:rPr>
                <w:b/>
                <w:bCs/>
              </w:rPr>
              <w:t xml:space="preserve"> dotyczące realizacji zamówienia oraz egzekwowania wymogu zatrudnienia na podstawie stosunku pracy:</w:t>
            </w:r>
          </w:p>
          <w:p w14:paraId="01E18705" w14:textId="0444E268" w:rsidR="005E2511" w:rsidRPr="00AF0405" w:rsidRDefault="00AF0405" w:rsidP="00AF0405">
            <w:pPr>
              <w:widowControl/>
              <w:autoSpaceDE/>
              <w:adjustRightInd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              </w:t>
            </w:r>
          </w:p>
          <w:p w14:paraId="44417133" w14:textId="3F0CDF90" w:rsidR="005E2511" w:rsidRPr="00A639C4" w:rsidRDefault="005E2511" w:rsidP="005E2511">
            <w:pPr>
              <w:jc w:val="both"/>
              <w:rPr>
                <w:bCs/>
              </w:rPr>
            </w:pPr>
            <w:r w:rsidRPr="00A639C4">
              <w:t xml:space="preserve">Zamawiający </w:t>
            </w:r>
            <w:r w:rsidRPr="00A639C4">
              <w:rPr>
                <w:b/>
                <w:u w:val="single"/>
              </w:rPr>
              <w:t>wymaga</w:t>
            </w:r>
            <w:r w:rsidRPr="00A639C4">
              <w:t xml:space="preserve"> zatrudnienia na </w:t>
            </w:r>
            <w:r w:rsidRPr="00A639C4">
              <w:rPr>
                <w:bCs/>
              </w:rPr>
              <w:t>podstawie stosunku pracy</w:t>
            </w:r>
            <w:r w:rsidRPr="005E2511">
              <w:rPr>
                <w:b/>
                <w:bCs/>
              </w:rPr>
              <w:t>.</w:t>
            </w:r>
          </w:p>
          <w:p w14:paraId="1DA093D6" w14:textId="77777777" w:rsidR="005E2511" w:rsidRPr="00A639C4" w:rsidRDefault="005E2511" w:rsidP="005E2511">
            <w:pPr>
              <w:jc w:val="both"/>
              <w:rPr>
                <w:b/>
              </w:rPr>
            </w:pPr>
          </w:p>
          <w:p w14:paraId="34543835" w14:textId="77777777" w:rsidR="005E2511" w:rsidRPr="00A639C4" w:rsidRDefault="005E2511" w:rsidP="005E2511">
            <w:pPr>
              <w:jc w:val="both"/>
              <w:rPr>
                <w:b/>
              </w:rPr>
            </w:pPr>
            <w:r w:rsidRPr="00A639C4">
              <w:rPr>
                <w:b/>
              </w:rPr>
              <w:t xml:space="preserve">1) rodzaj czynności niezbędnych do realizacji zamówienia, których dotyczą wymagania zatrudnienia na podstawie stosunku pracy przez wykonawcę </w:t>
            </w:r>
            <w:r>
              <w:rPr>
                <w:b/>
              </w:rPr>
              <w:t xml:space="preserve">                     </w:t>
            </w:r>
            <w:r w:rsidRPr="00A639C4">
              <w:rPr>
                <w:b/>
              </w:rPr>
              <w:t>lub podwykonawcę osób wykonujących czynności w trakcie realizacji zamówienia;</w:t>
            </w:r>
          </w:p>
          <w:p w14:paraId="44057A3F" w14:textId="77777777" w:rsidR="005E2511" w:rsidRPr="00A639C4" w:rsidRDefault="005E2511" w:rsidP="005E2511">
            <w:pPr>
              <w:jc w:val="both"/>
            </w:pPr>
          </w:p>
          <w:p w14:paraId="125ACB5A" w14:textId="512F12FE" w:rsidR="005E2511" w:rsidRPr="00A639C4" w:rsidRDefault="005E2511" w:rsidP="005E2511">
            <w:pPr>
              <w:jc w:val="both"/>
            </w:pPr>
            <w:r w:rsidRPr="00A639C4">
              <w:t xml:space="preserve">Zamawiający wymaga zatrudnienia na </w:t>
            </w:r>
            <w:r w:rsidRPr="00A639C4">
              <w:rPr>
                <w:bCs/>
              </w:rPr>
              <w:t>podstawie stosunku pracy</w:t>
            </w:r>
            <w:r w:rsidRPr="00A639C4">
              <w:t xml:space="preserve"> przez wykonawcę lub podwykonawcę osób </w:t>
            </w:r>
            <w:bookmarkStart w:id="2" w:name="_Hlk1632458"/>
            <w:r w:rsidRPr="00A639C4">
              <w:t>wykonujących  w trakcie realizacji zamówienia</w:t>
            </w:r>
            <w:r w:rsidR="00F94D1E">
              <w:t xml:space="preserve"> czynności określone w OPZ.</w:t>
            </w:r>
          </w:p>
          <w:bookmarkEnd w:id="2"/>
          <w:p w14:paraId="61AE6F65" w14:textId="77777777" w:rsidR="00EF7AC2" w:rsidRPr="00A639C4" w:rsidRDefault="00EF7AC2" w:rsidP="005E2511">
            <w:pPr>
              <w:jc w:val="both"/>
            </w:pPr>
          </w:p>
          <w:p w14:paraId="027A36CB" w14:textId="1E7A1FCD" w:rsidR="005E2511" w:rsidRPr="00A639C4" w:rsidRDefault="005E2511" w:rsidP="005E2511">
            <w:pPr>
              <w:jc w:val="both"/>
            </w:pPr>
            <w:r w:rsidRPr="00A639C4">
              <w:t xml:space="preserve">Zamawiający nie wymaga zatrudnienia na podstawie umowy o pracę przez wykonawcę lub podwykonawcę osób pełniących samodzielne funkcje techniczne w budownictwie oraz osób wykonujących czynności związane z wykonywaniem prac geodezyjnych, opracowań z zakresu ochrony środowiska, prac związanych z przygotowywaniem materiałów do decyzji administracyjnych oraz prac pomiarowych w zakresie sieci </w:t>
            </w:r>
            <w:r>
              <w:t xml:space="preserve">                       </w:t>
            </w:r>
            <w:r w:rsidRPr="00A639C4">
              <w:t>i urządzeń teletechnicznych, energetycznych, gazowniczych, wodociągowych</w:t>
            </w:r>
            <w:r>
              <w:t xml:space="preserve">                             </w:t>
            </w:r>
            <w:r w:rsidRPr="00A639C4">
              <w:t xml:space="preserve"> i oświetlenia.  </w:t>
            </w:r>
          </w:p>
          <w:p w14:paraId="54857864" w14:textId="77777777" w:rsidR="005E2511" w:rsidRPr="00A639C4" w:rsidRDefault="005E2511" w:rsidP="005E2511">
            <w:pPr>
              <w:jc w:val="both"/>
            </w:pPr>
          </w:p>
          <w:p w14:paraId="1F687CB5" w14:textId="77777777" w:rsidR="005E2511" w:rsidRPr="00A639C4" w:rsidRDefault="005E2511" w:rsidP="005E2511">
            <w:pPr>
              <w:jc w:val="both"/>
              <w:rPr>
                <w:b/>
              </w:rPr>
            </w:pPr>
            <w:r w:rsidRPr="00A639C4">
              <w:rPr>
                <w:b/>
              </w:rPr>
              <w:t>2) sposób weryfikacji zatrudnienia tych osób;</w:t>
            </w:r>
          </w:p>
          <w:p w14:paraId="0684E035" w14:textId="77777777" w:rsidR="005E2511" w:rsidRPr="00A639C4" w:rsidRDefault="005E2511" w:rsidP="005E2511">
            <w:pPr>
              <w:jc w:val="both"/>
            </w:pPr>
          </w:p>
          <w:p w14:paraId="329A0A6D" w14:textId="77777777" w:rsidR="005E2511" w:rsidRPr="00A639C4" w:rsidRDefault="005E2511" w:rsidP="005E2511">
            <w:pPr>
              <w:jc w:val="both"/>
            </w:pPr>
            <w:r w:rsidRPr="00A639C4">
              <w:t xml:space="preserve">Wykonawca (w celu weryfikacji zatrudnienia w/w osób) poprzez złożenie oferty oświadcza, że osoby wykonujące w/w czynności w trakcie realizacji zamówienia będą zatrudnione na podstawie </w:t>
            </w:r>
            <w:r w:rsidRPr="00A639C4">
              <w:rPr>
                <w:bCs/>
              </w:rPr>
              <w:t>stosunku pracy</w:t>
            </w:r>
            <w:r w:rsidRPr="00A639C4">
              <w:t>.</w:t>
            </w:r>
          </w:p>
          <w:p w14:paraId="5A8EC1C6" w14:textId="77777777" w:rsidR="005E2511" w:rsidRPr="00A639C4" w:rsidRDefault="005E2511" w:rsidP="005E2511">
            <w:pPr>
              <w:jc w:val="both"/>
              <w:rPr>
                <w:b/>
              </w:rPr>
            </w:pPr>
          </w:p>
          <w:p w14:paraId="31ACC264" w14:textId="77777777" w:rsidR="005E2511" w:rsidRPr="00A639C4" w:rsidRDefault="005E2511" w:rsidP="005E2511">
            <w:pPr>
              <w:jc w:val="both"/>
              <w:rPr>
                <w:b/>
              </w:rPr>
            </w:pPr>
            <w:r w:rsidRPr="00A639C4">
              <w:rPr>
                <w:b/>
              </w:rPr>
              <w:t>3) uprawnienia zamawiającego w zakresie kontroli spełniania przez wykonawcę wymagań związanych z zatrudnianiem tych osób oraz sankcji z tytułu niespełnienia tych wymagań.</w:t>
            </w:r>
          </w:p>
          <w:p w14:paraId="4BAA3AAA" w14:textId="77777777" w:rsidR="005E2511" w:rsidRPr="00A639C4" w:rsidRDefault="005E2511" w:rsidP="005E2511">
            <w:pPr>
              <w:jc w:val="both"/>
            </w:pPr>
          </w:p>
          <w:p w14:paraId="5C995868" w14:textId="50B90372" w:rsidR="005E2511" w:rsidRPr="00A639C4" w:rsidRDefault="005E2511" w:rsidP="005E2511">
            <w:pPr>
              <w:jc w:val="both"/>
            </w:pPr>
            <w:r w:rsidRPr="00A639C4">
              <w:t xml:space="preserve">Zamawiający ma prawo do skontrolowania Wykonawcy w zakresie zatrudnienia osób, o których mowa w art. 95 Ustawy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 wzywając go na piśmie do przekazania informacji w terminie 14 dni od otrzymania takiego wezwania. W przypadku gdy Wykonawca </w:t>
            </w:r>
            <w:r>
              <w:t xml:space="preserve">                       </w:t>
            </w:r>
            <w:r w:rsidRPr="00A639C4">
              <w:lastRenderedPageBreak/>
              <w:t xml:space="preserve">nie dochowa ww. terminu Zamawiający obciąży Wykonawcę karami umownymi </w:t>
            </w:r>
            <w:r>
              <w:t xml:space="preserve"> </w:t>
            </w:r>
            <w:r w:rsidRPr="0039128C">
              <w:t>określon</w:t>
            </w:r>
            <w:r>
              <w:t>ymi</w:t>
            </w:r>
            <w:r w:rsidRPr="0039128C">
              <w:t xml:space="preserve"> w projektowanych postanowieniach umownych.</w:t>
            </w:r>
          </w:p>
          <w:p w14:paraId="51B67B5A" w14:textId="77777777" w:rsidR="00925D57" w:rsidRPr="00A639C4" w:rsidRDefault="00925D57" w:rsidP="007E2CFE">
            <w:pPr>
              <w:jc w:val="both"/>
            </w:pPr>
          </w:p>
        </w:tc>
      </w:tr>
      <w:tr w:rsidR="00E6333B" w:rsidRPr="00A639C4" w14:paraId="32227B2D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5200B712" w14:textId="11004608" w:rsidR="00E6333B" w:rsidRPr="00A639C4" w:rsidRDefault="00E6333B" w:rsidP="00E6333B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4.2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007C0D9A" w14:textId="25C5FB76" w:rsidR="00E6333B" w:rsidRPr="00A639C4" w:rsidRDefault="00E6333B" w:rsidP="00E6333B">
            <w:pPr>
              <w:tabs>
                <w:tab w:val="left" w:pos="408"/>
              </w:tabs>
              <w:rPr>
                <w:b/>
              </w:rPr>
            </w:pPr>
            <w:r w:rsidRPr="00A639C4">
              <w:rPr>
                <w:b/>
              </w:rPr>
              <w:t>Składanie ofert częściowych</w:t>
            </w:r>
          </w:p>
        </w:tc>
      </w:tr>
      <w:tr w:rsidR="00E6333B" w:rsidRPr="00A639C4" w14:paraId="555BB7B8" w14:textId="77777777" w:rsidTr="00A639C4">
        <w:tc>
          <w:tcPr>
            <w:tcW w:w="1384" w:type="dxa"/>
            <w:shd w:val="clear" w:color="auto" w:fill="auto"/>
          </w:tcPr>
          <w:p w14:paraId="7F7FF4A8" w14:textId="3DAAC5AF" w:rsidR="00E6333B" w:rsidRPr="00A639C4" w:rsidRDefault="00E6333B" w:rsidP="00E6333B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20E26185" w14:textId="77777777" w:rsidR="000562B2" w:rsidRDefault="000562B2" w:rsidP="000562B2">
            <w:pPr>
              <w:tabs>
                <w:tab w:val="left" w:pos="408"/>
              </w:tabs>
              <w:rPr>
                <w:b/>
              </w:rPr>
            </w:pPr>
          </w:p>
          <w:p w14:paraId="26109512" w14:textId="136199B8" w:rsidR="00FF4178" w:rsidRDefault="000562B2" w:rsidP="00FC52EE">
            <w:pPr>
              <w:tabs>
                <w:tab w:val="left" w:pos="408"/>
              </w:tabs>
              <w:rPr>
                <w:b/>
              </w:rPr>
            </w:pPr>
            <w:r w:rsidRPr="000562B2">
              <w:t xml:space="preserve">Zamawiający </w:t>
            </w:r>
            <w:r w:rsidR="00FC52EE">
              <w:t xml:space="preserve"> </w:t>
            </w:r>
            <w:r w:rsidR="00FC52EE" w:rsidRPr="00FC52EE">
              <w:rPr>
                <w:b/>
                <w:u w:val="single"/>
              </w:rPr>
              <w:t xml:space="preserve">nie </w:t>
            </w:r>
            <w:r w:rsidRPr="00FC52EE">
              <w:rPr>
                <w:b/>
                <w:u w:val="single"/>
              </w:rPr>
              <w:t xml:space="preserve"> dopuszcza</w:t>
            </w:r>
            <w:r w:rsidRPr="000562B2">
              <w:rPr>
                <w:b/>
              </w:rPr>
              <w:t xml:space="preserve"> </w:t>
            </w:r>
            <w:r w:rsidRPr="000562B2">
              <w:t>składani</w:t>
            </w:r>
            <w:r w:rsidR="00F94D1E">
              <w:t>a</w:t>
            </w:r>
            <w:r w:rsidRPr="000562B2">
              <w:t xml:space="preserve"> ofert  częściowych</w:t>
            </w:r>
            <w:r w:rsidRPr="000562B2">
              <w:rPr>
                <w:b/>
              </w:rPr>
              <w:t xml:space="preserve"> </w:t>
            </w:r>
          </w:p>
          <w:p w14:paraId="0B5485BC" w14:textId="77777777" w:rsidR="00FC52EE" w:rsidRDefault="00FC52EE" w:rsidP="00FC52EE">
            <w:pPr>
              <w:tabs>
                <w:tab w:val="left" w:pos="4298"/>
                <w:tab w:val="left" w:pos="16874"/>
                <w:tab w:val="left" w:pos="17157"/>
              </w:tabs>
              <w:jc w:val="both"/>
            </w:pPr>
          </w:p>
          <w:p w14:paraId="4856A6D0" w14:textId="77777777" w:rsidR="00FC52EE" w:rsidRPr="00A639C4" w:rsidRDefault="00FC52EE" w:rsidP="00FC52EE">
            <w:pPr>
              <w:tabs>
                <w:tab w:val="left" w:pos="4298"/>
                <w:tab w:val="left" w:pos="16874"/>
                <w:tab w:val="left" w:pos="17157"/>
              </w:tabs>
              <w:jc w:val="both"/>
            </w:pPr>
            <w:r w:rsidRPr="00A639C4">
              <w:t xml:space="preserve">Przedmiot zamówienia nie został podzielony na części. </w:t>
            </w:r>
          </w:p>
          <w:p w14:paraId="3F4A55F3" w14:textId="77777777" w:rsidR="00FC52EE" w:rsidRPr="00A639C4" w:rsidRDefault="00FC52EE" w:rsidP="00FC52EE">
            <w:pPr>
              <w:tabs>
                <w:tab w:val="left" w:pos="4298"/>
              </w:tabs>
              <w:jc w:val="both"/>
              <w:rPr>
                <w:color w:val="000000"/>
              </w:rPr>
            </w:pPr>
          </w:p>
          <w:p w14:paraId="21D023B2" w14:textId="77777777" w:rsidR="00FC52EE" w:rsidRPr="00A639C4" w:rsidRDefault="00FC52EE" w:rsidP="00FC52EE">
            <w:pPr>
              <w:tabs>
                <w:tab w:val="left" w:pos="4298"/>
              </w:tabs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Zamawiający przed ogłoszeniem postępowania dokonał analizy zasadności podziału przedmiotu zamówienia na części. Poniżej wskazano główne przyczyny decyzji instytucji zamawiającej o braku podziału zamówienia na części. </w:t>
            </w:r>
          </w:p>
          <w:p w14:paraId="48F62407" w14:textId="77777777" w:rsidR="00FC52EE" w:rsidRPr="00A639C4" w:rsidRDefault="00FC52EE" w:rsidP="00FC52EE">
            <w:pPr>
              <w:tabs>
                <w:tab w:val="left" w:pos="4298"/>
              </w:tabs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Zamawiający wskazuje, że nie jest zobowiązany do dokonywania podziału zamówienia na części za wszelką cenę – tj. po to, żeby podziału dokonać, niezależnie od tego </w:t>
            </w:r>
            <w:r>
              <w:rPr>
                <w:color w:val="000000"/>
              </w:rPr>
              <w:t xml:space="preserve">                         </w:t>
            </w:r>
            <w:r w:rsidRPr="00A639C4">
              <w:rPr>
                <w:color w:val="000000"/>
              </w:rPr>
              <w:t xml:space="preserve">w jaki sposób i jaką metodologią. </w:t>
            </w:r>
          </w:p>
          <w:p w14:paraId="25D0FB82" w14:textId="77777777" w:rsidR="00FC52EE" w:rsidRPr="00A639C4" w:rsidRDefault="00FC52EE" w:rsidP="00FC52EE">
            <w:pPr>
              <w:tabs>
                <w:tab w:val="left" w:pos="4298"/>
              </w:tabs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Przepisy ustawy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 </w:t>
            </w:r>
            <w:r w:rsidRPr="00A639C4">
              <w:rPr>
                <w:color w:val="000000"/>
              </w:rPr>
              <w:t>nie nakładają na Zamawiającego bezwzględnego obowiązku podziału zamówienia na części, stanowi natomiast o uprawnieniu zamawiającego do podziału zamówienia i nie zawiera wprost obowiązku wyjaśniania przez Zamawiającego przyczyn, dla których nie zastosował takiego podziału. Zamawiający musi być w stanie uzasadnić i wytłumaczyć obiektywnie podjętą przez siebie decyzję o sposobie udzielenia zamówienia.</w:t>
            </w:r>
          </w:p>
          <w:p w14:paraId="5D4D7155" w14:textId="3AC022BB" w:rsidR="00FC52EE" w:rsidRPr="00A639C4" w:rsidRDefault="00FC52EE" w:rsidP="00FC52EE">
            <w:pPr>
              <w:tabs>
                <w:tab w:val="left" w:pos="4298"/>
              </w:tabs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Stanowiący podstawę dla tego obowiązku przepis art. 91 ust.2 ustawy </w:t>
            </w:r>
            <w:proofErr w:type="spellStart"/>
            <w:r w:rsidRPr="00A639C4">
              <w:rPr>
                <w:color w:val="000000"/>
              </w:rPr>
              <w:t>Pzp</w:t>
            </w:r>
            <w:proofErr w:type="spellEnd"/>
            <w:r w:rsidRPr="00A639C4">
              <w:rPr>
                <w:color w:val="000000"/>
              </w:rPr>
              <w:t xml:space="preserve"> nie określa w jakich przypadkach Zamawiający powinien podzielić zamówienie na części, decyzja w tym zakresie pozostawiona jest autonomicznej woli Zamawiającego. Instytucja zamawiająca winna mieć obowiązek rozważenia celowości podziału zamówienia </w:t>
            </w:r>
            <w:r>
              <w:rPr>
                <w:color w:val="000000"/>
              </w:rPr>
              <w:t xml:space="preserve">                   </w:t>
            </w:r>
            <w:r w:rsidRPr="00A639C4">
              <w:rPr>
                <w:color w:val="000000"/>
              </w:rPr>
              <w:t xml:space="preserve">na części, jednocześnie zachowując swobodę autonomicznego podejmowania decyzji na każdej podstawie, jaką uzna za stosowną, nie podlegając nadzorowi administracyjnemu ani sądowemu; zatem zamawiający rozważa to, czy podział zamówienia na części jest celowy i jeśli decyzja o zaniechaniu podziału zostanie podjęta i uzasadniona należy uznać, że czynność została dokonana </w:t>
            </w:r>
            <w:r w:rsidR="003D2DF4">
              <w:rPr>
                <w:color w:val="000000"/>
              </w:rPr>
              <w:t xml:space="preserve">                                           </w:t>
            </w:r>
            <w:r w:rsidRPr="00A639C4">
              <w:rPr>
                <w:color w:val="000000"/>
              </w:rPr>
              <w:t>przez zamawiającego prawidłowo.</w:t>
            </w:r>
          </w:p>
          <w:p w14:paraId="7F01B22D" w14:textId="77777777" w:rsidR="00FC52EE" w:rsidRPr="00A639C4" w:rsidRDefault="00FC52EE" w:rsidP="00FC52EE">
            <w:pPr>
              <w:tabs>
                <w:tab w:val="left" w:pos="4298"/>
              </w:tabs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Zamawiający dokonał szacowania wartości zamówienia i ustalił swoje potrzeby w tym zakresie. W ocenie Zamawiającego zakres zamówienia uzasadnia udzielenie zamówienia jednemu wykonawcy, który przyjmie na siebie odpowiedzialność za ryzyko niepowodzenia zadania, a dokonanie podziału zamówienia na części mogłoby </w:t>
            </w:r>
            <w:r>
              <w:rPr>
                <w:color w:val="000000"/>
              </w:rPr>
              <w:t xml:space="preserve">                          </w:t>
            </w:r>
            <w:r w:rsidRPr="00A639C4">
              <w:rPr>
                <w:color w:val="000000"/>
              </w:rPr>
              <w:t xml:space="preserve">to ryzyko przenieść na Zamawiającego i w konsekwencji uczynić niemożliwym osiągnięcie celu zamówienia publicznego. </w:t>
            </w:r>
          </w:p>
          <w:p w14:paraId="7F1D628D" w14:textId="77777777" w:rsidR="00FC52EE" w:rsidRPr="00A639C4" w:rsidRDefault="00FC52EE" w:rsidP="00FC52EE">
            <w:pPr>
              <w:tabs>
                <w:tab w:val="left" w:pos="4298"/>
              </w:tabs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Zamawiający zwrócił uwagę, że brak jest podstaw do podziału zamówienia</w:t>
            </w:r>
            <w:r>
              <w:rPr>
                <w:color w:val="000000"/>
              </w:rPr>
              <w:t xml:space="preserve">                  </w:t>
            </w:r>
            <w:r w:rsidRPr="00A639C4">
              <w:rPr>
                <w:color w:val="000000"/>
              </w:rPr>
              <w:t xml:space="preserve"> na zasadzie jakościowej, z uwzględnieniem różnych zaangażowanych branż </w:t>
            </w:r>
            <w:r>
              <w:rPr>
                <w:color w:val="000000"/>
              </w:rPr>
              <w:t xml:space="preserve">                               </w:t>
            </w:r>
            <w:r w:rsidRPr="00A639C4">
              <w:rPr>
                <w:color w:val="000000"/>
              </w:rPr>
              <w:t>i specjalizacji, tak by w większym stopniu dostosować treść poszczególnych zamówień do wyspecjalizowanych sektorów MŚP – całość zamówienia dotyczy specyficznej</w:t>
            </w:r>
            <w:r>
              <w:rPr>
                <w:color w:val="000000"/>
              </w:rPr>
              <w:t xml:space="preserve">                        </w:t>
            </w:r>
            <w:r w:rsidRPr="00A639C4">
              <w:rPr>
                <w:color w:val="000000"/>
              </w:rPr>
              <w:t xml:space="preserve"> i wyspecjalizowanej branży. </w:t>
            </w:r>
          </w:p>
          <w:p w14:paraId="255AC551" w14:textId="77777777" w:rsidR="00FC52EE" w:rsidRPr="00A639C4" w:rsidRDefault="00FC52EE" w:rsidP="00FC52EE">
            <w:pPr>
              <w:tabs>
                <w:tab w:val="left" w:pos="4298"/>
              </w:tabs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W opinii Zamawiającego maksymalne, możliwe rozdrobnienie zamówienia mógłby powodować niekorzystne skutki dla zamawiającego w postaci np. zwiększenia oferowanych cen czy też niemożliwości rozstrzygnięcia postępowania z uwagi na fakt, że złożenie ofert na tak małe części zamówienia byłoby dla wykonawców nieopłacalne;</w:t>
            </w:r>
          </w:p>
          <w:p w14:paraId="26508546" w14:textId="77777777" w:rsidR="00FC52EE" w:rsidRPr="00A639C4" w:rsidRDefault="00FC52EE" w:rsidP="00FC52EE">
            <w:pPr>
              <w:tabs>
                <w:tab w:val="left" w:pos="4298"/>
              </w:tabs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Dokonanie podziału zamówienia na części byłoby sztuczne i nieracjonalne, groziłoby nie tylko nadmiernymi trudnościami technicznymi czy nadmiernymi kosztami wykonania zamówienia, ale również potrzebą skoordynowania działań różnych wykonawców realizujących poszczególne części zamówienia co mogłoby poważnie zagrozić właściwemu wykonaniu zamówienia. </w:t>
            </w:r>
          </w:p>
          <w:p w14:paraId="7A15A7E4" w14:textId="77777777" w:rsidR="00FC52EE" w:rsidRPr="00A639C4" w:rsidRDefault="00FC52EE" w:rsidP="00FC52EE">
            <w:pPr>
              <w:tabs>
                <w:tab w:val="left" w:pos="4298"/>
              </w:tabs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Podziału przedmiotu zamówienia nie można dokonać na zasadzie ilościowej tak aby wielkość poszczególnych zamówień lepiej odpowiadała możliwościom MŚP. W opinii Zamawiającego byłby to podział pozorny, dokonany dla samego faktu </w:t>
            </w:r>
            <w:r w:rsidRPr="00A639C4">
              <w:rPr>
                <w:color w:val="000000"/>
              </w:rPr>
              <w:lastRenderedPageBreak/>
              <w:t>dokonania jakiegokolwiek podziału zamówienia na części;</w:t>
            </w:r>
          </w:p>
          <w:p w14:paraId="2BD6D163" w14:textId="77777777" w:rsidR="00FC52EE" w:rsidRPr="00A639C4" w:rsidRDefault="00FC52EE" w:rsidP="00FC52EE">
            <w:pPr>
              <w:tabs>
                <w:tab w:val="left" w:pos="4298"/>
              </w:tabs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W opinii Zamawiającego przy podziale zamówienia na części prawdopodobna i wręcz granicząca z pewnością jest sytuacja, w której kilku wykonawców, których łączny efekt prac decyduje o prawidłowym wykonaniu przedmiotu umowy</w:t>
            </w:r>
            <w:r w:rsidRPr="00A639C4">
              <w:rPr>
                <w:strike/>
                <w:color w:val="000000"/>
              </w:rPr>
              <w:t xml:space="preserve"> </w:t>
            </w:r>
            <w:r w:rsidRPr="00A639C4">
              <w:rPr>
                <w:color w:val="000000"/>
              </w:rPr>
              <w:t>unika odpowiedzialności z uwagi na trudności z jednoznacznym ustaleniem przyczyn wystąpienia wad czy usterek.</w:t>
            </w:r>
          </w:p>
          <w:p w14:paraId="6B2B8AAB" w14:textId="77777777" w:rsidR="00FC52EE" w:rsidRPr="00A639C4" w:rsidRDefault="00FC52EE" w:rsidP="00FC52EE">
            <w:pPr>
              <w:tabs>
                <w:tab w:val="left" w:pos="4298"/>
              </w:tabs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Zamawiający uznał, że niedokonanie podziału przedmiotu zamówienia </w:t>
            </w:r>
            <w:r>
              <w:rPr>
                <w:color w:val="000000"/>
              </w:rPr>
              <w:t xml:space="preserve">                        </w:t>
            </w:r>
            <w:r w:rsidRPr="00A639C4">
              <w:rPr>
                <w:color w:val="000000"/>
              </w:rPr>
              <w:t>na części nie ma wpływu na konkurencyjność, nie utrudnia dostępu do zamówienia MŚP i jest determinowane specyfiką zamówienia (okolicznościami danego przypadku), w szczególności rodzajem przedmiotu zamówienia, jego specyfiką, planowanym sposobem realizacji zamówienia i jego zakresem. Zamówienie ma zwiększyć konkurencyjność, ale nie kosztem interesów zamawiającego.</w:t>
            </w:r>
          </w:p>
          <w:p w14:paraId="0073BBCF" w14:textId="77777777" w:rsidR="00FC52EE" w:rsidRPr="00A639C4" w:rsidRDefault="00FC52EE" w:rsidP="00FC52EE">
            <w:pPr>
              <w:tabs>
                <w:tab w:val="left" w:pos="4298"/>
              </w:tabs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Zamawiający dokonując agregacji - planując udzielenie zamówienia jako całości jednemu wykonawcy miał na uwadze swoje obiektywne, uzasadnione </w:t>
            </w:r>
            <w:r>
              <w:rPr>
                <w:color w:val="000000"/>
              </w:rPr>
              <w:t xml:space="preserve">                               </w:t>
            </w:r>
            <w:r w:rsidRPr="00A639C4">
              <w:rPr>
                <w:color w:val="000000"/>
              </w:rPr>
              <w:t xml:space="preserve">i racjonalne potrzeby oraz dbałość o zapewnienie konkurencyjności – brak podziału nie uniemożliwia złożenia oferty małym przedsiębiorcom działającym na rynku. </w:t>
            </w:r>
          </w:p>
          <w:p w14:paraId="72F8A713" w14:textId="77777777" w:rsidR="00FC52EE" w:rsidRPr="00A639C4" w:rsidRDefault="00FC52EE" w:rsidP="00FC52EE">
            <w:pPr>
              <w:tabs>
                <w:tab w:val="left" w:pos="4298"/>
              </w:tabs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W opinii Zamawiającego korzystniejsze warunki realizacji zamówienia będą miały miejsce w sytuacji, w której udzielenie zamówienia nastąpi w całości jednemu wykonawcy. Nie wpływa to na zmniejszenie konkurencyjności MŚP, nie zaburza konkurencyjności, pozwala na racjonalne i efektywne wykorzystanie środków publicznych.</w:t>
            </w:r>
          </w:p>
          <w:p w14:paraId="482E6A8E" w14:textId="77777777" w:rsidR="00FC52EE" w:rsidRPr="00A639C4" w:rsidRDefault="00FC52EE" w:rsidP="00FC52EE">
            <w:pPr>
              <w:tabs>
                <w:tab w:val="left" w:pos="4298"/>
              </w:tabs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W opinii Zamawiającego brak podziału zamówienia na części nie narusza zasad uczciwej konkurencji oraz równego traktowania wykonawców, mający przejawiać się w opisie przedmiotu zamówienia oraz ograniczeniu dostępu </w:t>
            </w:r>
            <w:r>
              <w:rPr>
                <w:color w:val="000000"/>
              </w:rPr>
              <w:t xml:space="preserve">                                  </w:t>
            </w:r>
            <w:r w:rsidRPr="00A639C4">
              <w:rPr>
                <w:color w:val="000000"/>
              </w:rPr>
              <w:t xml:space="preserve">do zamówienia małym i średnim przedsiębiorstwom. </w:t>
            </w:r>
          </w:p>
          <w:p w14:paraId="37BAA91F" w14:textId="77777777" w:rsidR="00FC52EE" w:rsidRPr="00A639C4" w:rsidRDefault="00FC52EE" w:rsidP="00FC52EE">
            <w:pPr>
              <w:tabs>
                <w:tab w:val="left" w:pos="4298"/>
              </w:tabs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Najistotniejszym argumentem za brakiem konieczności podziału zamówienia na części są nadmierne trudności czy koszty oraz brak koordynacji, skutkujący poważną groźbą nieprawidłowej realizacji zamówienia.</w:t>
            </w:r>
          </w:p>
          <w:p w14:paraId="0EF6D472" w14:textId="77777777" w:rsidR="00FC52EE" w:rsidRPr="00A639C4" w:rsidRDefault="00FC52EE" w:rsidP="00FC52EE">
            <w:pPr>
              <w:tabs>
                <w:tab w:val="left" w:pos="4298"/>
              </w:tabs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Natomiast Zamawiający nie powołuje wyłącznie na korzyści organizacyjne, wynikające z prowadzenia jednego, a nie większej liczby postępowań o udzielenie zamówienia publicznego. Nie mają też znaczenia obawy Zamawiającego związane z ewentualnymi </w:t>
            </w:r>
            <w:r w:rsidRPr="00A639C4">
              <w:rPr>
                <w:color w:val="000000"/>
                <w:u w:val="single"/>
              </w:rPr>
              <w:t>niewielkimi</w:t>
            </w:r>
            <w:r w:rsidRPr="00A639C4">
              <w:rPr>
                <w:color w:val="000000"/>
              </w:rPr>
              <w:t xml:space="preserve"> trudnościami czy kosztami bądź </w:t>
            </w:r>
            <w:r w:rsidRPr="00A639C4">
              <w:rPr>
                <w:color w:val="000000"/>
                <w:u w:val="single"/>
              </w:rPr>
              <w:t>nieznacznymi</w:t>
            </w:r>
            <w:r w:rsidRPr="00A639C4">
              <w:rPr>
                <w:color w:val="000000"/>
              </w:rPr>
              <w:t xml:space="preserve"> problemami z koordynowaniem działań wykonawców a tym bardziej wygoda zamawiającego. </w:t>
            </w:r>
            <w:r>
              <w:rPr>
                <w:color w:val="000000"/>
              </w:rPr>
              <w:t xml:space="preserve">                       </w:t>
            </w:r>
            <w:r w:rsidRPr="00A639C4">
              <w:rPr>
                <w:color w:val="000000"/>
              </w:rPr>
              <w:t xml:space="preserve">W opinii Zamawiającego przyczyny niedokonania podziału nie są błahe oraz łatwe </w:t>
            </w:r>
            <w:r>
              <w:rPr>
                <w:color w:val="000000"/>
              </w:rPr>
              <w:t xml:space="preserve">                   </w:t>
            </w:r>
            <w:r w:rsidRPr="00A639C4">
              <w:rPr>
                <w:color w:val="000000"/>
              </w:rPr>
              <w:t xml:space="preserve">do usunięcia. </w:t>
            </w:r>
          </w:p>
          <w:p w14:paraId="2E40C626" w14:textId="77777777" w:rsidR="00FC52EE" w:rsidRPr="00A639C4" w:rsidRDefault="00FC52EE" w:rsidP="00FC52EE">
            <w:pPr>
              <w:tabs>
                <w:tab w:val="left" w:pos="4298"/>
              </w:tabs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Istotne jest również to, że Zamawiający nie wyłączył z udziału w postępowaniu podmiotów działających wspólnie ani podwykonawstwa – w żaden sposób nie ogranicza to możliwości złożenia oferty </w:t>
            </w:r>
          </w:p>
          <w:p w14:paraId="05FE6425" w14:textId="77777777" w:rsidR="00FC52EE" w:rsidRPr="00A639C4" w:rsidRDefault="00FC52EE" w:rsidP="00FC52EE">
            <w:pPr>
              <w:tabs>
                <w:tab w:val="left" w:pos="4298"/>
              </w:tabs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W świetle powyższego, decyzja o tym, aby całość zamówienia została zrealizowana przez jednego wykonawcę była w pełni uzasadniona.</w:t>
            </w:r>
          </w:p>
          <w:p w14:paraId="09F3499D" w14:textId="4CB5DD06" w:rsidR="005E2511" w:rsidRPr="00A639C4" w:rsidRDefault="005E2511" w:rsidP="00FC52EE">
            <w:pPr>
              <w:tabs>
                <w:tab w:val="left" w:pos="408"/>
              </w:tabs>
              <w:jc w:val="both"/>
              <w:rPr>
                <w:bCs/>
              </w:rPr>
            </w:pPr>
          </w:p>
        </w:tc>
      </w:tr>
      <w:tr w:rsidR="00E6333B" w:rsidRPr="00A639C4" w14:paraId="09EA691B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792CE75" w14:textId="0FE4CC3F" w:rsidR="00E6333B" w:rsidRPr="00A639C4" w:rsidRDefault="00E6333B" w:rsidP="00E6333B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4.4 IDW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6071CD7" w14:textId="6D7F9E16" w:rsidR="00E6333B" w:rsidRPr="00A639C4" w:rsidRDefault="00E6333B" w:rsidP="00E6333B">
            <w:pPr>
              <w:rPr>
                <w:b/>
              </w:rPr>
            </w:pPr>
            <w:r w:rsidRPr="00A639C4">
              <w:rPr>
                <w:b/>
              </w:rPr>
              <w:t xml:space="preserve">Informacje dotyczące  zamówień o których mowa w art. 305 </w:t>
            </w:r>
            <w:proofErr w:type="spellStart"/>
            <w:r w:rsidRPr="00A639C4">
              <w:rPr>
                <w:b/>
              </w:rPr>
              <w:t>Pzp</w:t>
            </w:r>
            <w:proofErr w:type="spellEnd"/>
          </w:p>
        </w:tc>
      </w:tr>
      <w:tr w:rsidR="00E6333B" w:rsidRPr="00A639C4" w14:paraId="5B099D95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3AA3E3B6" w14:textId="5505CB73" w:rsidR="00E6333B" w:rsidRPr="00A639C4" w:rsidRDefault="00E6333B" w:rsidP="00E6333B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46548F2A" w14:textId="77777777" w:rsidR="00E6333B" w:rsidRDefault="00E6333B" w:rsidP="00E6333B">
            <w:pPr>
              <w:jc w:val="both"/>
              <w:rPr>
                <w:rFonts w:eastAsiaTheme="minorHAnsi"/>
                <w:lang w:eastAsia="en-US"/>
              </w:rPr>
            </w:pPr>
          </w:p>
          <w:p w14:paraId="548EBC12" w14:textId="77ECFF5A" w:rsidR="00E6333B" w:rsidRPr="00A639C4" w:rsidRDefault="00E6333B" w:rsidP="00E6333B">
            <w:pPr>
              <w:jc w:val="both"/>
            </w:pPr>
            <w:r w:rsidRPr="00A639C4">
              <w:rPr>
                <w:rFonts w:eastAsiaTheme="minorHAnsi"/>
                <w:lang w:eastAsia="en-US"/>
              </w:rPr>
              <w:t xml:space="preserve">Zamawiający </w:t>
            </w:r>
            <w:r w:rsidRPr="00A639C4">
              <w:rPr>
                <w:rFonts w:eastAsiaTheme="minorHAnsi"/>
                <w:b/>
                <w:u w:val="single"/>
                <w:lang w:eastAsia="en-US"/>
              </w:rPr>
              <w:t>nie przewiduje</w:t>
            </w:r>
            <w:r w:rsidRPr="00A639C4">
              <w:rPr>
                <w:rFonts w:eastAsiaTheme="minorHAnsi"/>
                <w:lang w:eastAsia="en-US"/>
              </w:rPr>
              <w:t xml:space="preserve"> możliwości udzielenia</w:t>
            </w:r>
            <w:r w:rsidRPr="00A639C4">
              <w:t xml:space="preserve"> zamówie</w:t>
            </w:r>
            <w:r>
              <w:t>ń</w:t>
            </w:r>
            <w:r w:rsidRPr="00A639C4">
              <w:t xml:space="preserve">, o których mowa </w:t>
            </w:r>
            <w:r w:rsidR="00FF4178">
              <w:t xml:space="preserve">                             </w:t>
            </w:r>
            <w:r w:rsidRPr="00A639C4">
              <w:t xml:space="preserve">w art. 305 pkt.1 w zw. z art. 214 ust. 1 pkt 7  </w:t>
            </w:r>
            <w:proofErr w:type="spellStart"/>
            <w:r w:rsidRPr="00A639C4">
              <w:t>Pzp</w:t>
            </w:r>
            <w:proofErr w:type="spellEnd"/>
          </w:p>
          <w:p w14:paraId="1B06481F" w14:textId="77777777" w:rsidR="00E6333B" w:rsidRPr="00A639C4" w:rsidRDefault="00E6333B" w:rsidP="00E6333B">
            <w:pPr>
              <w:widowControl/>
              <w:rPr>
                <w:bCs/>
              </w:rPr>
            </w:pPr>
          </w:p>
        </w:tc>
      </w:tr>
      <w:tr w:rsidR="00E6333B" w:rsidRPr="00A639C4" w14:paraId="6BE6590F" w14:textId="77777777" w:rsidTr="00A639C4">
        <w:trPr>
          <w:trHeight w:val="164"/>
        </w:trPr>
        <w:tc>
          <w:tcPr>
            <w:tcW w:w="1384" w:type="dxa"/>
            <w:shd w:val="clear" w:color="auto" w:fill="BFBFBF" w:themeFill="background1" w:themeFillShade="BF"/>
          </w:tcPr>
          <w:p w14:paraId="1AEF528B" w14:textId="77777777" w:rsidR="00E6333B" w:rsidRPr="00A639C4" w:rsidRDefault="00E6333B" w:rsidP="00E6333B">
            <w:pPr>
              <w:jc w:val="center"/>
              <w:rPr>
                <w:b/>
              </w:rPr>
            </w:pPr>
            <w:r w:rsidRPr="00A639C4">
              <w:rPr>
                <w:b/>
              </w:rPr>
              <w:t>Pkt 5.1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777C055B" w14:textId="5A8D8F2E" w:rsidR="00E6333B" w:rsidRPr="00A639C4" w:rsidRDefault="00E6333B" w:rsidP="00E6333B">
            <w:pPr>
              <w:rPr>
                <w:b/>
              </w:rPr>
            </w:pPr>
            <w:r w:rsidRPr="00A639C4">
              <w:rPr>
                <w:b/>
              </w:rPr>
              <w:t>Wizja lokalna</w:t>
            </w:r>
          </w:p>
        </w:tc>
      </w:tr>
      <w:tr w:rsidR="00E6333B" w:rsidRPr="00A639C4" w14:paraId="2987B09E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7EF38EF4" w14:textId="77777777" w:rsidR="00E6333B" w:rsidRPr="00A639C4" w:rsidRDefault="00E6333B" w:rsidP="00E6333B"/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64810560" w14:textId="77777777" w:rsidR="002F0BD2" w:rsidRDefault="002F0BD2" w:rsidP="002F0BD2">
            <w:pPr>
              <w:rPr>
                <w:b/>
              </w:rPr>
            </w:pPr>
          </w:p>
          <w:p w14:paraId="1A6ED23C" w14:textId="77777777" w:rsidR="002F0BD2" w:rsidRPr="002F0BD2" w:rsidRDefault="002F0BD2" w:rsidP="002F0BD2">
            <w:pPr>
              <w:rPr>
                <w:bCs/>
              </w:rPr>
            </w:pPr>
            <w:r w:rsidRPr="002F0BD2">
              <w:rPr>
                <w:b/>
              </w:rPr>
              <w:t xml:space="preserve">Zamawiający </w:t>
            </w:r>
            <w:r w:rsidRPr="002F0BD2">
              <w:rPr>
                <w:b/>
                <w:u w:val="single"/>
              </w:rPr>
              <w:t>nie wymaga</w:t>
            </w:r>
            <w:r w:rsidRPr="002F0BD2">
              <w:rPr>
                <w:b/>
              </w:rPr>
              <w:t xml:space="preserve"> złożenia oferty po odbyciu wizji lokalnej</w:t>
            </w:r>
            <w:r w:rsidRPr="002F0BD2">
              <w:rPr>
                <w:bCs/>
              </w:rPr>
              <w:t>.</w:t>
            </w:r>
          </w:p>
          <w:p w14:paraId="288413ED" w14:textId="77777777" w:rsidR="002F0BD2" w:rsidRPr="002F0BD2" w:rsidRDefault="002F0BD2" w:rsidP="002F0BD2">
            <w:pPr>
              <w:spacing w:line="276" w:lineRule="auto"/>
              <w:jc w:val="both"/>
            </w:pPr>
          </w:p>
          <w:p w14:paraId="25AF9ADD" w14:textId="44B82E75" w:rsidR="00E6333B" w:rsidRDefault="002F0BD2" w:rsidP="002F0BD2">
            <w:pPr>
              <w:jc w:val="both"/>
              <w:rPr>
                <w:b/>
              </w:rPr>
            </w:pPr>
            <w:r w:rsidRPr="002F0BD2">
              <w:rPr>
                <w:b/>
              </w:rPr>
              <w:t xml:space="preserve">Zamawiający </w:t>
            </w:r>
            <w:r w:rsidRPr="002F0BD2">
              <w:rPr>
                <w:b/>
                <w:u w:val="single"/>
              </w:rPr>
              <w:t>nie wymaga</w:t>
            </w:r>
            <w:r w:rsidRPr="002F0BD2">
              <w:rPr>
                <w:b/>
              </w:rPr>
              <w:t xml:space="preserve"> złożenia oferty po sprawdzeniu przez wykonawcę dokumentów niezbędnych do realizacji zamówienia dostępnych na miejscu </w:t>
            </w:r>
            <w:r>
              <w:rPr>
                <w:b/>
              </w:rPr>
              <w:t xml:space="preserve">                       </w:t>
            </w:r>
            <w:r w:rsidRPr="002F0BD2">
              <w:rPr>
                <w:b/>
              </w:rPr>
              <w:t>u Zamawiającego.</w:t>
            </w:r>
          </w:p>
          <w:p w14:paraId="1D9881F3" w14:textId="77777777" w:rsidR="002F0BD2" w:rsidRDefault="002F0BD2" w:rsidP="002F0BD2">
            <w:pPr>
              <w:jc w:val="both"/>
            </w:pPr>
          </w:p>
          <w:p w14:paraId="4E9E49F2" w14:textId="6DFD338D" w:rsidR="005E2511" w:rsidRPr="00A639C4" w:rsidRDefault="005E2511" w:rsidP="002F0BD2">
            <w:pPr>
              <w:jc w:val="both"/>
            </w:pPr>
          </w:p>
        </w:tc>
      </w:tr>
      <w:tr w:rsidR="00E6333B" w:rsidRPr="00A639C4" w14:paraId="6E3431A4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3FE3F7D8" w14:textId="4FD0D68D" w:rsidR="00E6333B" w:rsidRPr="00A639C4" w:rsidRDefault="00E6333B" w:rsidP="00E6333B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6.2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68F0CD7D" w14:textId="68B58EBD" w:rsidR="00E6333B" w:rsidRPr="00A639C4" w:rsidRDefault="00E6333B" w:rsidP="00E6333B">
            <w:pPr>
              <w:rPr>
                <w:b/>
              </w:rPr>
            </w:pPr>
            <w:r w:rsidRPr="00A639C4">
              <w:rPr>
                <w:b/>
              </w:rPr>
              <w:t>Obowiązek osobistego wykonania przez Wykonawcę kluczowych części zamówienia</w:t>
            </w:r>
          </w:p>
          <w:p w14:paraId="27A7DF74" w14:textId="77777777" w:rsidR="00E6333B" w:rsidRPr="00A639C4" w:rsidRDefault="00E6333B" w:rsidP="00E6333B">
            <w:pPr>
              <w:rPr>
                <w:b/>
              </w:rPr>
            </w:pPr>
          </w:p>
        </w:tc>
      </w:tr>
      <w:tr w:rsidR="00E6333B" w:rsidRPr="00A639C4" w14:paraId="032FACC3" w14:textId="77777777" w:rsidTr="00A639C4">
        <w:tc>
          <w:tcPr>
            <w:tcW w:w="1384" w:type="dxa"/>
            <w:shd w:val="clear" w:color="auto" w:fill="auto"/>
          </w:tcPr>
          <w:p w14:paraId="59307303" w14:textId="77777777" w:rsidR="00E6333B" w:rsidRPr="00A639C4" w:rsidRDefault="00E6333B" w:rsidP="00E6333B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739AB36E" w14:textId="77777777" w:rsidR="00E6333B" w:rsidRDefault="00E6333B" w:rsidP="00E6333B">
            <w:pPr>
              <w:pStyle w:val="arimr"/>
              <w:widowControl/>
              <w:suppressAutoHyphens/>
              <w:snapToGrid/>
              <w:spacing w:line="240" w:lineRule="auto"/>
              <w:jc w:val="both"/>
              <w:rPr>
                <w:rFonts w:ascii="Arial" w:hAnsi="Arial" w:cs="Arial"/>
                <w:sz w:val="20"/>
                <w:lang w:val="pl-PL"/>
              </w:rPr>
            </w:pPr>
          </w:p>
          <w:p w14:paraId="673EE58C" w14:textId="73C6CA1A" w:rsidR="00E6333B" w:rsidRPr="00CC10AD" w:rsidRDefault="00E6333B" w:rsidP="00E6333B">
            <w:pPr>
              <w:pStyle w:val="arimr"/>
              <w:widowControl/>
              <w:suppressAutoHyphens/>
              <w:snapToGrid/>
              <w:spacing w:line="240" w:lineRule="auto"/>
              <w:jc w:val="both"/>
              <w:rPr>
                <w:rFonts w:ascii="Arial" w:hAnsi="Arial" w:cs="Arial"/>
                <w:b/>
                <w:sz w:val="20"/>
                <w:lang w:val="pl-PL"/>
              </w:rPr>
            </w:pPr>
            <w:r w:rsidRPr="00A639C4">
              <w:rPr>
                <w:rFonts w:ascii="Arial" w:hAnsi="Arial" w:cs="Arial"/>
                <w:sz w:val="20"/>
                <w:lang w:val="pl-PL"/>
              </w:rPr>
              <w:t xml:space="preserve">Zamawiający </w:t>
            </w:r>
            <w:r w:rsidRPr="00A639C4">
              <w:rPr>
                <w:rFonts w:ascii="Arial" w:hAnsi="Arial" w:cs="Arial"/>
                <w:b/>
                <w:bCs/>
                <w:sz w:val="20"/>
                <w:lang w:val="pl-PL"/>
              </w:rPr>
              <w:t>nie</w:t>
            </w:r>
            <w:r w:rsidRPr="00A639C4">
              <w:rPr>
                <w:rFonts w:ascii="Arial" w:hAnsi="Arial" w:cs="Arial"/>
                <w:sz w:val="20"/>
                <w:lang w:val="pl-PL"/>
              </w:rPr>
              <w:t xml:space="preserve"> </w:t>
            </w:r>
            <w:r w:rsidRPr="00A639C4">
              <w:rPr>
                <w:rFonts w:ascii="Arial" w:hAnsi="Arial" w:cs="Arial"/>
                <w:b/>
                <w:sz w:val="20"/>
                <w:lang w:val="pl-PL"/>
              </w:rPr>
              <w:t xml:space="preserve">zastrzega </w:t>
            </w:r>
            <w:r w:rsidRPr="00A639C4">
              <w:rPr>
                <w:rFonts w:ascii="Arial" w:hAnsi="Arial" w:cs="Arial"/>
                <w:sz w:val="20"/>
                <w:lang w:val="pl-PL"/>
              </w:rPr>
              <w:t>obowiązku osobistego wykonania przez Wykonawcę kluczowych części zamówienia.</w:t>
            </w:r>
          </w:p>
          <w:p w14:paraId="32B920E5" w14:textId="2D8E3857" w:rsidR="00E6333B" w:rsidRPr="00A639C4" w:rsidRDefault="00E6333B" w:rsidP="00E6333B">
            <w:pPr>
              <w:pStyle w:val="arimr"/>
              <w:widowControl/>
              <w:suppressAutoHyphens/>
              <w:snapToGrid/>
              <w:spacing w:line="240" w:lineRule="auto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E6333B" w:rsidRPr="00A639C4" w14:paraId="3567789B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558F5FDC" w14:textId="436113FD" w:rsidR="00E6333B" w:rsidRPr="00A639C4" w:rsidRDefault="00E6333B" w:rsidP="00E6333B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7.1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303326E2" w14:textId="7053D133" w:rsidR="00E6333B" w:rsidRPr="00A639C4" w:rsidRDefault="00E6333B" w:rsidP="00E6333B">
            <w:pPr>
              <w:rPr>
                <w:bCs/>
              </w:rPr>
            </w:pPr>
            <w:r w:rsidRPr="00A639C4">
              <w:rPr>
                <w:b/>
              </w:rPr>
              <w:t>Termin wykonania zamówienia</w:t>
            </w:r>
          </w:p>
        </w:tc>
      </w:tr>
      <w:tr w:rsidR="00A52EC8" w:rsidRPr="00A639C4" w14:paraId="0385F7B7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5D8A973E" w14:textId="77777777" w:rsidR="00A52EC8" w:rsidRPr="00A639C4" w:rsidRDefault="00A52EC8" w:rsidP="00A52EC8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27EE8265" w14:textId="77777777" w:rsidR="00A52EC8" w:rsidRPr="00161D74" w:rsidRDefault="00A52EC8" w:rsidP="00A52EC8">
            <w:pPr>
              <w:jc w:val="both"/>
            </w:pPr>
          </w:p>
          <w:p w14:paraId="040D11AB" w14:textId="38187105" w:rsidR="00A52EC8" w:rsidRDefault="00A52EC8" w:rsidP="00833915">
            <w:pPr>
              <w:jc w:val="both"/>
              <w:rPr>
                <w:b/>
              </w:rPr>
            </w:pPr>
            <w:r w:rsidRPr="00161D74">
              <w:rPr>
                <w:b/>
              </w:rPr>
              <w:t xml:space="preserve">Termin wykonania zamówienia: </w:t>
            </w:r>
            <w:r w:rsidR="00FF4178">
              <w:rPr>
                <w:b/>
              </w:rPr>
              <w:t xml:space="preserve"> od dnia </w:t>
            </w:r>
            <w:r w:rsidR="00233FD4">
              <w:rPr>
                <w:b/>
              </w:rPr>
              <w:t xml:space="preserve">podpisania umowy </w:t>
            </w:r>
            <w:r w:rsidR="00FF4178">
              <w:rPr>
                <w:b/>
              </w:rPr>
              <w:t xml:space="preserve">do dnia </w:t>
            </w:r>
            <w:r w:rsidRPr="00161D74">
              <w:rPr>
                <w:b/>
              </w:rPr>
              <w:t>31.12.202</w:t>
            </w:r>
            <w:r w:rsidR="00FF4178">
              <w:rPr>
                <w:b/>
              </w:rPr>
              <w:t>5</w:t>
            </w:r>
            <w:r w:rsidRPr="00161D74">
              <w:rPr>
                <w:b/>
              </w:rPr>
              <w:t>r.</w:t>
            </w:r>
            <w:r w:rsidR="003D2DF4">
              <w:rPr>
                <w:b/>
              </w:rPr>
              <w:t xml:space="preserve"> </w:t>
            </w:r>
          </w:p>
          <w:p w14:paraId="1695D525" w14:textId="77777777" w:rsidR="003D2DF4" w:rsidRDefault="003D2DF4" w:rsidP="003D2DF4">
            <w:bookmarkStart w:id="3" w:name="_Hlk184038865"/>
          </w:p>
          <w:p w14:paraId="2BD49CF3" w14:textId="2826A082" w:rsidR="003D2DF4" w:rsidRPr="004168CE" w:rsidRDefault="003D2DF4" w:rsidP="003D2DF4">
            <w:r w:rsidRPr="001F1D0E">
              <w:t xml:space="preserve">Płatności </w:t>
            </w:r>
            <w:r w:rsidR="00F94D1E">
              <w:t>będą</w:t>
            </w:r>
            <w:r w:rsidRPr="001F1D0E">
              <w:t xml:space="preserve"> zrealizowane w terminie nie dłuższym niż 30 dni od daty otrzymania faktury, za wyjątkiem miesiąca grudzień, gdzie datę dostarczenia faktury określa się </w:t>
            </w:r>
            <w:bookmarkStart w:id="4" w:name="_Hlk153883128"/>
            <w:r w:rsidRPr="001F1D0E">
              <w:t>do dnia 27.12.202</w:t>
            </w:r>
            <w:r>
              <w:t>5</w:t>
            </w:r>
            <w:r w:rsidRPr="001F1D0E">
              <w:t>r.</w:t>
            </w:r>
            <w:r>
              <w:t xml:space="preserve"> </w:t>
            </w:r>
            <w:bookmarkEnd w:id="4"/>
          </w:p>
          <w:bookmarkEnd w:id="3"/>
          <w:p w14:paraId="1AD64FE2" w14:textId="77777777" w:rsidR="00161D74" w:rsidRPr="00161D74" w:rsidRDefault="00161D74" w:rsidP="00A52EC8">
            <w:pPr>
              <w:tabs>
                <w:tab w:val="center" w:pos="4536"/>
              </w:tabs>
              <w:jc w:val="both"/>
            </w:pPr>
          </w:p>
          <w:p w14:paraId="57F0A22F" w14:textId="77777777" w:rsidR="00A52EC8" w:rsidRPr="00161D74" w:rsidRDefault="00A52EC8" w:rsidP="00A52EC8">
            <w:pPr>
              <w:tabs>
                <w:tab w:val="center" w:pos="4536"/>
              </w:tabs>
              <w:jc w:val="both"/>
            </w:pPr>
            <w:r w:rsidRPr="00161D74">
              <w:t>Zamawiający jest jednostką budżetową, finansowaną przez Samorząd Województwa Podkarpackiego.</w:t>
            </w:r>
          </w:p>
          <w:p w14:paraId="458ABAF1" w14:textId="233E6EE6" w:rsidR="00A52EC8" w:rsidRPr="00161D74" w:rsidRDefault="00A52EC8" w:rsidP="00A52EC8">
            <w:pPr>
              <w:tabs>
                <w:tab w:val="center" w:pos="4536"/>
              </w:tabs>
              <w:jc w:val="both"/>
            </w:pPr>
            <w:r w:rsidRPr="00161D74">
              <w:t xml:space="preserve">Zamawiający jako jednostka sektora finansów publicznych zawiera umowy, których przedmiotem są usługi, dostawy lub roboty budowlane, na zasadach określonych </w:t>
            </w:r>
            <w:r w:rsidR="00800F99" w:rsidRPr="00161D74">
              <w:t xml:space="preserve">                      </w:t>
            </w:r>
            <w:r w:rsidRPr="00161D74">
              <w:t xml:space="preserve">w przepisach o zamówieniach publicznych. </w:t>
            </w:r>
          </w:p>
          <w:p w14:paraId="76328F88" w14:textId="77777777" w:rsidR="00A52EC8" w:rsidRPr="00161D74" w:rsidRDefault="00A52EC8" w:rsidP="00A52EC8">
            <w:pPr>
              <w:tabs>
                <w:tab w:val="center" w:pos="4536"/>
              </w:tabs>
              <w:jc w:val="both"/>
            </w:pPr>
            <w:r w:rsidRPr="00161D74">
              <w:t xml:space="preserve">Podstawą gospodarki finansowej jednostki samorządu terytorialnego w danym roku budżetowym jest uchwała budżetowa. </w:t>
            </w:r>
          </w:p>
          <w:p w14:paraId="0CB94866" w14:textId="77777777" w:rsidR="00A52EC8" w:rsidRPr="00161D74" w:rsidRDefault="00A52EC8" w:rsidP="00A52EC8">
            <w:pPr>
              <w:tabs>
                <w:tab w:val="center" w:pos="4536"/>
              </w:tabs>
              <w:jc w:val="both"/>
            </w:pPr>
            <w:r w:rsidRPr="00161D74">
              <w:t>Zamawiający ponosi wydatki publiczne  na cele i w wysokościach ustalonych w:</w:t>
            </w:r>
          </w:p>
          <w:p w14:paraId="3B1B2B6D" w14:textId="77777777" w:rsidR="00A52EC8" w:rsidRPr="00161D74" w:rsidRDefault="00A52EC8" w:rsidP="00A52EC8">
            <w:pPr>
              <w:tabs>
                <w:tab w:val="center" w:pos="4536"/>
              </w:tabs>
              <w:jc w:val="both"/>
            </w:pPr>
            <w:r w:rsidRPr="00161D74">
              <w:t>1)</w:t>
            </w:r>
            <w:hyperlink r:id="rId9" w:anchor="/search-hypertext/17569559_art(44)_1?pit=2021-03-09" w:history="1">
              <w:r w:rsidRPr="00161D74">
                <w:t>ustawie</w:t>
              </w:r>
            </w:hyperlink>
            <w:r w:rsidRPr="00161D74">
              <w:t xml:space="preserve"> budżetowej;</w:t>
            </w:r>
          </w:p>
          <w:p w14:paraId="1C5DBB2F" w14:textId="77777777" w:rsidR="00A52EC8" w:rsidRPr="00161D74" w:rsidRDefault="00A52EC8" w:rsidP="00A52EC8">
            <w:pPr>
              <w:tabs>
                <w:tab w:val="center" w:pos="4536"/>
              </w:tabs>
              <w:jc w:val="both"/>
            </w:pPr>
            <w:r w:rsidRPr="00161D74">
              <w:t>2)uchwale budżetowej jednostki samorządu terytorialnego;</w:t>
            </w:r>
          </w:p>
          <w:p w14:paraId="52E2B198" w14:textId="77777777" w:rsidR="00A52EC8" w:rsidRPr="00161D74" w:rsidRDefault="00A52EC8" w:rsidP="00A52EC8">
            <w:pPr>
              <w:tabs>
                <w:tab w:val="center" w:pos="4536"/>
              </w:tabs>
              <w:jc w:val="both"/>
            </w:pPr>
            <w:r w:rsidRPr="00161D74">
              <w:t>3)planie finansowym jednostki sektora finansów publicznych.</w:t>
            </w:r>
          </w:p>
          <w:p w14:paraId="47D29FCB" w14:textId="649793E7" w:rsidR="003F141C" w:rsidRPr="00161D74" w:rsidRDefault="00A52EC8" w:rsidP="00A52EC8">
            <w:pPr>
              <w:tabs>
                <w:tab w:val="center" w:pos="4536"/>
              </w:tabs>
              <w:jc w:val="both"/>
            </w:pPr>
            <w:r w:rsidRPr="00161D74">
              <w:t xml:space="preserve">Budżet jednostki samorządu terytorialnego jest rocznym planem dochodów i wydatków oraz przychodów i rozchodów tej jednostki. Budżet jednostki samorządu terytorialnego jest uchwalany na rok budżetowy – rok kalendarzowy. Wydatki publiczne mogą być ponoszone w wysokości i terminach wynikających z wcześniej zaciągniętych zobowiązań. </w:t>
            </w:r>
          </w:p>
          <w:p w14:paraId="43FD3FAD" w14:textId="77777777" w:rsidR="00A52EC8" w:rsidRPr="00161D74" w:rsidRDefault="00A52EC8" w:rsidP="00A52EC8">
            <w:pPr>
              <w:spacing w:before="100" w:beforeAutospacing="1" w:after="100" w:afterAutospacing="1"/>
              <w:jc w:val="both"/>
            </w:pPr>
            <w:r w:rsidRPr="00161D74">
              <w:t>Podstawowy plan rzeczowo - finansowy obejmuje jednoroczny okres realizacji zadań bieżących jak i majątkowych dlatego niezbędne jest określenie zakończenia realizacji zadania maksymalnie do końca grudnia bieżącego roku. Termin ten pozwala na zwrot niewykorzystanych środków do Urzędu Marszałkowskiego oraz ewentualnie JST zaangażowanych w realizację przedmiotu umowy czy  rozliczenie przyznanych dotacji.</w:t>
            </w:r>
          </w:p>
          <w:p w14:paraId="777B57B6" w14:textId="1D43F32E" w:rsidR="00FF4178" w:rsidRDefault="00A52EC8" w:rsidP="00F45267">
            <w:pPr>
              <w:spacing w:before="100" w:beforeAutospacing="1" w:after="100" w:afterAutospacing="1"/>
              <w:jc w:val="both"/>
            </w:pPr>
            <w:r w:rsidRPr="00161D74">
              <w:t xml:space="preserve">Sytuacja taka jest podyktowana min. tym że Zamawiający prowadzi gospodarkę finansową w oparciu o zasady gospodarki budżetowej przyjętej dla jednostek samorządowych. Pomimo braku osobowości prawnej zasady te obowiązują, </w:t>
            </w:r>
            <w:r w:rsidR="00FF4178">
              <w:t xml:space="preserve">                         </w:t>
            </w:r>
            <w:r w:rsidRPr="00161D74">
              <w:t xml:space="preserve">a podstawową zasadą jest jednoroczny budżet jednostki. </w:t>
            </w:r>
          </w:p>
          <w:p w14:paraId="154527BD" w14:textId="77777777" w:rsidR="00A52EC8" w:rsidRPr="00161D74" w:rsidRDefault="00A52EC8" w:rsidP="00A52EC8">
            <w:pPr>
              <w:tabs>
                <w:tab w:val="center" w:pos="4536"/>
              </w:tabs>
              <w:jc w:val="both"/>
            </w:pPr>
            <w:r w:rsidRPr="00161D74">
              <w:t>W związku z faktem, że Zamawiający:</w:t>
            </w:r>
          </w:p>
          <w:p w14:paraId="1912497E" w14:textId="77777777" w:rsidR="00A52EC8" w:rsidRPr="00161D74" w:rsidRDefault="00A52EC8" w:rsidP="009B3E08">
            <w:pPr>
              <w:pStyle w:val="Akapitzlist"/>
              <w:widowControl/>
              <w:numPr>
                <w:ilvl w:val="0"/>
                <w:numId w:val="5"/>
              </w:numPr>
              <w:tabs>
                <w:tab w:val="center" w:pos="4536"/>
              </w:tabs>
              <w:autoSpaceDE/>
              <w:autoSpaceDN/>
              <w:adjustRightInd/>
              <w:spacing w:after="200"/>
              <w:contextualSpacing/>
              <w:jc w:val="both"/>
            </w:pPr>
            <w:r w:rsidRPr="00161D74">
              <w:t>realizuje gospodarkę finansową w oparciu o zasady budżetu rocznego które obligują Kierownika Jednostki do wydatkowania środków planu finansowego na zadania realizowane w oparciu o zamówienia publiczne do końca danego roku budżetowego jeśli Kierownik Jednostki nie posiada dodatkowych upoważnień od Zarządu Województwa Podkarpackiego do zaciągania zobowiązań finansowych w danym roku budżetowym obciążającym lata przyszłe;</w:t>
            </w:r>
          </w:p>
          <w:p w14:paraId="6D9A135A" w14:textId="51E0C8E4" w:rsidR="00A52EC8" w:rsidRPr="00161D74" w:rsidRDefault="00A52EC8" w:rsidP="009B3E08">
            <w:pPr>
              <w:pStyle w:val="Akapitzlist"/>
              <w:widowControl/>
              <w:numPr>
                <w:ilvl w:val="0"/>
                <w:numId w:val="5"/>
              </w:numPr>
              <w:tabs>
                <w:tab w:val="center" w:pos="4536"/>
              </w:tabs>
              <w:autoSpaceDE/>
              <w:autoSpaceDN/>
              <w:adjustRightInd/>
              <w:spacing w:after="200"/>
              <w:contextualSpacing/>
              <w:jc w:val="both"/>
            </w:pPr>
            <w:r w:rsidRPr="00161D74">
              <w:lastRenderedPageBreak/>
              <w:t xml:space="preserve">jako jednostka sektora finansów publicznych może zaciągać zobowiązania </w:t>
            </w:r>
            <w:r w:rsidR="00FF4178">
              <w:t xml:space="preserve">                       </w:t>
            </w:r>
            <w:r w:rsidRPr="00161D74">
              <w:t xml:space="preserve">do sfinansowania w danym roku do wysokości wynikającej z planu wydatków, </w:t>
            </w:r>
          </w:p>
          <w:p w14:paraId="4AE566D2" w14:textId="77777777" w:rsidR="00A52EC8" w:rsidRPr="00161D74" w:rsidRDefault="00A52EC8" w:rsidP="009B3E08">
            <w:pPr>
              <w:pStyle w:val="Akapitzlist"/>
              <w:widowControl/>
              <w:numPr>
                <w:ilvl w:val="0"/>
                <w:numId w:val="5"/>
              </w:numPr>
              <w:tabs>
                <w:tab w:val="center" w:pos="4536"/>
              </w:tabs>
              <w:autoSpaceDE/>
              <w:autoSpaceDN/>
              <w:adjustRightInd/>
              <w:spacing w:after="200"/>
              <w:contextualSpacing/>
              <w:jc w:val="both"/>
            </w:pPr>
            <w:r w:rsidRPr="00161D74">
              <w:t xml:space="preserve">nie posiada uchwały zezwalającej na zaciągnięcie zobowiązania wieloletniego </w:t>
            </w:r>
          </w:p>
          <w:p w14:paraId="75EBB3BC" w14:textId="77777777" w:rsidR="00A52EC8" w:rsidRDefault="00A52EC8" w:rsidP="00A52EC8">
            <w:pPr>
              <w:tabs>
                <w:tab w:val="center" w:pos="4536"/>
              </w:tabs>
              <w:jc w:val="both"/>
            </w:pPr>
            <w:r w:rsidRPr="00161D74">
              <w:t xml:space="preserve">oraz mając na uwadze specyfikę przedmiotu zamówienia wskazanie daty wykonania umowy jest uzasadnione obiektywną przyczyną ( art. 436 ust. 1 </w:t>
            </w:r>
            <w:proofErr w:type="spellStart"/>
            <w:r w:rsidRPr="00161D74">
              <w:t>Pzp</w:t>
            </w:r>
            <w:proofErr w:type="spellEnd"/>
            <w:r w:rsidRPr="00161D74">
              <w:t xml:space="preserve">).  </w:t>
            </w:r>
          </w:p>
          <w:p w14:paraId="14A11A98" w14:textId="52D4F451" w:rsidR="00AF0405" w:rsidRPr="00F45267" w:rsidRDefault="00AF0405" w:rsidP="00A52EC8">
            <w:pPr>
              <w:tabs>
                <w:tab w:val="center" w:pos="4536"/>
              </w:tabs>
              <w:jc w:val="both"/>
            </w:pPr>
          </w:p>
        </w:tc>
      </w:tr>
      <w:tr w:rsidR="00A52EC8" w:rsidRPr="00A639C4" w14:paraId="5C3DF8E2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457CC753" w14:textId="56DDCA0F" w:rsidR="00A52EC8" w:rsidRPr="00A639C4" w:rsidRDefault="00A52EC8" w:rsidP="00A52EC8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8.</w:t>
            </w:r>
            <w:r>
              <w:rPr>
                <w:b/>
              </w:rPr>
              <w:t>1</w:t>
            </w:r>
            <w:r w:rsidRPr="00A639C4">
              <w:rPr>
                <w:b/>
              </w:rPr>
              <w:t xml:space="preserve">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5EF79C8F" w14:textId="77777777" w:rsidR="00A52EC8" w:rsidRPr="00A639C4" w:rsidRDefault="00A52EC8" w:rsidP="00A52EC8">
            <w:pPr>
              <w:rPr>
                <w:b/>
                <w:bCs/>
              </w:rPr>
            </w:pPr>
            <w:r w:rsidRPr="00A639C4">
              <w:rPr>
                <w:b/>
              </w:rPr>
              <w:t xml:space="preserve">Warunki udziału w postępowaniu o udzielenie zamówienia </w:t>
            </w:r>
          </w:p>
        </w:tc>
      </w:tr>
      <w:tr w:rsidR="00A52EC8" w:rsidRPr="00A639C4" w14:paraId="78420147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5081D543" w14:textId="77777777" w:rsidR="00A52EC8" w:rsidRPr="00A639C4" w:rsidRDefault="00A52EC8" w:rsidP="00A52EC8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001B3532" w14:textId="77777777" w:rsidR="00FB77CA" w:rsidRPr="00FB77CA" w:rsidRDefault="00FB77CA" w:rsidP="00FB77CA">
            <w:pPr>
              <w:widowControl/>
              <w:autoSpaceDE/>
              <w:autoSpaceDN/>
              <w:adjustRightInd/>
              <w:spacing w:before="240"/>
              <w:ind w:right="20"/>
              <w:jc w:val="both"/>
              <w:rPr>
                <w:rFonts w:eastAsiaTheme="minorHAnsi"/>
                <w:lang w:eastAsia="en-US"/>
              </w:rPr>
            </w:pPr>
            <w:r w:rsidRPr="00FB77CA">
              <w:rPr>
                <w:rFonts w:eastAsiaTheme="minorHAnsi"/>
                <w:lang w:eastAsia="en-US"/>
              </w:rPr>
              <w:t>O udzielenie zamówienia mogą ubiegać się Wykonawcy, którzy spełniają warunki dotyczące:</w:t>
            </w:r>
          </w:p>
          <w:p w14:paraId="2ED45E8F" w14:textId="77777777" w:rsidR="00FB77CA" w:rsidRPr="00FB77CA" w:rsidRDefault="00FB77CA" w:rsidP="009B3E08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120"/>
              <w:ind w:left="850" w:right="23" w:hanging="425"/>
              <w:jc w:val="both"/>
              <w:rPr>
                <w:rFonts w:eastAsiaTheme="minorHAnsi"/>
                <w:lang w:eastAsia="en-US"/>
              </w:rPr>
            </w:pPr>
            <w:r w:rsidRPr="00FB77CA">
              <w:rPr>
                <w:rFonts w:eastAsiaTheme="minorHAnsi"/>
                <w:b/>
                <w:lang w:eastAsia="en-US"/>
              </w:rPr>
              <w:t>zdolności do występowania w obrocie gospodarczym:</w:t>
            </w:r>
          </w:p>
          <w:p w14:paraId="243C71EA" w14:textId="77777777" w:rsidR="00FB77CA" w:rsidRPr="00FB77CA" w:rsidRDefault="00FB77CA" w:rsidP="00FB77CA">
            <w:pPr>
              <w:widowControl/>
              <w:autoSpaceDE/>
              <w:autoSpaceDN/>
              <w:adjustRightInd/>
              <w:ind w:right="2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</w:p>
          <w:p w14:paraId="3DEAD754" w14:textId="77777777" w:rsidR="00FB77CA" w:rsidRPr="00FB77CA" w:rsidRDefault="00FB77CA" w:rsidP="00FB77CA">
            <w:pPr>
              <w:widowControl/>
              <w:autoSpaceDE/>
              <w:autoSpaceDN/>
              <w:adjustRightInd/>
              <w:ind w:right="20"/>
              <w:jc w:val="both"/>
              <w:rPr>
                <w:rFonts w:eastAsiaTheme="minorHAnsi"/>
                <w:lang w:eastAsia="en-US"/>
              </w:rPr>
            </w:pPr>
            <w:r w:rsidRPr="00FB77CA">
              <w:rPr>
                <w:rFonts w:eastAsiaTheme="minorHAnsi"/>
                <w:lang w:eastAsia="en-US"/>
              </w:rPr>
              <w:t xml:space="preserve">Zamawiający </w:t>
            </w:r>
            <w:r w:rsidRPr="00FB77CA">
              <w:rPr>
                <w:rFonts w:eastAsiaTheme="minorHAnsi"/>
                <w:b/>
                <w:u w:val="single"/>
                <w:lang w:eastAsia="en-US"/>
              </w:rPr>
              <w:t>nie stawia</w:t>
            </w:r>
            <w:r w:rsidRPr="00FB77CA">
              <w:rPr>
                <w:rFonts w:eastAsiaTheme="minorHAnsi"/>
                <w:lang w:eastAsia="en-US"/>
              </w:rPr>
              <w:t xml:space="preserve"> warunku w powyższym zakresie.</w:t>
            </w:r>
          </w:p>
          <w:p w14:paraId="755389A1" w14:textId="77777777" w:rsidR="00FB77CA" w:rsidRPr="00FB77CA" w:rsidRDefault="00FB77CA" w:rsidP="00FB77CA">
            <w:pPr>
              <w:widowControl/>
              <w:autoSpaceDE/>
              <w:autoSpaceDN/>
              <w:adjustRightInd/>
              <w:ind w:left="868" w:right="20"/>
              <w:jc w:val="both"/>
              <w:rPr>
                <w:rFonts w:eastAsiaTheme="minorHAnsi"/>
                <w:lang w:eastAsia="en-US"/>
              </w:rPr>
            </w:pPr>
          </w:p>
          <w:p w14:paraId="20D3D6B5" w14:textId="49AA5C8B" w:rsidR="00FB77CA" w:rsidRPr="00FB77CA" w:rsidRDefault="00FB77CA" w:rsidP="009B3E08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852" w:right="20" w:hanging="426"/>
              <w:jc w:val="both"/>
              <w:rPr>
                <w:rFonts w:eastAsiaTheme="minorHAnsi"/>
                <w:b/>
                <w:lang w:eastAsia="en-US"/>
              </w:rPr>
            </w:pPr>
            <w:r w:rsidRPr="00FB77CA">
              <w:rPr>
                <w:rFonts w:eastAsiaTheme="minorHAnsi"/>
                <w:b/>
                <w:lang w:eastAsia="en-US"/>
              </w:rPr>
              <w:t xml:space="preserve">uprawnień do prowadzenia określonej działalności gospodarczej </w:t>
            </w:r>
            <w:r w:rsidR="00EF7AC2">
              <w:rPr>
                <w:rFonts w:eastAsiaTheme="minorHAnsi"/>
                <w:b/>
                <w:lang w:eastAsia="en-US"/>
              </w:rPr>
              <w:t xml:space="preserve">                   </w:t>
            </w:r>
            <w:r w:rsidRPr="00FB77CA">
              <w:rPr>
                <w:rFonts w:eastAsiaTheme="minorHAnsi"/>
                <w:b/>
                <w:lang w:eastAsia="en-US"/>
              </w:rPr>
              <w:t>lub zawodowej, o ile wynika to z odrębnych przepisów:</w:t>
            </w:r>
          </w:p>
          <w:p w14:paraId="79E0A2E9" w14:textId="77777777" w:rsidR="00FB77CA" w:rsidRPr="00FB77CA" w:rsidRDefault="00FB77CA" w:rsidP="00FB77CA">
            <w:pPr>
              <w:widowControl/>
              <w:autoSpaceDE/>
              <w:autoSpaceDN/>
              <w:adjustRightInd/>
              <w:ind w:right="2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</w:p>
          <w:p w14:paraId="39D6B796" w14:textId="77777777" w:rsidR="00FB77CA" w:rsidRPr="00FB77CA" w:rsidRDefault="00FB77CA" w:rsidP="00FB77CA">
            <w:pPr>
              <w:widowControl/>
              <w:autoSpaceDE/>
              <w:autoSpaceDN/>
              <w:adjustRightInd/>
              <w:ind w:right="20"/>
              <w:jc w:val="both"/>
              <w:rPr>
                <w:rFonts w:eastAsiaTheme="minorHAnsi"/>
                <w:lang w:eastAsia="en-US"/>
              </w:rPr>
            </w:pPr>
            <w:r w:rsidRPr="00FB77CA">
              <w:rPr>
                <w:rFonts w:eastAsiaTheme="minorHAnsi"/>
                <w:lang w:eastAsia="en-US"/>
              </w:rPr>
              <w:t xml:space="preserve">Zamawiający </w:t>
            </w:r>
            <w:r w:rsidRPr="00FB77CA">
              <w:rPr>
                <w:rFonts w:eastAsiaTheme="minorHAnsi"/>
                <w:b/>
                <w:u w:val="single"/>
                <w:lang w:eastAsia="en-US"/>
              </w:rPr>
              <w:t>nie stawia</w:t>
            </w:r>
            <w:r w:rsidRPr="00FB77CA">
              <w:rPr>
                <w:rFonts w:eastAsiaTheme="minorHAnsi"/>
                <w:lang w:eastAsia="en-US"/>
              </w:rPr>
              <w:t xml:space="preserve"> warunku w powyższym zakresie.</w:t>
            </w:r>
          </w:p>
          <w:p w14:paraId="7D4DC18A" w14:textId="77777777" w:rsidR="00FB77CA" w:rsidRPr="00FB77CA" w:rsidRDefault="00FB77CA" w:rsidP="00FB77CA">
            <w:pPr>
              <w:widowControl/>
              <w:autoSpaceDE/>
              <w:autoSpaceDN/>
              <w:adjustRightInd/>
              <w:ind w:left="868" w:right="20"/>
              <w:jc w:val="both"/>
              <w:rPr>
                <w:rFonts w:eastAsiaTheme="minorHAnsi"/>
                <w:lang w:eastAsia="en-US"/>
              </w:rPr>
            </w:pPr>
          </w:p>
          <w:p w14:paraId="2B06D959" w14:textId="77777777" w:rsidR="00FB77CA" w:rsidRPr="00FB77CA" w:rsidRDefault="00FB77CA" w:rsidP="009B3E08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852" w:right="20" w:hanging="426"/>
              <w:jc w:val="both"/>
              <w:rPr>
                <w:rFonts w:eastAsiaTheme="minorHAnsi"/>
                <w:lang w:eastAsia="en-US"/>
              </w:rPr>
            </w:pPr>
            <w:r w:rsidRPr="00FB77CA">
              <w:rPr>
                <w:rFonts w:eastAsiaTheme="minorHAnsi"/>
                <w:b/>
                <w:lang w:eastAsia="en-US"/>
              </w:rPr>
              <w:t>sytuacji ekonomicznej lub finansowej:</w:t>
            </w:r>
          </w:p>
          <w:p w14:paraId="40CCFBE1" w14:textId="77777777" w:rsidR="00FB77CA" w:rsidRPr="00FB77CA" w:rsidRDefault="00FB77CA" w:rsidP="00FB77CA">
            <w:pPr>
              <w:widowControl/>
              <w:autoSpaceDE/>
              <w:autoSpaceDN/>
              <w:adjustRightInd/>
              <w:ind w:left="868" w:right="20"/>
              <w:jc w:val="both"/>
              <w:rPr>
                <w:rFonts w:eastAsiaTheme="minorHAnsi"/>
                <w:b/>
                <w:lang w:eastAsia="en-US"/>
              </w:rPr>
            </w:pPr>
          </w:p>
          <w:p w14:paraId="12E7CAB2" w14:textId="77777777" w:rsidR="00FB77CA" w:rsidRPr="00FB77CA" w:rsidRDefault="00FB77CA" w:rsidP="00FB77CA">
            <w:pPr>
              <w:widowControl/>
              <w:autoSpaceDE/>
              <w:autoSpaceDN/>
              <w:adjustRightInd/>
              <w:ind w:right="20"/>
              <w:jc w:val="both"/>
              <w:rPr>
                <w:rFonts w:eastAsiaTheme="minorHAnsi"/>
                <w:lang w:eastAsia="en-US"/>
              </w:rPr>
            </w:pPr>
            <w:r w:rsidRPr="00FB77CA">
              <w:rPr>
                <w:rFonts w:eastAsiaTheme="minorHAnsi"/>
                <w:lang w:eastAsia="en-US"/>
              </w:rPr>
              <w:t xml:space="preserve">Zamawiający </w:t>
            </w:r>
            <w:r w:rsidRPr="00FB77CA">
              <w:rPr>
                <w:rFonts w:eastAsiaTheme="minorHAnsi"/>
                <w:b/>
                <w:u w:val="single"/>
                <w:lang w:eastAsia="en-US"/>
              </w:rPr>
              <w:t>nie stawia</w:t>
            </w:r>
            <w:r w:rsidRPr="00FB77CA">
              <w:rPr>
                <w:rFonts w:eastAsiaTheme="minorHAnsi"/>
                <w:lang w:eastAsia="en-US"/>
              </w:rPr>
              <w:t xml:space="preserve"> warunku w powyższym zakresie.</w:t>
            </w:r>
          </w:p>
          <w:p w14:paraId="6157CDFA" w14:textId="77777777" w:rsidR="00FB77CA" w:rsidRPr="00FB77CA" w:rsidRDefault="00FB77CA" w:rsidP="00FB77CA">
            <w:pPr>
              <w:widowControl/>
              <w:autoSpaceDE/>
              <w:autoSpaceDN/>
              <w:adjustRightInd/>
              <w:ind w:left="868" w:right="20"/>
              <w:jc w:val="both"/>
              <w:rPr>
                <w:rFonts w:eastAsiaTheme="minorHAnsi"/>
                <w:lang w:eastAsia="en-US"/>
              </w:rPr>
            </w:pPr>
          </w:p>
          <w:p w14:paraId="0085DC52" w14:textId="77777777" w:rsidR="00FB77CA" w:rsidRPr="00FB77CA" w:rsidRDefault="00FB77CA" w:rsidP="009B3E08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852" w:right="20" w:hanging="426"/>
              <w:jc w:val="both"/>
              <w:rPr>
                <w:rFonts w:eastAsiaTheme="minorHAnsi"/>
                <w:b/>
                <w:lang w:eastAsia="en-US"/>
              </w:rPr>
            </w:pPr>
            <w:r w:rsidRPr="00FB77CA">
              <w:rPr>
                <w:rFonts w:eastAsiaTheme="minorHAnsi"/>
                <w:b/>
                <w:lang w:eastAsia="en-US"/>
              </w:rPr>
              <w:t>zdolności technicznej lub zawodowej:</w:t>
            </w:r>
          </w:p>
          <w:p w14:paraId="78857108" w14:textId="77777777" w:rsidR="009A631D" w:rsidRDefault="009A631D" w:rsidP="00FB77CA">
            <w:pPr>
              <w:widowControl/>
              <w:autoSpaceDE/>
              <w:autoSpaceDN/>
              <w:adjustRightInd/>
              <w:ind w:right="20"/>
              <w:rPr>
                <w:rFonts w:eastAsiaTheme="minorHAnsi"/>
                <w:lang w:eastAsia="en-US"/>
              </w:rPr>
            </w:pPr>
          </w:p>
          <w:p w14:paraId="6265C004" w14:textId="7DEC5F69" w:rsidR="00EE2E67" w:rsidRPr="00EE2E67" w:rsidRDefault="00EE2E67" w:rsidP="00E413EE">
            <w:pPr>
              <w:widowControl/>
              <w:autoSpaceDE/>
              <w:autoSpaceDN/>
              <w:adjustRightInd/>
              <w:ind w:right="20"/>
              <w:jc w:val="both"/>
              <w:rPr>
                <w:rFonts w:eastAsiaTheme="minorHAnsi"/>
                <w:lang w:eastAsia="en-US"/>
              </w:rPr>
            </w:pPr>
            <w:r w:rsidRPr="00EE2E67">
              <w:rPr>
                <w:rFonts w:eastAsiaTheme="minorHAnsi"/>
                <w:lang w:eastAsia="en-US"/>
              </w:rPr>
              <w:t xml:space="preserve">Zamawiający </w:t>
            </w:r>
            <w:r w:rsidRPr="00EE2E67">
              <w:rPr>
                <w:rFonts w:eastAsiaTheme="minorHAnsi"/>
                <w:b/>
                <w:u w:val="single"/>
                <w:lang w:eastAsia="en-US"/>
              </w:rPr>
              <w:t>stawia</w:t>
            </w:r>
            <w:r w:rsidRPr="00EE2E67">
              <w:rPr>
                <w:rFonts w:eastAsiaTheme="minorHAnsi"/>
                <w:lang w:eastAsia="en-US"/>
              </w:rPr>
              <w:t xml:space="preserve"> warunki dotyczące niezbędnego wykształcenia, kwalifikacji zawodowych, doświadczenia, potencjału technicznego wykonawcy lub osób skierowanych przez Wykonawcę 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EE2E67">
              <w:rPr>
                <w:rFonts w:eastAsiaTheme="minorHAnsi"/>
                <w:lang w:eastAsia="en-US"/>
              </w:rPr>
              <w:t>do realizacji zamówienia</w:t>
            </w:r>
          </w:p>
          <w:p w14:paraId="2F1DF536" w14:textId="77777777" w:rsidR="00EE2E67" w:rsidRPr="00EE2E67" w:rsidRDefault="00EE2E67" w:rsidP="00EE2E67">
            <w:pPr>
              <w:widowControl/>
              <w:autoSpaceDE/>
              <w:autoSpaceDN/>
              <w:adjustRightInd/>
              <w:ind w:right="20"/>
              <w:jc w:val="both"/>
              <w:rPr>
                <w:rFonts w:eastAsiaTheme="minorHAnsi"/>
                <w:lang w:eastAsia="en-US"/>
              </w:rPr>
            </w:pPr>
          </w:p>
          <w:p w14:paraId="2B54D2FD" w14:textId="77777777" w:rsidR="00EE2E67" w:rsidRDefault="00EE2E67" w:rsidP="00EE2E67">
            <w:pPr>
              <w:widowControl/>
              <w:numPr>
                <w:ilvl w:val="0"/>
                <w:numId w:val="9"/>
              </w:numPr>
              <w:tabs>
                <w:tab w:val="left" w:pos="300"/>
              </w:tabs>
              <w:ind w:left="300" w:hanging="300"/>
              <w:jc w:val="both"/>
              <w:rPr>
                <w:b/>
                <w:bCs/>
                <w:color w:val="000000"/>
              </w:rPr>
            </w:pPr>
            <w:r w:rsidRPr="00EE2E67">
              <w:rPr>
                <w:b/>
                <w:bCs/>
                <w:color w:val="000000"/>
              </w:rPr>
              <w:t xml:space="preserve">Doświadczenie wykonawcy </w:t>
            </w:r>
          </w:p>
          <w:p w14:paraId="4C32128C" w14:textId="77777777" w:rsidR="000B647D" w:rsidRDefault="000B647D" w:rsidP="000B647D">
            <w:pPr>
              <w:widowControl/>
              <w:autoSpaceDE/>
              <w:autoSpaceDN/>
              <w:adjustRightInd/>
              <w:rPr>
                <w:lang w:eastAsia="en-US"/>
                <w14:ligatures w14:val="standardContextual"/>
              </w:rPr>
            </w:pPr>
          </w:p>
          <w:p w14:paraId="64F23F33" w14:textId="69EB426E" w:rsidR="000B647D" w:rsidRDefault="000B647D" w:rsidP="00E413EE">
            <w:pPr>
              <w:widowControl/>
              <w:autoSpaceDE/>
              <w:autoSpaceDN/>
              <w:adjustRightInd/>
              <w:ind w:left="303" w:right="77"/>
              <w:jc w:val="both"/>
              <w:rPr>
                <w:lang w:eastAsia="en-US"/>
                <w14:ligatures w14:val="standardContextual"/>
              </w:rPr>
            </w:pPr>
            <w:r w:rsidRPr="000B647D">
              <w:rPr>
                <w:lang w:eastAsia="en-US"/>
                <w14:ligatures w14:val="standardContextual"/>
              </w:rPr>
              <w:t xml:space="preserve">Wykonawca spełni ten warunek udziału w postępowaniu, jeżeli wykaże, że </w:t>
            </w:r>
            <w:r>
              <w:rPr>
                <w:lang w:eastAsia="en-US"/>
                <w14:ligatures w14:val="standardContextual"/>
              </w:rPr>
              <w:t xml:space="preserve">                     </w:t>
            </w:r>
            <w:r w:rsidRPr="000B647D">
              <w:rPr>
                <w:lang w:eastAsia="en-US"/>
                <w14:ligatures w14:val="standardContextual"/>
              </w:rPr>
              <w:t xml:space="preserve">w ciągu ostatnich 3 lat (a jeżeli okres prowadzenia działalności jest krótszy w tym okresie) wykonał co najmniej </w:t>
            </w:r>
            <w:r w:rsidRPr="000B647D">
              <w:rPr>
                <w:b/>
                <w:lang w:eastAsia="en-US"/>
                <w14:ligatures w14:val="standardContextual"/>
              </w:rPr>
              <w:t>1 usługę o wartości min. 35 000 zł brutto</w:t>
            </w:r>
            <w:r w:rsidRPr="000B647D">
              <w:rPr>
                <w:lang w:eastAsia="en-US"/>
                <w14:ligatures w14:val="standardContextual"/>
              </w:rPr>
              <w:t xml:space="preserve"> polegającą na utrzymaniu czystości. </w:t>
            </w:r>
          </w:p>
          <w:p w14:paraId="37FE6358" w14:textId="77777777" w:rsidR="000B647D" w:rsidRPr="000B647D" w:rsidRDefault="000B647D" w:rsidP="000B647D">
            <w:pPr>
              <w:widowControl/>
              <w:autoSpaceDE/>
              <w:autoSpaceDN/>
              <w:adjustRightInd/>
              <w:rPr>
                <w:lang w:eastAsia="en-US"/>
                <w14:ligatures w14:val="standardContextual"/>
              </w:rPr>
            </w:pPr>
          </w:p>
          <w:p w14:paraId="3C6F84E2" w14:textId="01607664" w:rsidR="000B647D" w:rsidRPr="000B647D" w:rsidRDefault="000B647D" w:rsidP="00E413EE">
            <w:pPr>
              <w:widowControl/>
              <w:autoSpaceDE/>
              <w:autoSpaceDN/>
              <w:adjustRightInd/>
              <w:ind w:left="303" w:right="77"/>
              <w:jc w:val="both"/>
              <w:rPr>
                <w:lang w:eastAsia="en-US"/>
                <w14:ligatures w14:val="standardContextual"/>
              </w:rPr>
            </w:pPr>
            <w:r w:rsidRPr="000B647D">
              <w:rPr>
                <w:lang w:eastAsia="en-US"/>
                <w14:ligatures w14:val="standardContextual"/>
              </w:rPr>
              <w:t xml:space="preserve">Zamawiający </w:t>
            </w:r>
            <w:r w:rsidRPr="000B647D">
              <w:rPr>
                <w:b/>
                <w:bCs/>
                <w:u w:val="single"/>
                <w:lang w:eastAsia="en-US"/>
                <w14:ligatures w14:val="standardContextual"/>
              </w:rPr>
              <w:t>wymaga</w:t>
            </w:r>
            <w:r w:rsidRPr="000B647D">
              <w:rPr>
                <w:lang w:eastAsia="en-US"/>
                <w14:ligatures w14:val="standardContextual"/>
              </w:rPr>
              <w:t xml:space="preserve">, aby usługa utrzymania </w:t>
            </w:r>
            <w:bookmarkStart w:id="5" w:name="_GoBack"/>
            <w:r w:rsidRPr="000B647D">
              <w:rPr>
                <w:lang w:eastAsia="en-US"/>
                <w14:ligatures w14:val="standardContextual"/>
              </w:rPr>
              <w:t xml:space="preserve">czystości o wartości </w:t>
            </w:r>
            <w:r>
              <w:rPr>
                <w:lang w:eastAsia="en-US"/>
                <w14:ligatures w14:val="standardContextual"/>
              </w:rPr>
              <w:t xml:space="preserve">                                 </w:t>
            </w:r>
            <w:r w:rsidRPr="000B647D">
              <w:rPr>
                <w:b/>
                <w:lang w:eastAsia="en-US"/>
                <w14:ligatures w14:val="standardContextual"/>
              </w:rPr>
              <w:t>min. 35 000 zł brutto</w:t>
            </w:r>
            <w:r w:rsidRPr="000B647D">
              <w:rPr>
                <w:lang w:eastAsia="en-US"/>
                <w14:ligatures w14:val="standardContextual"/>
              </w:rPr>
              <w:t xml:space="preserve"> była wykonana w ramach jednego </w:t>
            </w:r>
            <w:bookmarkEnd w:id="5"/>
            <w:r w:rsidRPr="000B647D">
              <w:rPr>
                <w:lang w:eastAsia="en-US"/>
                <w14:ligatures w14:val="standardContextual"/>
              </w:rPr>
              <w:t>zadania/zlecenia/zamówienia/umowy.</w:t>
            </w:r>
          </w:p>
          <w:p w14:paraId="1129EBEC" w14:textId="77777777" w:rsidR="000B647D" w:rsidRPr="00EE2E67" w:rsidRDefault="000B647D" w:rsidP="000B647D">
            <w:pPr>
              <w:widowControl/>
              <w:tabs>
                <w:tab w:val="left" w:pos="300"/>
              </w:tabs>
              <w:ind w:left="300"/>
              <w:jc w:val="both"/>
              <w:rPr>
                <w:b/>
                <w:bCs/>
                <w:color w:val="000000"/>
              </w:rPr>
            </w:pPr>
          </w:p>
          <w:p w14:paraId="374F4CCC" w14:textId="32923CA9" w:rsidR="00A52EC8" w:rsidRPr="00A639C4" w:rsidRDefault="00A52EC8" w:rsidP="000B647D">
            <w:pPr>
              <w:tabs>
                <w:tab w:val="right" w:pos="284"/>
                <w:tab w:val="left" w:pos="993"/>
              </w:tabs>
              <w:jc w:val="both"/>
              <w:rPr>
                <w:bCs/>
              </w:rPr>
            </w:pPr>
          </w:p>
        </w:tc>
      </w:tr>
      <w:tr w:rsidR="00A52EC8" w:rsidRPr="00A639C4" w14:paraId="1171392D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1737F276" w14:textId="477871C1" w:rsidR="00A52EC8" w:rsidRPr="00A639C4" w:rsidRDefault="00A52EC8" w:rsidP="00A52EC8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10.</w:t>
            </w:r>
            <w:r>
              <w:rPr>
                <w:b/>
              </w:rPr>
              <w:t>2</w:t>
            </w:r>
            <w:r w:rsidRPr="00A639C4">
              <w:rPr>
                <w:b/>
              </w:rPr>
              <w:t xml:space="preserve">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585D6179" w14:textId="77777777" w:rsidR="00A52EC8" w:rsidRPr="00A639C4" w:rsidRDefault="00A52EC8" w:rsidP="00A52EC8">
            <w:pPr>
              <w:rPr>
                <w:b/>
              </w:rPr>
            </w:pPr>
            <w:r w:rsidRPr="00A639C4">
              <w:rPr>
                <w:b/>
              </w:rPr>
              <w:t>Oświadczenia i dokumenty, jakie zobowiązani są dostarczyć wykonawcy w celu potwierdzenia spełniania warunków udziału w postępowaniu oraz wykazania braku podstaw wykluczenia (podmiotowe środki dowodowe)</w:t>
            </w:r>
          </w:p>
        </w:tc>
      </w:tr>
      <w:tr w:rsidR="00A52EC8" w:rsidRPr="00A639C4" w14:paraId="6F5B374F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3FAB1B23" w14:textId="77777777" w:rsidR="00A52EC8" w:rsidRPr="00A639C4" w:rsidRDefault="00A52EC8" w:rsidP="00A52EC8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4F66BF36" w14:textId="7CE1A36B" w:rsidR="00A52EC8" w:rsidRDefault="00A52EC8" w:rsidP="00A52EC8">
            <w:pPr>
              <w:jc w:val="both"/>
              <w:rPr>
                <w:u w:val="single"/>
              </w:rPr>
            </w:pPr>
            <w:r w:rsidRPr="00B07530">
              <w:t xml:space="preserve">Na podstawie art. 125 ust. 1 </w:t>
            </w:r>
            <w:proofErr w:type="spellStart"/>
            <w:r w:rsidRPr="00B07530">
              <w:t>Pzp</w:t>
            </w:r>
            <w:proofErr w:type="spellEnd"/>
            <w:r w:rsidRPr="00B07530">
              <w:t xml:space="preserve"> Zamawiający w przedmiotowym postępowaniu </w:t>
            </w:r>
            <w:r w:rsidR="00EF7D67">
              <w:t xml:space="preserve">                         </w:t>
            </w:r>
            <w:r w:rsidRPr="00B07530">
              <w:t xml:space="preserve">o udzielenie zamówienia </w:t>
            </w:r>
            <w:r w:rsidRPr="00B07530">
              <w:rPr>
                <w:b/>
                <w:u w:val="single"/>
              </w:rPr>
              <w:t>żąda</w:t>
            </w:r>
            <w:r w:rsidRPr="00B07530">
              <w:t xml:space="preserve"> złożenia następujących podmiotowych środków dowodowych na </w:t>
            </w:r>
            <w:r w:rsidRPr="00B07530">
              <w:rPr>
                <w:u w:val="single"/>
              </w:rPr>
              <w:t>potwierdzenie braku podstaw wykluczenia.</w:t>
            </w:r>
          </w:p>
          <w:p w14:paraId="579DCDD2" w14:textId="77777777" w:rsidR="00EE2E67" w:rsidRDefault="00A52EC8" w:rsidP="00EE2E67">
            <w:pPr>
              <w:widowControl/>
              <w:autoSpaceDE/>
              <w:autoSpaceDN/>
              <w:adjustRightInd/>
              <w:spacing w:before="240"/>
              <w:jc w:val="both"/>
              <w:rPr>
                <w:b/>
              </w:rPr>
            </w:pPr>
            <w:r w:rsidRPr="00A639C4">
              <w:t xml:space="preserve">- aktualne na dzień składania ofert oświadczenie o braku podstaw do wykluczenia </w:t>
            </w:r>
            <w:r w:rsidR="003203A6">
              <w:t xml:space="preserve">                       </w:t>
            </w:r>
            <w:r w:rsidRPr="00A639C4">
              <w:t xml:space="preserve">z postępowania (art. 125 ust. 1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)– zgodnie z </w:t>
            </w:r>
            <w:r w:rsidRPr="00A639C4">
              <w:rPr>
                <w:b/>
              </w:rPr>
              <w:t>Załącznikiem do SWZ.</w:t>
            </w:r>
          </w:p>
          <w:p w14:paraId="1C0F3851" w14:textId="5BEDC369" w:rsidR="00EE2E67" w:rsidRPr="00EE2E67" w:rsidRDefault="00EE2E67" w:rsidP="00EE2E67">
            <w:pPr>
              <w:widowControl/>
              <w:autoSpaceDE/>
              <w:autoSpaceDN/>
              <w:adjustRightInd/>
              <w:spacing w:before="240"/>
              <w:jc w:val="both"/>
            </w:pPr>
            <w:r w:rsidRPr="00EE2E67">
              <w:lastRenderedPageBreak/>
              <w:t xml:space="preserve">Na podstawie art. 273 ust 1pkt  2 </w:t>
            </w:r>
            <w:proofErr w:type="spellStart"/>
            <w:r w:rsidRPr="00EE2E67">
              <w:t>Pzp</w:t>
            </w:r>
            <w:proofErr w:type="spellEnd"/>
            <w:r w:rsidRPr="00EE2E67">
              <w:t xml:space="preserve"> Zamawiający w przedmiotowym postępowaniu o udzielenie zamówienia </w:t>
            </w:r>
            <w:r w:rsidRPr="00EE2E67">
              <w:rPr>
                <w:b/>
              </w:rPr>
              <w:t>żąda</w:t>
            </w:r>
            <w:r w:rsidRPr="00EE2E67">
              <w:t xml:space="preserve"> złożenia następujących podmiotowych środków dowodowych na </w:t>
            </w:r>
            <w:r w:rsidRPr="00EE2E67">
              <w:rPr>
                <w:u w:val="single"/>
              </w:rPr>
              <w:t>potwierdzenie spełniania warunków udziału w postępowaniu</w:t>
            </w:r>
          </w:p>
          <w:p w14:paraId="0EF03580" w14:textId="77777777" w:rsidR="00EE2E67" w:rsidRPr="00EE2E67" w:rsidRDefault="00EE2E67" w:rsidP="00EE2E67">
            <w:pPr>
              <w:ind w:left="303" w:hanging="300"/>
              <w:jc w:val="both"/>
            </w:pPr>
          </w:p>
          <w:p w14:paraId="30411A36" w14:textId="35EB1EBD" w:rsidR="00EE2E67" w:rsidRPr="00EE2E67" w:rsidRDefault="00EE2E67" w:rsidP="00EE2E67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adjustRightInd/>
              <w:ind w:left="303"/>
              <w:jc w:val="both"/>
              <w:rPr>
                <w:b/>
                <w:u w:val="single"/>
              </w:rPr>
            </w:pPr>
            <w:r w:rsidRPr="00EE2E67">
              <w:rPr>
                <w:b/>
              </w:rPr>
              <w:t>wykazu usług wykonanych</w:t>
            </w:r>
            <w:r w:rsidRPr="00EE2E67">
              <w:t xml:space="preserve">, a w przypadku świadczeń powtarzających się </w:t>
            </w:r>
            <w:r>
              <w:t xml:space="preserve">                       </w:t>
            </w:r>
            <w:r w:rsidRPr="00EE2E67">
              <w:t xml:space="preserve">lub ciągłych również wykonywanych, </w:t>
            </w:r>
            <w:r w:rsidRPr="00EE2E67">
              <w:rPr>
                <w:b/>
              </w:rPr>
              <w:t>w okresie ostatnich 3 lat</w:t>
            </w:r>
            <w:r w:rsidRPr="00EE2E67">
              <w:t xml:space="preserve">, a jeżeli okres prowadzenia działalności jest krótszy – w tym okresie, wraz z podaniem </w:t>
            </w:r>
            <w:r>
              <w:t xml:space="preserve">                                </w:t>
            </w:r>
            <w:r w:rsidRPr="00EE2E67">
              <w:t>ich wartości, przedmiotu, dat wykonania i podmiotów, na rzecz których dostawy</w:t>
            </w:r>
            <w:r>
              <w:t xml:space="preserve">                  </w:t>
            </w:r>
            <w:r w:rsidRPr="00EE2E67">
              <w:t xml:space="preserve"> lub usługi zostały wykonane lub są wykonywane, oraz załączeniem dowodów określających, czy te dostawy lub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wykonywa-</w:t>
            </w:r>
            <w:proofErr w:type="spellStart"/>
            <w:r w:rsidRPr="00EE2E67">
              <w:t>nych</w:t>
            </w:r>
            <w:proofErr w:type="spellEnd"/>
            <w:r w:rsidRPr="00EE2E67">
              <w:t xml:space="preserve"> referencje bądź inne dokumenty potwierdzające ich należyte wykonywanie powinny być wystawione w okresie ostatnich 3 miesięcy </w:t>
            </w:r>
          </w:p>
          <w:p w14:paraId="64232FF4" w14:textId="77777777" w:rsidR="00EE2E67" w:rsidRPr="00EE2E67" w:rsidRDefault="00EE2E67" w:rsidP="00EE2E67">
            <w:pPr>
              <w:rPr>
                <w:b/>
                <w:u w:val="single"/>
              </w:rPr>
            </w:pPr>
          </w:p>
          <w:p w14:paraId="34F392C3" w14:textId="483DDE70" w:rsidR="00EE2E67" w:rsidRPr="00EE2E67" w:rsidRDefault="00EE2E67" w:rsidP="00EE2E67">
            <w:pPr>
              <w:ind w:left="-57"/>
              <w:jc w:val="both"/>
            </w:pPr>
            <w:r w:rsidRPr="00EE2E67">
              <w:t xml:space="preserve">Wzory wykazów i oświadczeń o których mowa powyżej znajdują się na stronie internetowej Zamawiającego pod adresem </w:t>
            </w:r>
            <w:hyperlink r:id="rId10" w:history="1">
              <w:r w:rsidRPr="007E310B">
                <w:rPr>
                  <w:rStyle w:val="Hipercze"/>
                </w:rPr>
                <w:t>http://www.pzdw.pl/zamowienia                                      -publiczne/inne-informacje</w:t>
              </w:r>
            </w:hyperlink>
            <w:r w:rsidRPr="00EE2E67">
              <w:t xml:space="preserve"> </w:t>
            </w:r>
          </w:p>
          <w:p w14:paraId="5170CC52" w14:textId="36C935CC" w:rsidR="00A52EC8" w:rsidRPr="00A639C4" w:rsidRDefault="00A52EC8" w:rsidP="00A52EC8">
            <w:pPr>
              <w:jc w:val="both"/>
              <w:rPr>
                <w:b/>
              </w:rPr>
            </w:pPr>
          </w:p>
        </w:tc>
      </w:tr>
      <w:tr w:rsidR="00A52EC8" w:rsidRPr="00A639C4" w14:paraId="00C6F274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03B16A36" w14:textId="38617079" w:rsidR="00A52EC8" w:rsidRPr="00A639C4" w:rsidRDefault="00A52EC8" w:rsidP="00A52EC8">
            <w:pPr>
              <w:tabs>
                <w:tab w:val="left" w:pos="408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Pkt 9.2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484456E9" w14:textId="06D45ECA" w:rsidR="00A52EC8" w:rsidRPr="00A639C4" w:rsidRDefault="00A52EC8" w:rsidP="00A52EC8">
            <w:pPr>
              <w:rPr>
                <w:b/>
              </w:rPr>
            </w:pPr>
            <w:r>
              <w:rPr>
                <w:b/>
              </w:rPr>
              <w:t>Fakultatywne p</w:t>
            </w:r>
            <w:r w:rsidRPr="00B44348">
              <w:rPr>
                <w:b/>
              </w:rPr>
              <w:t>odstawy wykluczenia z postępowania</w:t>
            </w:r>
          </w:p>
        </w:tc>
      </w:tr>
      <w:tr w:rsidR="00A52EC8" w:rsidRPr="00A639C4" w14:paraId="1B9DF83D" w14:textId="77777777" w:rsidTr="00B44348">
        <w:tc>
          <w:tcPr>
            <w:tcW w:w="1384" w:type="dxa"/>
            <w:shd w:val="clear" w:color="auto" w:fill="auto"/>
          </w:tcPr>
          <w:p w14:paraId="6242F48B" w14:textId="77777777" w:rsidR="00A52EC8" w:rsidRPr="00A639C4" w:rsidRDefault="00A52EC8" w:rsidP="00A52EC8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1EDA20F6" w14:textId="77777777" w:rsidR="00A52EC8" w:rsidRDefault="00A52EC8" w:rsidP="00A52EC8">
            <w:pPr>
              <w:pStyle w:val="Teksttreci0"/>
              <w:shd w:val="clear" w:color="auto" w:fill="auto"/>
              <w:spacing w:line="240" w:lineRule="auto"/>
              <w:ind w:firstLine="0"/>
              <w:jc w:val="both"/>
              <w:rPr>
                <w:rFonts w:ascii="Arial" w:hAnsi="Arial" w:cs="Arial"/>
                <w:sz w:val="20"/>
              </w:rPr>
            </w:pPr>
          </w:p>
          <w:p w14:paraId="2413C035" w14:textId="464D4EF0" w:rsidR="00A52EC8" w:rsidRPr="00B44348" w:rsidRDefault="00A52EC8" w:rsidP="00A52EC8">
            <w:pPr>
              <w:pStyle w:val="Teksttreci0"/>
              <w:shd w:val="clear" w:color="auto" w:fill="auto"/>
              <w:spacing w:line="240" w:lineRule="auto"/>
              <w:ind w:firstLine="0"/>
              <w:jc w:val="both"/>
              <w:rPr>
                <w:rFonts w:ascii="Arial" w:hAnsi="Arial" w:cs="Arial"/>
                <w:sz w:val="20"/>
              </w:rPr>
            </w:pPr>
            <w:r w:rsidRPr="00B44348">
              <w:rPr>
                <w:rFonts w:ascii="Arial" w:hAnsi="Arial" w:cs="Arial"/>
                <w:sz w:val="20"/>
              </w:rPr>
              <w:t>Zamawiający nie przewiduje</w:t>
            </w:r>
            <w:r>
              <w:rPr>
                <w:rFonts w:ascii="Arial" w:hAnsi="Arial" w:cs="Arial"/>
                <w:sz w:val="20"/>
              </w:rPr>
              <w:t xml:space="preserve"> wykluczenia wykonawców na podstawie </w:t>
            </w:r>
            <w:r w:rsidRPr="00B44348">
              <w:rPr>
                <w:rFonts w:ascii="Arial" w:hAnsi="Arial" w:cs="Arial"/>
                <w:sz w:val="20"/>
              </w:rPr>
              <w:t xml:space="preserve">fakultatywnych przesłanek wykluczenia o których mowa w art. 109 ust.1 </w:t>
            </w:r>
            <w:proofErr w:type="spellStart"/>
            <w:r w:rsidRPr="00B44348">
              <w:rPr>
                <w:rFonts w:ascii="Arial" w:hAnsi="Arial" w:cs="Arial"/>
                <w:sz w:val="20"/>
              </w:rPr>
              <w:t>Pzp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  <w:p w14:paraId="3DAC71FE" w14:textId="77777777" w:rsidR="009A631D" w:rsidRPr="00A639C4" w:rsidRDefault="009A631D" w:rsidP="00A52EC8">
            <w:pPr>
              <w:pStyle w:val="Teksttreci0"/>
              <w:shd w:val="clear" w:color="auto" w:fill="auto"/>
              <w:spacing w:line="240" w:lineRule="auto"/>
              <w:ind w:firstLine="0"/>
              <w:jc w:val="both"/>
              <w:rPr>
                <w:b/>
              </w:rPr>
            </w:pPr>
          </w:p>
        </w:tc>
      </w:tr>
      <w:tr w:rsidR="00A52EC8" w:rsidRPr="00A639C4" w14:paraId="2B961039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1965C385" w14:textId="77777777" w:rsidR="00A52EC8" w:rsidRPr="00A639C4" w:rsidRDefault="00A52EC8" w:rsidP="00A52EC8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11.1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5C4A5B1B" w14:textId="013F7879" w:rsidR="00A52EC8" w:rsidRPr="00A639C4" w:rsidRDefault="00A52EC8" w:rsidP="00A52EC8">
            <w:pPr>
              <w:rPr>
                <w:b/>
                <w:bCs/>
                <w:color w:val="000000"/>
              </w:rPr>
            </w:pPr>
            <w:r w:rsidRPr="00A639C4">
              <w:rPr>
                <w:b/>
              </w:rPr>
              <w:t>Przedmiotowe środki dowodowe</w:t>
            </w:r>
          </w:p>
        </w:tc>
      </w:tr>
      <w:tr w:rsidR="00A52EC8" w:rsidRPr="00A639C4" w14:paraId="26BD9609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36F92663" w14:textId="77777777" w:rsidR="00A52EC8" w:rsidRPr="00A639C4" w:rsidRDefault="00A52EC8" w:rsidP="00A52EC8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45885510" w14:textId="77777777" w:rsidR="00A52EC8" w:rsidRPr="00A639C4" w:rsidRDefault="00A52EC8" w:rsidP="00A52EC8">
            <w:pPr>
              <w:jc w:val="both"/>
            </w:pPr>
          </w:p>
          <w:p w14:paraId="6B4CABEF" w14:textId="77777777" w:rsidR="00A52EC8" w:rsidRPr="00A639C4" w:rsidRDefault="00A52EC8" w:rsidP="00A52EC8">
            <w:pPr>
              <w:jc w:val="both"/>
            </w:pPr>
            <w:r w:rsidRPr="00A639C4">
              <w:t xml:space="preserve">Zamawiający </w:t>
            </w:r>
            <w:r w:rsidRPr="00A639C4">
              <w:rPr>
                <w:b/>
                <w:u w:val="single"/>
              </w:rPr>
              <w:t>nie przewiduje</w:t>
            </w:r>
            <w:r w:rsidRPr="00A639C4">
              <w:t xml:space="preserve"> wprowadzenia przedmiotowych środków dowodowych  </w:t>
            </w:r>
          </w:p>
          <w:p w14:paraId="0244DC21" w14:textId="1BA48D0F" w:rsidR="00A52EC8" w:rsidRPr="00226A17" w:rsidRDefault="00A52EC8" w:rsidP="00A52EC8">
            <w:pPr>
              <w:jc w:val="both"/>
            </w:pPr>
          </w:p>
        </w:tc>
      </w:tr>
      <w:tr w:rsidR="00A52EC8" w:rsidRPr="00A639C4" w14:paraId="773C9F96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5231AC04" w14:textId="77777777" w:rsidR="00A52EC8" w:rsidRPr="00A639C4" w:rsidRDefault="00A52EC8" w:rsidP="00A52EC8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15.6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56A0F0A4" w14:textId="77777777" w:rsidR="00A52EC8" w:rsidRPr="00A639C4" w:rsidRDefault="00A52EC8" w:rsidP="00A52EC8">
            <w:pPr>
              <w:tabs>
                <w:tab w:val="left" w:pos="408"/>
              </w:tabs>
              <w:rPr>
                <w:b/>
              </w:rPr>
            </w:pPr>
            <w:r w:rsidRPr="00A639C4">
              <w:rPr>
                <w:b/>
              </w:rPr>
              <w:t>Opis sposobu przygotowania ofert oraz wymagania formalne dotyczące składanych oświadczeń i dokumentów</w:t>
            </w:r>
          </w:p>
        </w:tc>
      </w:tr>
      <w:tr w:rsidR="00A52EC8" w:rsidRPr="00A639C4" w14:paraId="1FDBEECD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6BC33FCA" w14:textId="77777777" w:rsidR="00A52EC8" w:rsidRPr="00A639C4" w:rsidRDefault="00A52EC8" w:rsidP="00A52EC8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7ADEDB39" w14:textId="77777777" w:rsidR="00A52EC8" w:rsidRDefault="00A52EC8" w:rsidP="00A52EC8">
            <w:pPr>
              <w:jc w:val="both"/>
              <w:rPr>
                <w:b/>
                <w:color w:val="000000"/>
                <w:u w:val="single"/>
              </w:rPr>
            </w:pPr>
          </w:p>
          <w:p w14:paraId="026952AD" w14:textId="3449E28F" w:rsidR="00A52EC8" w:rsidRPr="005404B5" w:rsidRDefault="00A52EC8" w:rsidP="00A52EC8">
            <w:pPr>
              <w:jc w:val="both"/>
              <w:rPr>
                <w:b/>
                <w:color w:val="000000"/>
                <w:u w:val="single"/>
              </w:rPr>
            </w:pPr>
            <w:r w:rsidRPr="00B07530">
              <w:rPr>
                <w:b/>
                <w:color w:val="000000"/>
                <w:u w:val="single"/>
              </w:rPr>
              <w:t xml:space="preserve">Wykonawca wraz z ofertą </w:t>
            </w:r>
            <w:r w:rsidR="00405302">
              <w:rPr>
                <w:b/>
                <w:color w:val="000000"/>
                <w:u w:val="single"/>
              </w:rPr>
              <w:t xml:space="preserve"> na formularzu ofertowym </w:t>
            </w:r>
            <w:r w:rsidRPr="00B07530">
              <w:rPr>
                <w:b/>
                <w:color w:val="000000"/>
                <w:u w:val="single"/>
              </w:rPr>
              <w:t>jest zobowiązany złożyć:</w:t>
            </w:r>
          </w:p>
          <w:p w14:paraId="09E346A7" w14:textId="76A2721F" w:rsidR="00A52EC8" w:rsidRPr="009A631D" w:rsidRDefault="00A52EC8" w:rsidP="009B3E08">
            <w:pPr>
              <w:pStyle w:val="Akapitzlist"/>
              <w:numPr>
                <w:ilvl w:val="0"/>
                <w:numId w:val="3"/>
              </w:numPr>
              <w:jc w:val="both"/>
              <w:rPr>
                <w:color w:val="000000"/>
              </w:rPr>
            </w:pPr>
            <w:r w:rsidRPr="00B07530">
              <w:rPr>
                <w:color w:val="000000"/>
              </w:rPr>
              <w:t>oświadczenie o niepodleganiu wykluczeniu;</w:t>
            </w:r>
          </w:p>
          <w:p w14:paraId="57F32C3E" w14:textId="77777777" w:rsidR="00A52EC8" w:rsidRPr="00B07530" w:rsidRDefault="00A52EC8" w:rsidP="009B3E08">
            <w:pPr>
              <w:pStyle w:val="Akapitzlist"/>
              <w:numPr>
                <w:ilvl w:val="0"/>
                <w:numId w:val="3"/>
              </w:numPr>
              <w:jc w:val="both"/>
              <w:rPr>
                <w:color w:val="000000"/>
              </w:rPr>
            </w:pPr>
            <w:r w:rsidRPr="00B07530">
              <w:rPr>
                <w:color w:val="000000"/>
              </w:rPr>
              <w:t>dokumenty, z których wynika prawo do podpisania oferty; odpowiednie pełnomocnictwa (jeżeli dotyczy);</w:t>
            </w:r>
          </w:p>
          <w:p w14:paraId="7F7AAA15" w14:textId="17BF151C" w:rsidR="00F45267" w:rsidRPr="00FC52EE" w:rsidRDefault="00A52EC8" w:rsidP="00FC52EE">
            <w:pPr>
              <w:pStyle w:val="Akapitzlist"/>
              <w:numPr>
                <w:ilvl w:val="0"/>
                <w:numId w:val="3"/>
              </w:numPr>
              <w:jc w:val="both"/>
              <w:rPr>
                <w:color w:val="000000"/>
              </w:rPr>
            </w:pPr>
            <w:r w:rsidRPr="00B07530">
              <w:rPr>
                <w:color w:val="000000"/>
              </w:rPr>
              <w:t>oświadczenie na podstawie art. 117 ust. 4 (jeżeli dotyczy tj. Konsorcja, Spółki cywilne)</w:t>
            </w:r>
          </w:p>
        </w:tc>
      </w:tr>
      <w:tr w:rsidR="00A52EC8" w:rsidRPr="00A639C4" w14:paraId="62B183E8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5364FC06" w14:textId="77777777" w:rsidR="00A52EC8" w:rsidRPr="00A639C4" w:rsidRDefault="00A52EC8" w:rsidP="00A52EC8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17.1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05DF4D9F" w14:textId="70FBCA70" w:rsidR="00A52EC8" w:rsidRPr="00A639C4" w:rsidRDefault="00A52EC8" w:rsidP="00A52EC8">
            <w:pPr>
              <w:rPr>
                <w:b/>
              </w:rPr>
            </w:pPr>
            <w:r w:rsidRPr="00A639C4">
              <w:rPr>
                <w:b/>
              </w:rPr>
              <w:t>Wymagania dotyczące wadium</w:t>
            </w:r>
          </w:p>
        </w:tc>
      </w:tr>
      <w:tr w:rsidR="00A52EC8" w:rsidRPr="00A639C4" w14:paraId="43ADAD82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4F1E4F7F" w14:textId="77777777" w:rsidR="00A52EC8" w:rsidRPr="00A639C4" w:rsidRDefault="00A52EC8" w:rsidP="00A52EC8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774746E4" w14:textId="77777777" w:rsidR="00EF7D67" w:rsidRDefault="00EF7D67" w:rsidP="00A52EC8">
            <w:pPr>
              <w:jc w:val="both"/>
            </w:pPr>
          </w:p>
          <w:p w14:paraId="04777EF6" w14:textId="77777777" w:rsidR="00A52EC8" w:rsidRDefault="00A52EC8" w:rsidP="00A52EC8">
            <w:pPr>
              <w:jc w:val="both"/>
            </w:pPr>
            <w:r w:rsidRPr="00A639C4">
              <w:t xml:space="preserve">Zamawiający </w:t>
            </w:r>
            <w:r w:rsidRPr="00A639C4">
              <w:rPr>
                <w:b/>
                <w:u w:val="single"/>
              </w:rPr>
              <w:t>nie przewiduje</w:t>
            </w:r>
            <w:r>
              <w:t xml:space="preserve"> obowiązku wniesienia wadium.</w:t>
            </w:r>
          </w:p>
          <w:p w14:paraId="1675E3B7" w14:textId="75B8A804" w:rsidR="00EF7D67" w:rsidRPr="006C360A" w:rsidRDefault="00EF7D67" w:rsidP="00A52EC8">
            <w:pPr>
              <w:jc w:val="both"/>
            </w:pPr>
          </w:p>
        </w:tc>
      </w:tr>
      <w:tr w:rsidR="00A52EC8" w:rsidRPr="00A639C4" w14:paraId="6383B0AB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68B9A715" w14:textId="77777777" w:rsidR="00A52EC8" w:rsidRPr="00A639C4" w:rsidRDefault="00A52EC8" w:rsidP="00A52EC8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19.1 IDW</w:t>
            </w:r>
          </w:p>
          <w:p w14:paraId="3380D668" w14:textId="354BBE2D" w:rsidR="00A52EC8" w:rsidRPr="00A639C4" w:rsidRDefault="00A52EC8" w:rsidP="00A52EC8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19.2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70AE230E" w14:textId="35CB8D41" w:rsidR="00A52EC8" w:rsidRPr="00A639C4" w:rsidRDefault="00A52EC8" w:rsidP="00A52EC8">
            <w:pPr>
              <w:tabs>
                <w:tab w:val="left" w:pos="408"/>
              </w:tabs>
              <w:rPr>
                <w:b/>
              </w:rPr>
            </w:pPr>
            <w:r w:rsidRPr="00A639C4">
              <w:rPr>
                <w:b/>
                <w:bCs/>
                <w:color w:val="000000"/>
              </w:rPr>
              <w:t>Termin składania i otwarcia ofert</w:t>
            </w:r>
          </w:p>
        </w:tc>
      </w:tr>
      <w:tr w:rsidR="00A52EC8" w:rsidRPr="00A639C4" w14:paraId="77F13A21" w14:textId="77777777" w:rsidTr="0075264D">
        <w:tc>
          <w:tcPr>
            <w:tcW w:w="1384" w:type="dxa"/>
            <w:shd w:val="clear" w:color="auto" w:fill="auto"/>
          </w:tcPr>
          <w:p w14:paraId="68896D38" w14:textId="77777777" w:rsidR="00A52EC8" w:rsidRPr="00A639C4" w:rsidRDefault="00A52EC8" w:rsidP="00A52EC8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774E46A8" w14:textId="77777777" w:rsidR="00EF7D67" w:rsidRDefault="00EF7D67" w:rsidP="00A52EC8">
            <w:pPr>
              <w:widowControl/>
              <w:autoSpaceDE/>
              <w:autoSpaceDN/>
              <w:adjustRightInd/>
              <w:jc w:val="both"/>
              <w:rPr>
                <w:rFonts w:eastAsia="Calibri"/>
              </w:rPr>
            </w:pPr>
          </w:p>
          <w:p w14:paraId="5CF6C656" w14:textId="7F0DC10B" w:rsidR="00A52EC8" w:rsidRDefault="00A52EC8" w:rsidP="00A52EC8">
            <w:pPr>
              <w:widowControl/>
              <w:autoSpaceDE/>
              <w:autoSpaceDN/>
              <w:adjustRightInd/>
              <w:jc w:val="both"/>
              <w:rPr>
                <w:b/>
              </w:rPr>
            </w:pPr>
            <w:r w:rsidRPr="00E619F6">
              <w:rPr>
                <w:rFonts w:eastAsia="Calibri"/>
              </w:rPr>
              <w:lastRenderedPageBreak/>
              <w:t xml:space="preserve">Termin składania ofert </w:t>
            </w:r>
            <w:r w:rsidR="00E20173">
              <w:rPr>
                <w:rFonts w:eastAsia="Calibri"/>
                <w:b/>
              </w:rPr>
              <w:t>0</w:t>
            </w:r>
            <w:r w:rsidR="006057CB">
              <w:rPr>
                <w:rFonts w:eastAsia="Calibri"/>
                <w:b/>
              </w:rPr>
              <w:t>9</w:t>
            </w:r>
            <w:r w:rsidR="003203A6" w:rsidRPr="003203A6">
              <w:rPr>
                <w:rFonts w:eastAsia="Calibri"/>
                <w:b/>
              </w:rPr>
              <w:t>.</w:t>
            </w:r>
            <w:r w:rsidR="006057CB">
              <w:rPr>
                <w:rFonts w:eastAsia="Calibri"/>
                <w:b/>
              </w:rPr>
              <w:t>01</w:t>
            </w:r>
            <w:r w:rsidRPr="003203A6">
              <w:rPr>
                <w:b/>
              </w:rPr>
              <w:t>.</w:t>
            </w:r>
            <w:r w:rsidRPr="00E619F6">
              <w:rPr>
                <w:b/>
              </w:rPr>
              <w:t>202</w:t>
            </w:r>
            <w:r w:rsidR="006057CB">
              <w:rPr>
                <w:b/>
              </w:rPr>
              <w:t>5</w:t>
            </w:r>
            <w:r w:rsidR="003203A6">
              <w:rPr>
                <w:b/>
              </w:rPr>
              <w:t>r.</w:t>
            </w:r>
            <w:r w:rsidRPr="00E619F6">
              <w:rPr>
                <w:b/>
              </w:rPr>
              <w:t xml:space="preserve"> do godziny </w:t>
            </w:r>
            <w:r w:rsidR="003203A6">
              <w:rPr>
                <w:b/>
              </w:rPr>
              <w:t>09:00</w:t>
            </w:r>
          </w:p>
          <w:p w14:paraId="10F98A14" w14:textId="77777777" w:rsidR="00EF7D67" w:rsidRPr="00E619F6" w:rsidRDefault="00EF7D67" w:rsidP="00A52EC8">
            <w:pPr>
              <w:widowControl/>
              <w:autoSpaceDE/>
              <w:autoSpaceDN/>
              <w:adjustRightInd/>
              <w:jc w:val="both"/>
            </w:pPr>
          </w:p>
          <w:p w14:paraId="0223B547" w14:textId="138557CD" w:rsidR="00A52EC8" w:rsidRDefault="00A52EC8" w:rsidP="00A52EC8">
            <w:pPr>
              <w:jc w:val="both"/>
              <w:rPr>
                <w:b/>
              </w:rPr>
            </w:pPr>
            <w:r w:rsidRPr="00E619F6">
              <w:rPr>
                <w:rFonts w:eastAsia="Calibri"/>
              </w:rPr>
              <w:t xml:space="preserve">Termin otwarcia ofert </w:t>
            </w:r>
            <w:r w:rsidR="003203A6">
              <w:rPr>
                <w:rFonts w:eastAsia="Calibri"/>
              </w:rPr>
              <w:t xml:space="preserve"> </w:t>
            </w:r>
            <w:r w:rsidR="00E20173">
              <w:rPr>
                <w:rFonts w:eastAsia="Calibri"/>
                <w:b/>
              </w:rPr>
              <w:t>0</w:t>
            </w:r>
            <w:r w:rsidR="006057CB">
              <w:rPr>
                <w:rFonts w:eastAsia="Calibri"/>
                <w:b/>
              </w:rPr>
              <w:t>9</w:t>
            </w:r>
            <w:r w:rsidR="003203A6" w:rsidRPr="003203A6">
              <w:rPr>
                <w:rFonts w:eastAsia="Calibri"/>
                <w:b/>
              </w:rPr>
              <w:t>.</w:t>
            </w:r>
            <w:r w:rsidR="006057CB">
              <w:rPr>
                <w:rFonts w:eastAsia="Calibri"/>
                <w:b/>
              </w:rPr>
              <w:t>01</w:t>
            </w:r>
            <w:r w:rsidRPr="00E619F6">
              <w:rPr>
                <w:b/>
              </w:rPr>
              <w:t>.202</w:t>
            </w:r>
            <w:r w:rsidR="006057CB">
              <w:rPr>
                <w:b/>
              </w:rPr>
              <w:t>5</w:t>
            </w:r>
            <w:r w:rsidR="003203A6">
              <w:rPr>
                <w:b/>
              </w:rPr>
              <w:t>r.</w:t>
            </w:r>
            <w:r w:rsidRPr="00E619F6">
              <w:rPr>
                <w:b/>
              </w:rPr>
              <w:t xml:space="preserve"> godzina </w:t>
            </w:r>
            <w:r w:rsidR="003203A6">
              <w:rPr>
                <w:b/>
              </w:rPr>
              <w:t>09:15</w:t>
            </w:r>
          </w:p>
          <w:p w14:paraId="5032DC3C" w14:textId="77777777" w:rsidR="00EF7D67" w:rsidRPr="00E619F6" w:rsidRDefault="00EF7D67" w:rsidP="00A52EC8">
            <w:pPr>
              <w:jc w:val="both"/>
            </w:pPr>
          </w:p>
          <w:p w14:paraId="688F2030" w14:textId="77777777" w:rsidR="00A52EC8" w:rsidRDefault="00A52EC8" w:rsidP="00A52EC8">
            <w:pPr>
              <w:tabs>
                <w:tab w:val="left" w:pos="408"/>
              </w:tabs>
            </w:pPr>
            <w:r w:rsidRPr="00E619F6">
              <w:t xml:space="preserve">Ofertę należy złożyć na zasadach określonych w </w:t>
            </w:r>
            <w:proofErr w:type="spellStart"/>
            <w:r w:rsidRPr="00E619F6">
              <w:t>Pzp</w:t>
            </w:r>
            <w:proofErr w:type="spellEnd"/>
            <w:r w:rsidRPr="00E619F6">
              <w:t xml:space="preserve"> i SWZ.</w:t>
            </w:r>
          </w:p>
          <w:p w14:paraId="7B2FE857" w14:textId="481288DB" w:rsidR="00DF7872" w:rsidRPr="006C360A" w:rsidRDefault="00DF7872" w:rsidP="00A52EC8">
            <w:pPr>
              <w:tabs>
                <w:tab w:val="left" w:pos="408"/>
              </w:tabs>
            </w:pPr>
          </w:p>
        </w:tc>
      </w:tr>
      <w:tr w:rsidR="00A52EC8" w:rsidRPr="00A639C4" w14:paraId="0F29E392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78E63FBF" w14:textId="77777777" w:rsidR="00A52EC8" w:rsidRPr="00A639C4" w:rsidRDefault="00A52EC8" w:rsidP="00A52EC8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18.1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34287554" w14:textId="77777777" w:rsidR="00A52EC8" w:rsidRPr="00E619F6" w:rsidRDefault="00A52EC8" w:rsidP="00A52EC8">
            <w:pPr>
              <w:tabs>
                <w:tab w:val="left" w:pos="408"/>
              </w:tabs>
              <w:rPr>
                <w:b/>
              </w:rPr>
            </w:pPr>
            <w:r w:rsidRPr="00E619F6">
              <w:rPr>
                <w:b/>
              </w:rPr>
              <w:t>Termin związania ofertą</w:t>
            </w:r>
          </w:p>
        </w:tc>
      </w:tr>
      <w:tr w:rsidR="00A52EC8" w:rsidRPr="00A639C4" w14:paraId="2C626DDD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550C1987" w14:textId="77777777" w:rsidR="00A52EC8" w:rsidRPr="00A639C4" w:rsidRDefault="00A52EC8" w:rsidP="00A52EC8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7E9CF146" w14:textId="77777777" w:rsidR="003203A6" w:rsidRDefault="003203A6" w:rsidP="00A52EC8">
            <w:pPr>
              <w:tabs>
                <w:tab w:val="left" w:pos="408"/>
              </w:tabs>
            </w:pPr>
          </w:p>
          <w:p w14:paraId="65E107A2" w14:textId="706BCA35" w:rsidR="00A52EC8" w:rsidRDefault="00A52EC8" w:rsidP="00A52EC8">
            <w:pPr>
              <w:tabs>
                <w:tab w:val="left" w:pos="408"/>
              </w:tabs>
            </w:pPr>
            <w:r w:rsidRPr="00E619F6">
              <w:t xml:space="preserve">Termin związania ofertą </w:t>
            </w:r>
            <w:r w:rsidR="006057CB">
              <w:rPr>
                <w:b/>
              </w:rPr>
              <w:t>08</w:t>
            </w:r>
            <w:r w:rsidR="003203A6" w:rsidRPr="003203A6">
              <w:rPr>
                <w:b/>
              </w:rPr>
              <w:t>.</w:t>
            </w:r>
            <w:r w:rsidR="006057CB">
              <w:rPr>
                <w:b/>
              </w:rPr>
              <w:t>0</w:t>
            </w:r>
            <w:r w:rsidR="003203A6" w:rsidRPr="003203A6">
              <w:rPr>
                <w:b/>
              </w:rPr>
              <w:t>2</w:t>
            </w:r>
            <w:r w:rsidRPr="003203A6">
              <w:rPr>
                <w:b/>
                <w:bCs/>
              </w:rPr>
              <w:t>.</w:t>
            </w:r>
            <w:r w:rsidRPr="00E619F6">
              <w:rPr>
                <w:b/>
                <w:bCs/>
              </w:rPr>
              <w:t>202</w:t>
            </w:r>
            <w:r w:rsidR="006057CB">
              <w:rPr>
                <w:b/>
                <w:bCs/>
              </w:rPr>
              <w:t>5</w:t>
            </w:r>
            <w:r w:rsidRPr="00E619F6">
              <w:rPr>
                <w:b/>
                <w:bCs/>
              </w:rPr>
              <w:t>r</w:t>
            </w:r>
            <w:r w:rsidRPr="00E619F6">
              <w:t>.</w:t>
            </w:r>
          </w:p>
          <w:p w14:paraId="51C92377" w14:textId="61BFCAC8" w:rsidR="003203A6" w:rsidRPr="00E619F6" w:rsidRDefault="003203A6" w:rsidP="00A52EC8">
            <w:pPr>
              <w:tabs>
                <w:tab w:val="left" w:pos="408"/>
              </w:tabs>
            </w:pPr>
          </w:p>
        </w:tc>
      </w:tr>
      <w:tr w:rsidR="00A52EC8" w:rsidRPr="00A639C4" w14:paraId="19C18581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19725769" w14:textId="77777777" w:rsidR="00A52EC8" w:rsidRPr="00A639C4" w:rsidRDefault="00A52EC8" w:rsidP="00A52EC8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20.2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7D21EE57" w14:textId="1B97F9B0" w:rsidR="00A52EC8" w:rsidRPr="00A639C4" w:rsidRDefault="00A52EC8" w:rsidP="00A52EC8">
            <w:pPr>
              <w:ind w:left="360"/>
              <w:jc w:val="center"/>
              <w:rPr>
                <w:b/>
                <w:bCs/>
                <w:color w:val="000000"/>
              </w:rPr>
            </w:pPr>
            <w:r w:rsidRPr="00A639C4">
              <w:rPr>
                <w:b/>
                <w:bCs/>
                <w:color w:val="000000"/>
              </w:rPr>
              <w:t>Opis kryteriów oceny ofert, wraz z podaniem wag tych kryteriów i sposobu oceny ofert</w:t>
            </w:r>
          </w:p>
        </w:tc>
      </w:tr>
      <w:tr w:rsidR="00A52EC8" w:rsidRPr="00A639C4" w14:paraId="5716D869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302B701E" w14:textId="77777777" w:rsidR="00A52EC8" w:rsidRPr="00A639C4" w:rsidRDefault="00A52EC8" w:rsidP="00A52EC8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195370B8" w14:textId="77777777" w:rsidR="00F45267" w:rsidRDefault="00F45267" w:rsidP="00AD37DE">
            <w:pPr>
              <w:widowControl/>
              <w:autoSpaceDE/>
              <w:adjustRightInd/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6EB1F7CF" w14:textId="3E5FE9E5" w:rsidR="00AD37DE" w:rsidRPr="00DA38D9" w:rsidRDefault="006057CB" w:rsidP="006057CB">
            <w:pPr>
              <w:widowControl/>
              <w:autoSpaceDE/>
              <w:adjustRightInd/>
              <w:jc w:val="both"/>
              <w:rPr>
                <w:b/>
                <w:u w:val="single"/>
              </w:rPr>
            </w:pPr>
            <w:r w:rsidRPr="00DA38D9">
              <w:rPr>
                <w:b/>
                <w:u w:val="single"/>
              </w:rPr>
              <w:t xml:space="preserve">KRYTERIA OCENY OFERT </w:t>
            </w:r>
          </w:p>
          <w:p w14:paraId="3C7CA6DA" w14:textId="77777777" w:rsidR="00AD37DE" w:rsidRDefault="00AD37DE" w:rsidP="001B38B6">
            <w:pPr>
              <w:widowControl/>
              <w:autoSpaceDE/>
              <w:adjustRightInd/>
              <w:ind w:left="303"/>
              <w:jc w:val="both"/>
            </w:pPr>
            <w:r w:rsidRPr="00AD37DE">
              <w:t>Przy wyborze najkorzystniejszej oferty Zamawiający będzie się kierował następującymi kryteriami oceny ofert:</w:t>
            </w:r>
          </w:p>
          <w:p w14:paraId="670E0E76" w14:textId="77777777" w:rsidR="009B3E08" w:rsidRPr="00AD37DE" w:rsidRDefault="009B3E08" w:rsidP="001B38B6">
            <w:pPr>
              <w:widowControl/>
              <w:autoSpaceDE/>
              <w:adjustRightInd/>
              <w:ind w:left="303"/>
              <w:jc w:val="both"/>
            </w:pPr>
          </w:p>
          <w:p w14:paraId="1519CD58" w14:textId="77777777" w:rsidR="00AD37DE" w:rsidRPr="00AD37DE" w:rsidRDefault="00AD37DE" w:rsidP="001B38B6">
            <w:pPr>
              <w:widowControl/>
              <w:numPr>
                <w:ilvl w:val="0"/>
                <w:numId w:val="7"/>
              </w:numPr>
              <w:tabs>
                <w:tab w:val="clear" w:pos="1800"/>
              </w:tabs>
              <w:autoSpaceDE/>
              <w:adjustRightInd/>
              <w:ind w:left="843"/>
            </w:pPr>
            <w:r w:rsidRPr="00AD37DE">
              <w:rPr>
                <w:b/>
              </w:rPr>
              <w:t>Cena (C)</w:t>
            </w:r>
            <w:r w:rsidRPr="00AD37DE">
              <w:t xml:space="preserve"> – waga kryterium 60 %;</w:t>
            </w:r>
          </w:p>
          <w:p w14:paraId="19E75BC6" w14:textId="054BF973" w:rsidR="00AD37DE" w:rsidRPr="00AD37DE" w:rsidRDefault="009B3E08" w:rsidP="001B38B6">
            <w:pPr>
              <w:pStyle w:val="Akapitzlist"/>
              <w:widowControl/>
              <w:numPr>
                <w:ilvl w:val="0"/>
                <w:numId w:val="7"/>
              </w:numPr>
              <w:tabs>
                <w:tab w:val="clear" w:pos="1800"/>
              </w:tabs>
              <w:autoSpaceDE/>
              <w:autoSpaceDN/>
              <w:adjustRightInd/>
              <w:ind w:left="843"/>
            </w:pPr>
            <w:r w:rsidRPr="00A75677">
              <w:rPr>
                <w:b/>
              </w:rPr>
              <w:t xml:space="preserve">Organizacja kontroli jakości sprzątania poprzez zapewnienie przez Wykonawcę stałego koordynatora sprawdzającego jakość wykonania usługi </w:t>
            </w:r>
            <w:r>
              <w:rPr>
                <w:b/>
              </w:rPr>
              <w:t>(OK)</w:t>
            </w:r>
            <w:r>
              <w:t xml:space="preserve"> - </w:t>
            </w:r>
            <w:r w:rsidR="00AD37DE" w:rsidRPr="00AD37DE">
              <w:t>waga kryterium 40 %.</w:t>
            </w:r>
          </w:p>
          <w:p w14:paraId="4E50935D" w14:textId="77777777" w:rsidR="00AD37DE" w:rsidRPr="00AD37DE" w:rsidRDefault="00AD37DE" w:rsidP="001B38B6">
            <w:pPr>
              <w:widowControl/>
              <w:autoSpaceDE/>
              <w:adjustRightInd/>
              <w:ind w:left="843"/>
            </w:pPr>
          </w:p>
          <w:p w14:paraId="04324801" w14:textId="37014F91" w:rsidR="00AD37DE" w:rsidRPr="00AD37DE" w:rsidRDefault="00AD37DE" w:rsidP="001B38B6">
            <w:pPr>
              <w:widowControl/>
              <w:autoSpaceDE/>
              <w:adjustRightInd/>
              <w:ind w:left="843"/>
              <w:jc w:val="both"/>
            </w:pPr>
            <w:r w:rsidRPr="00AD37DE">
              <w:t>Zasady oceny ofert w poszczególnych kryteriach:</w:t>
            </w:r>
          </w:p>
          <w:p w14:paraId="18011373" w14:textId="77777777" w:rsidR="00AD37DE" w:rsidRPr="00AD37DE" w:rsidRDefault="00AD37DE" w:rsidP="001B38B6">
            <w:pPr>
              <w:widowControl/>
              <w:autoSpaceDE/>
              <w:adjustRightInd/>
              <w:ind w:left="843"/>
              <w:jc w:val="both"/>
            </w:pPr>
          </w:p>
          <w:p w14:paraId="7C53E862" w14:textId="77777777" w:rsidR="00AD37DE" w:rsidRPr="00AD37DE" w:rsidRDefault="00AD37DE" w:rsidP="001B38B6">
            <w:pPr>
              <w:widowControl/>
              <w:autoSpaceDE/>
              <w:adjustRightInd/>
              <w:ind w:left="843" w:hanging="180"/>
              <w:contextualSpacing/>
              <w:jc w:val="both"/>
              <w:rPr>
                <w:b/>
              </w:rPr>
            </w:pPr>
            <w:r w:rsidRPr="00AD37DE">
              <w:rPr>
                <w:b/>
              </w:rPr>
              <w:tab/>
              <w:t>Cena (C) – waga kryterium 60 %</w:t>
            </w:r>
          </w:p>
          <w:p w14:paraId="3A06EDFD" w14:textId="77777777" w:rsidR="00AD37DE" w:rsidRPr="00AD37DE" w:rsidRDefault="00AD37DE" w:rsidP="001B38B6">
            <w:pPr>
              <w:widowControl/>
              <w:autoSpaceDE/>
              <w:adjustRightInd/>
              <w:ind w:left="843" w:hanging="180"/>
              <w:contextualSpacing/>
              <w:jc w:val="both"/>
              <w:rPr>
                <w:b/>
              </w:rPr>
            </w:pPr>
          </w:p>
          <w:p w14:paraId="36E4DC73" w14:textId="77777777" w:rsidR="00AD37DE" w:rsidRPr="00AD37DE" w:rsidRDefault="00AD37DE" w:rsidP="001B38B6">
            <w:pPr>
              <w:ind w:left="843"/>
              <w:rPr>
                <w:b/>
              </w:rPr>
            </w:pPr>
            <w:r w:rsidRPr="00AD37DE">
              <w:rPr>
                <w:b/>
              </w:rPr>
              <w:t xml:space="preserve">cena najniższa brutto spośród wszystkich złożonych ofert </w:t>
            </w:r>
            <w:r w:rsidRPr="00AD37DE">
              <w:rPr>
                <w:b/>
              </w:rPr>
              <w:br/>
              <w:t>niepodlegających odrzuceniu</w:t>
            </w:r>
          </w:p>
          <w:p w14:paraId="04EA03F1" w14:textId="77777777" w:rsidR="00AD37DE" w:rsidRPr="00AD37DE" w:rsidRDefault="00AD37DE" w:rsidP="001B38B6">
            <w:pPr>
              <w:ind w:left="843"/>
              <w:jc w:val="both"/>
            </w:pPr>
            <w:r w:rsidRPr="00AD37DE">
              <w:rPr>
                <w:b/>
              </w:rPr>
              <w:t>C =</w:t>
            </w:r>
            <w:r w:rsidRPr="00AD37DE">
              <w:t xml:space="preserve"> </w:t>
            </w:r>
            <w:r w:rsidRPr="00AD37DE">
              <w:rPr>
                <w:strike/>
              </w:rPr>
              <w:t xml:space="preserve">------------------------------------------------ </w:t>
            </w:r>
            <w:r w:rsidRPr="00AD37DE">
              <w:t xml:space="preserve">  </w:t>
            </w:r>
            <w:r w:rsidRPr="00AD37DE">
              <w:rPr>
                <w:b/>
              </w:rPr>
              <w:t>x 100 pkt x 60 %</w:t>
            </w:r>
          </w:p>
          <w:p w14:paraId="20A5F810" w14:textId="77777777" w:rsidR="00AD37DE" w:rsidRPr="00AD37DE" w:rsidRDefault="00AD37DE" w:rsidP="001B38B6">
            <w:pPr>
              <w:ind w:left="843"/>
              <w:jc w:val="both"/>
              <w:rPr>
                <w:b/>
              </w:rPr>
            </w:pPr>
            <w:r w:rsidRPr="00AD37DE">
              <w:rPr>
                <w:b/>
              </w:rPr>
              <w:t>cena oferty ocenianej brutto</w:t>
            </w:r>
          </w:p>
          <w:p w14:paraId="1A2A4A8B" w14:textId="77777777" w:rsidR="00AD37DE" w:rsidRPr="00AD37DE" w:rsidRDefault="00AD37DE" w:rsidP="00AD37DE">
            <w:pPr>
              <w:ind w:left="1452"/>
              <w:jc w:val="both"/>
              <w:rPr>
                <w:b/>
              </w:rPr>
            </w:pPr>
          </w:p>
          <w:p w14:paraId="637A69F8" w14:textId="688F55A3" w:rsidR="00AD37DE" w:rsidRPr="006057CB" w:rsidRDefault="009B3E08" w:rsidP="001B38B6">
            <w:pPr>
              <w:widowControl/>
              <w:autoSpaceDE/>
              <w:adjustRightInd/>
              <w:ind w:left="303"/>
              <w:jc w:val="both"/>
              <w:rPr>
                <w:b/>
              </w:rPr>
            </w:pPr>
            <w:r w:rsidRPr="00A75677">
              <w:rPr>
                <w:b/>
              </w:rPr>
              <w:t xml:space="preserve">Organizacja kontroli jakości sprzątania poprzez zapewnienie </w:t>
            </w:r>
            <w:r w:rsidR="001B38B6">
              <w:rPr>
                <w:b/>
              </w:rPr>
              <w:t xml:space="preserve">                                      </w:t>
            </w:r>
            <w:r w:rsidRPr="00A75677">
              <w:rPr>
                <w:b/>
              </w:rPr>
              <w:t xml:space="preserve">przez Wykonawcę stałego koordynatora sprawdzającego jakość wykonania usługi </w:t>
            </w:r>
            <w:r>
              <w:rPr>
                <w:b/>
              </w:rPr>
              <w:t>(OK)</w:t>
            </w:r>
            <w:r>
              <w:t xml:space="preserve"> </w:t>
            </w:r>
            <w:r w:rsidR="00AD37DE" w:rsidRPr="00AD37DE">
              <w:t xml:space="preserve">– </w:t>
            </w:r>
            <w:r w:rsidR="00AD37DE" w:rsidRPr="006057CB">
              <w:rPr>
                <w:b/>
              </w:rPr>
              <w:t>waga kryterium 40 %.</w:t>
            </w:r>
          </w:p>
          <w:p w14:paraId="6A404720" w14:textId="77777777" w:rsidR="00AD37DE" w:rsidRPr="00AD37DE" w:rsidRDefault="00AD37DE" w:rsidP="00AD37DE">
            <w:pPr>
              <w:widowControl/>
              <w:autoSpaceDE/>
              <w:adjustRightInd/>
              <w:ind w:left="1080"/>
            </w:pPr>
          </w:p>
          <w:p w14:paraId="42A8E1A8" w14:textId="77777777" w:rsidR="001B38B6" w:rsidRDefault="00AD37DE" w:rsidP="001B38B6">
            <w:pPr>
              <w:ind w:left="303"/>
              <w:jc w:val="both"/>
            </w:pPr>
            <w:r w:rsidRPr="00AD37DE">
              <w:t xml:space="preserve">Przy ocenie ofert w kryterium „jakość usługi”  Zamawiający będzie stosował następujące </w:t>
            </w:r>
            <w:proofErr w:type="spellStart"/>
            <w:r w:rsidRPr="00AD37DE">
              <w:t>podkryterium</w:t>
            </w:r>
            <w:proofErr w:type="spellEnd"/>
            <w:r w:rsidRPr="00AD37DE">
              <w:t xml:space="preserve">: organizacja kontroli jakości sprzątania poprzez zapewnienie przez Wykonawcę stałego koordynatora sprawdzającego jakość wykonywanej usługi </w:t>
            </w:r>
          </w:p>
          <w:p w14:paraId="01CBA5DA" w14:textId="77777777" w:rsidR="001B38B6" w:rsidRDefault="001B38B6" w:rsidP="001B38B6">
            <w:pPr>
              <w:jc w:val="both"/>
            </w:pPr>
          </w:p>
          <w:p w14:paraId="7CA63C43" w14:textId="77777777" w:rsidR="001B38B6" w:rsidRDefault="001B38B6" w:rsidP="001B38B6">
            <w:pPr>
              <w:jc w:val="both"/>
            </w:pPr>
          </w:p>
          <w:p w14:paraId="6E96D576" w14:textId="760FF504" w:rsidR="00AD37DE" w:rsidRPr="00AD37DE" w:rsidRDefault="00AD37DE" w:rsidP="000226C4">
            <w:pPr>
              <w:ind w:left="1743" w:hanging="1440"/>
              <w:jc w:val="both"/>
            </w:pPr>
            <w:r w:rsidRPr="00AD37DE">
              <w:rPr>
                <w:b/>
              </w:rPr>
              <w:t>WARIANT I -</w:t>
            </w:r>
            <w:r w:rsidRPr="00AD37DE">
              <w:t xml:space="preserve"> oferta, w której Wykonawca zapewni i wyznaczy stałą osobę </w:t>
            </w:r>
            <w:r w:rsidR="000226C4">
              <w:t xml:space="preserve"> </w:t>
            </w:r>
            <w:r w:rsidRPr="00AD37DE">
              <w:t xml:space="preserve">„koordynatora”, która </w:t>
            </w:r>
            <w:r w:rsidRPr="00AD37DE">
              <w:rPr>
                <w:b/>
                <w:u w:val="single"/>
              </w:rPr>
              <w:t>dwa razy w miesiącu</w:t>
            </w:r>
            <w:r w:rsidRPr="00AD37DE">
              <w:t xml:space="preserve">  będzie osobiście wraz </w:t>
            </w:r>
            <w:r w:rsidR="001B38B6">
              <w:t xml:space="preserve">                                      </w:t>
            </w:r>
            <w:r w:rsidRPr="00AD37DE">
              <w:t xml:space="preserve">z wyznaczonym pracownikiem Zamawiającego sprawdzać jakość wykonywanej usługi, otrzymuje </w:t>
            </w:r>
            <w:r w:rsidR="001B38B6">
              <w:t xml:space="preserve"> </w:t>
            </w:r>
            <w:r w:rsidRPr="00AD37DE">
              <w:rPr>
                <w:b/>
              </w:rPr>
              <w:t>40 punktów,</w:t>
            </w:r>
          </w:p>
          <w:p w14:paraId="2B8801FC" w14:textId="3B089958" w:rsidR="00AD37DE" w:rsidRPr="00AD37DE" w:rsidRDefault="00AD37DE" w:rsidP="001B38B6">
            <w:pPr>
              <w:ind w:left="1743" w:hanging="1440"/>
              <w:jc w:val="both"/>
            </w:pPr>
            <w:r w:rsidRPr="00AD37DE">
              <w:rPr>
                <w:b/>
              </w:rPr>
              <w:t>WARIANT II</w:t>
            </w:r>
            <w:r w:rsidRPr="00AD37DE">
              <w:t xml:space="preserve"> - oferta, w której Wykonawca zapewni i wyznaczy stałą osobę „koordynatora”, która </w:t>
            </w:r>
            <w:r w:rsidRPr="00AD37DE">
              <w:rPr>
                <w:b/>
                <w:u w:val="single"/>
              </w:rPr>
              <w:t>raz w miesiącu</w:t>
            </w:r>
            <w:r w:rsidRPr="00AD37DE">
              <w:t xml:space="preserve">  będzie osobiście wraz </w:t>
            </w:r>
            <w:r w:rsidR="001B38B6">
              <w:t xml:space="preserve">                    </w:t>
            </w:r>
            <w:r w:rsidRPr="00AD37DE">
              <w:t xml:space="preserve">z wyznaczonym pracownikiem Zamawiającego sprawdzać jakość wykonywanej usługi, otrzymuje </w:t>
            </w:r>
            <w:r w:rsidRPr="00AD37DE">
              <w:rPr>
                <w:b/>
              </w:rPr>
              <w:t>20 punktów</w:t>
            </w:r>
            <w:r w:rsidRPr="00AD37DE">
              <w:t>,</w:t>
            </w:r>
          </w:p>
          <w:p w14:paraId="1BC0EC9A" w14:textId="77777777" w:rsidR="00AD37DE" w:rsidRPr="00AD37DE" w:rsidRDefault="00AD37DE" w:rsidP="001B38B6">
            <w:pPr>
              <w:ind w:left="1743" w:hanging="1440"/>
              <w:jc w:val="both"/>
            </w:pPr>
            <w:r w:rsidRPr="00AD37DE">
              <w:rPr>
                <w:b/>
              </w:rPr>
              <w:t>WARIANT III</w:t>
            </w:r>
            <w:r w:rsidRPr="00AD37DE">
              <w:t xml:space="preserve"> - w przypadku nie wyznaczenia osoby do osobistego sprawdzania jakości wykonywanej usługi w powyżej wymienionych okresach czasu zostanie przyznane </w:t>
            </w:r>
            <w:r w:rsidRPr="00AD37DE">
              <w:rPr>
                <w:b/>
              </w:rPr>
              <w:t>0 pkt</w:t>
            </w:r>
            <w:r w:rsidRPr="00AD37DE">
              <w:t>.</w:t>
            </w:r>
          </w:p>
          <w:p w14:paraId="0F700259" w14:textId="712BB2FF" w:rsidR="00AD37DE" w:rsidRPr="00FD251C" w:rsidRDefault="00AD37DE" w:rsidP="006057CB"/>
        </w:tc>
      </w:tr>
      <w:tr w:rsidR="00A52EC8" w:rsidRPr="00A639C4" w14:paraId="4AD9CE2B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22792A4F" w14:textId="5EBF8057" w:rsidR="00A52EC8" w:rsidRPr="00A639C4" w:rsidRDefault="00A52EC8" w:rsidP="00A52EC8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22.1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752FEE67" w14:textId="601D41E4" w:rsidR="00A52EC8" w:rsidRPr="00A639C4" w:rsidRDefault="00A52EC8" w:rsidP="00A52EC8">
            <w:pPr>
              <w:rPr>
                <w:b/>
                <w:color w:val="000000"/>
              </w:rPr>
            </w:pPr>
            <w:r w:rsidRPr="00A639C4">
              <w:rPr>
                <w:b/>
                <w:color w:val="000000"/>
              </w:rPr>
              <w:t>Zabezpieczenie należytego wykonania umowy</w:t>
            </w:r>
          </w:p>
        </w:tc>
      </w:tr>
      <w:tr w:rsidR="00A52EC8" w:rsidRPr="00A639C4" w14:paraId="3E502C15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20C71F11" w14:textId="77777777" w:rsidR="00A52EC8" w:rsidRPr="00A639C4" w:rsidRDefault="00A52EC8" w:rsidP="00A52EC8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0F3BBDAA" w14:textId="77777777" w:rsidR="00A52EC8" w:rsidRDefault="00A52EC8" w:rsidP="00A52EC8">
            <w:pPr>
              <w:jc w:val="both"/>
            </w:pPr>
          </w:p>
          <w:p w14:paraId="01E7D1D1" w14:textId="77777777" w:rsidR="00A52EC8" w:rsidRPr="006B1DF3" w:rsidRDefault="00A52EC8" w:rsidP="00A52EC8">
            <w:pPr>
              <w:jc w:val="both"/>
            </w:pPr>
            <w:r w:rsidRPr="006B1DF3">
              <w:t xml:space="preserve">Zamawiający </w:t>
            </w:r>
            <w:r w:rsidRPr="006B1DF3">
              <w:rPr>
                <w:b/>
                <w:u w:val="single"/>
              </w:rPr>
              <w:t>nie przewiduje obowiązku wniesienia zabezpieczenia</w:t>
            </w:r>
            <w:r w:rsidRPr="006B1DF3">
              <w:t xml:space="preserve"> należytego wykonania umowy</w:t>
            </w:r>
            <w:r>
              <w:t>.</w:t>
            </w:r>
          </w:p>
          <w:p w14:paraId="009CB97B" w14:textId="77777777" w:rsidR="00A52EC8" w:rsidRDefault="00A52EC8" w:rsidP="00A52EC8">
            <w:pPr>
              <w:jc w:val="both"/>
              <w:rPr>
                <w:b/>
              </w:rPr>
            </w:pPr>
          </w:p>
          <w:p w14:paraId="6FEBA61A" w14:textId="477EB639" w:rsidR="00DF7872" w:rsidRPr="00A639C4" w:rsidRDefault="00DF7872" w:rsidP="00A52EC8">
            <w:pPr>
              <w:jc w:val="both"/>
              <w:rPr>
                <w:b/>
              </w:rPr>
            </w:pPr>
          </w:p>
        </w:tc>
      </w:tr>
      <w:tr w:rsidR="00A52EC8" w:rsidRPr="00A639C4" w14:paraId="0579EB5D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24B7E631" w14:textId="77777777" w:rsidR="00A52EC8" w:rsidRPr="00A639C4" w:rsidRDefault="00A52EC8" w:rsidP="00A52EC8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23.3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1F5B1D26" w14:textId="27E8E538" w:rsidR="00A52EC8" w:rsidRPr="00A639C4" w:rsidRDefault="00A52EC8" w:rsidP="00A52EC8">
            <w:pPr>
              <w:rPr>
                <w:b/>
                <w:color w:val="000000"/>
              </w:rPr>
            </w:pPr>
            <w:r w:rsidRPr="00A639C4">
              <w:rPr>
                <w:b/>
                <w:color w:val="000000"/>
              </w:rPr>
              <w:t>Informacje o treści zawieranej umowy oraz możliwości jej zmiany</w:t>
            </w:r>
          </w:p>
        </w:tc>
      </w:tr>
      <w:tr w:rsidR="00A52EC8" w:rsidRPr="00A639C4" w14:paraId="523E0016" w14:textId="77777777" w:rsidTr="00A639C4">
        <w:tc>
          <w:tcPr>
            <w:tcW w:w="1384" w:type="dxa"/>
            <w:shd w:val="clear" w:color="auto" w:fill="auto"/>
          </w:tcPr>
          <w:p w14:paraId="3146F6DF" w14:textId="77777777" w:rsidR="00A52EC8" w:rsidRPr="00A639C4" w:rsidRDefault="00A52EC8" w:rsidP="00A52EC8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1929B584" w14:textId="77777777" w:rsidR="00A52EC8" w:rsidRDefault="00A52EC8" w:rsidP="00A52EC8">
            <w:pPr>
              <w:tabs>
                <w:tab w:val="left" w:pos="408"/>
              </w:tabs>
              <w:jc w:val="both"/>
            </w:pPr>
          </w:p>
          <w:p w14:paraId="0F0DE236" w14:textId="6E2B9616" w:rsidR="00A52EC8" w:rsidRPr="00A639C4" w:rsidRDefault="00A52EC8" w:rsidP="00A52EC8">
            <w:pPr>
              <w:tabs>
                <w:tab w:val="left" w:pos="408"/>
              </w:tabs>
              <w:jc w:val="both"/>
            </w:pPr>
            <w:r w:rsidRPr="00A639C4">
              <w:t xml:space="preserve">Zamawiający przewiduje możliwość zmiany zawartej umowy w stosunku do treści wybranej oferty w zakresie uregulowanym w art. 454-455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. Zamawiający wymaga od wykonawcy, którego oferta zostanie wybrana, aby zawarł z nim umowę w sprawie zamówienia publicznego na warunkach określonych we wzorze umowy stanowiącym Rozdział SWZ. SWZ stanowi załącznik do umowy w sprawie zamówienia publicznego. Zakres świadczenia wykonawcy wynikający z umowy jest tożsamy </w:t>
            </w:r>
            <w:r>
              <w:br/>
            </w:r>
            <w:r w:rsidRPr="00A639C4">
              <w:t xml:space="preserve">z jego zobowiązaniem zawartym w ofercie. Zgodnie z art. 455. ust. 1.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 Zamawiający przewiduje w niniejszej SWZ (dokumentach zamówienia) możliwość dokonania zmiany umowy bez przeprowadzenia nowego postępowania o udzielenie zamówienia niezależnie od wartości tej zmiany. Zamawiający w Projektowanych postanowieniach umowy w sprawie zamówienia publicznego - ROZDZIAŁ IV SWZ umieszcza jasne, precyzyjne i jednoznaczne postanowienia umowne, które obejmują postanowienia dotyczące zasad wprowadzania zmian.</w:t>
            </w:r>
          </w:p>
          <w:p w14:paraId="786EEB18" w14:textId="593C6AFC" w:rsidR="00A52EC8" w:rsidRPr="00A639C4" w:rsidRDefault="00A52EC8" w:rsidP="00A52EC8">
            <w:pPr>
              <w:tabs>
                <w:tab w:val="left" w:pos="408"/>
              </w:tabs>
              <w:rPr>
                <w:b/>
              </w:rPr>
            </w:pPr>
          </w:p>
        </w:tc>
      </w:tr>
      <w:tr w:rsidR="00A52EC8" w:rsidRPr="00A639C4" w14:paraId="51138BCA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6E98FFAE" w14:textId="32CCD497" w:rsidR="00A52EC8" w:rsidRPr="00A639C4" w:rsidRDefault="00A52EC8" w:rsidP="00A52EC8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1.8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7E95BA28" w14:textId="77047639" w:rsidR="00A52EC8" w:rsidRPr="00A639C4" w:rsidRDefault="00A52EC8" w:rsidP="00A52EC8">
            <w:pPr>
              <w:tabs>
                <w:tab w:val="left" w:pos="408"/>
              </w:tabs>
            </w:pPr>
            <w:r w:rsidRPr="00A639C4">
              <w:rPr>
                <w:b/>
              </w:rPr>
              <w:t>Wskazanie osób uprawnionych do komunikowania się z wykonawcami;</w:t>
            </w:r>
          </w:p>
        </w:tc>
      </w:tr>
      <w:tr w:rsidR="00A52EC8" w:rsidRPr="00A639C4" w14:paraId="42CE9A98" w14:textId="77777777" w:rsidTr="00A639C4">
        <w:tc>
          <w:tcPr>
            <w:tcW w:w="1384" w:type="dxa"/>
            <w:shd w:val="clear" w:color="auto" w:fill="auto"/>
          </w:tcPr>
          <w:p w14:paraId="642FABC7" w14:textId="77777777" w:rsidR="00A52EC8" w:rsidRPr="00A639C4" w:rsidRDefault="00A52EC8" w:rsidP="00A52EC8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6351EE2D" w14:textId="77777777" w:rsidR="00A52EC8" w:rsidRDefault="00A52EC8" w:rsidP="00A52EC8">
            <w:pPr>
              <w:jc w:val="both"/>
            </w:pPr>
          </w:p>
          <w:p w14:paraId="013872F4" w14:textId="7025559A" w:rsidR="00A52EC8" w:rsidRPr="00A639C4" w:rsidRDefault="00A52EC8" w:rsidP="00A52EC8">
            <w:pPr>
              <w:jc w:val="both"/>
            </w:pPr>
            <w:r w:rsidRPr="00A639C4">
              <w:t>Do komunikowania się z wykonawcami uprawnione są następujące osoby:</w:t>
            </w:r>
          </w:p>
          <w:p w14:paraId="7C483E08" w14:textId="77777777" w:rsidR="00A52EC8" w:rsidRPr="00A639C4" w:rsidRDefault="00A52EC8" w:rsidP="00A52EC8">
            <w:pPr>
              <w:jc w:val="both"/>
              <w:rPr>
                <w:b/>
              </w:rPr>
            </w:pPr>
            <w:r w:rsidRPr="00A639C4">
              <w:rPr>
                <w:b/>
              </w:rPr>
              <w:t>Organizacja postępowania:</w:t>
            </w:r>
          </w:p>
          <w:p w14:paraId="7A80C0BF" w14:textId="77777777" w:rsidR="00A52EC8" w:rsidRPr="00A639C4" w:rsidRDefault="00A52EC8" w:rsidP="009B3E08">
            <w:pPr>
              <w:pStyle w:val="Akapitzlist"/>
              <w:numPr>
                <w:ilvl w:val="0"/>
                <w:numId w:val="4"/>
              </w:numPr>
              <w:jc w:val="both"/>
            </w:pPr>
            <w:r w:rsidRPr="00A639C4">
              <w:t>Mariusz Górak – Naczelnik Wydziału Zamówień Publicznych</w:t>
            </w:r>
          </w:p>
          <w:p w14:paraId="386F6BBA" w14:textId="76D04295" w:rsidR="00A52EC8" w:rsidRPr="00A639C4" w:rsidRDefault="00990C0B" w:rsidP="009B3E08">
            <w:pPr>
              <w:pStyle w:val="Akapitzlist"/>
              <w:numPr>
                <w:ilvl w:val="0"/>
                <w:numId w:val="4"/>
              </w:numPr>
              <w:jc w:val="both"/>
            </w:pPr>
            <w:r>
              <w:t>Barbara Maziarz</w:t>
            </w:r>
            <w:r w:rsidR="00A52EC8">
              <w:t xml:space="preserve"> - </w:t>
            </w:r>
            <w:r w:rsidR="00A52EC8" w:rsidRPr="00A639C4">
              <w:t xml:space="preserve"> Sekretarz Komisji Przetargowej</w:t>
            </w:r>
          </w:p>
          <w:p w14:paraId="13DDE609" w14:textId="4F90BA66" w:rsidR="00A52EC8" w:rsidRPr="00A639C4" w:rsidRDefault="00A52EC8" w:rsidP="00A52EC8">
            <w:pPr>
              <w:tabs>
                <w:tab w:val="left" w:pos="408"/>
              </w:tabs>
            </w:pPr>
          </w:p>
        </w:tc>
      </w:tr>
      <w:tr w:rsidR="00A52EC8" w:rsidRPr="00A639C4" w14:paraId="011CBCE6" w14:textId="77777777" w:rsidTr="007134B6">
        <w:tc>
          <w:tcPr>
            <w:tcW w:w="9180" w:type="dxa"/>
            <w:gridSpan w:val="2"/>
            <w:shd w:val="clear" w:color="auto" w:fill="auto"/>
          </w:tcPr>
          <w:p w14:paraId="65BF90A3" w14:textId="068FA3EF" w:rsidR="00A52EC8" w:rsidRPr="00A639C4" w:rsidRDefault="00A52EC8" w:rsidP="00A52EC8">
            <w:pPr>
              <w:jc w:val="center"/>
            </w:pPr>
            <w:bookmarkStart w:id="6" w:name="_Hlk155339952"/>
            <w:r>
              <w:t>Koniec PIDP</w:t>
            </w:r>
          </w:p>
        </w:tc>
      </w:tr>
      <w:bookmarkEnd w:id="6"/>
    </w:tbl>
    <w:p w14:paraId="1D7F26FD" w14:textId="6192075A" w:rsidR="00304FB8" w:rsidRPr="000E368E" w:rsidRDefault="00304FB8" w:rsidP="00E619F6"/>
    <w:sectPr w:rsidR="00304FB8" w:rsidRPr="000E368E" w:rsidSect="00A65D97">
      <w:headerReference w:type="default" r:id="rId11"/>
      <w:footerReference w:type="default" r:id="rId12"/>
      <w:pgSz w:w="11906" w:h="16838" w:code="9"/>
      <w:pgMar w:top="1417" w:right="1417" w:bottom="1417" w:left="1417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7D0BCF" w14:textId="77777777" w:rsidR="00FE2C9E" w:rsidRDefault="00FE2C9E" w:rsidP="00235CCF">
      <w:r>
        <w:separator/>
      </w:r>
    </w:p>
  </w:endnote>
  <w:endnote w:type="continuationSeparator" w:id="0">
    <w:p w14:paraId="01F86A43" w14:textId="77777777" w:rsidR="00FE2C9E" w:rsidRDefault="00FE2C9E" w:rsidP="00235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9101E2" w14:textId="57F43D30" w:rsidR="0022552B" w:rsidRPr="0022552B" w:rsidRDefault="00190335">
    <w:pPr>
      <w:pStyle w:val="Stopka"/>
      <w:jc w:val="right"/>
    </w:pPr>
    <w:r>
      <w:t>(w</w:t>
    </w:r>
    <w:r w:rsidR="0022552B" w:rsidRPr="0022552B">
      <w:t>ersja 2024</w:t>
    </w:r>
    <w:r>
      <w:t>)</w:t>
    </w:r>
  </w:p>
  <w:sdt>
    <w:sdtPr>
      <w:id w:val="84506284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10B217" w14:textId="42B7A711" w:rsidR="0022552B" w:rsidRPr="0022552B" w:rsidRDefault="0022552B">
            <w:pPr>
              <w:pStyle w:val="Stopka"/>
              <w:jc w:val="right"/>
            </w:pPr>
            <w:r w:rsidRPr="0022552B">
              <w:t xml:space="preserve">Strona </w:t>
            </w:r>
            <w:r w:rsidRPr="0022552B">
              <w:rPr>
                <w:b/>
                <w:bCs/>
              </w:rPr>
              <w:fldChar w:fldCharType="begin"/>
            </w:r>
            <w:r w:rsidRPr="0022552B">
              <w:rPr>
                <w:b/>
                <w:bCs/>
              </w:rPr>
              <w:instrText>PAGE</w:instrText>
            </w:r>
            <w:r w:rsidRPr="0022552B">
              <w:rPr>
                <w:b/>
                <w:bCs/>
              </w:rPr>
              <w:fldChar w:fldCharType="separate"/>
            </w:r>
            <w:r w:rsidR="00E413EE">
              <w:rPr>
                <w:b/>
                <w:bCs/>
                <w:noProof/>
              </w:rPr>
              <w:t>10</w:t>
            </w:r>
            <w:r w:rsidRPr="0022552B">
              <w:rPr>
                <w:b/>
                <w:bCs/>
              </w:rPr>
              <w:fldChar w:fldCharType="end"/>
            </w:r>
            <w:r w:rsidRPr="0022552B">
              <w:t xml:space="preserve"> z </w:t>
            </w:r>
            <w:r w:rsidRPr="0022552B">
              <w:rPr>
                <w:b/>
                <w:bCs/>
              </w:rPr>
              <w:fldChar w:fldCharType="begin"/>
            </w:r>
            <w:r w:rsidRPr="0022552B">
              <w:rPr>
                <w:b/>
                <w:bCs/>
              </w:rPr>
              <w:instrText>NUMPAGES</w:instrText>
            </w:r>
            <w:r w:rsidRPr="0022552B">
              <w:rPr>
                <w:b/>
                <w:bCs/>
              </w:rPr>
              <w:fldChar w:fldCharType="separate"/>
            </w:r>
            <w:r w:rsidR="00E413EE">
              <w:rPr>
                <w:b/>
                <w:bCs/>
                <w:noProof/>
              </w:rPr>
              <w:t>10</w:t>
            </w:r>
            <w:r w:rsidRPr="0022552B">
              <w:rPr>
                <w:b/>
                <w:bCs/>
              </w:rPr>
              <w:fldChar w:fldCharType="end"/>
            </w:r>
          </w:p>
        </w:sdtContent>
      </w:sdt>
    </w:sdtContent>
  </w:sdt>
  <w:p w14:paraId="01792C6C" w14:textId="4A2FC379" w:rsidR="007137B3" w:rsidRDefault="0022552B" w:rsidP="0022552B">
    <w:pPr>
      <w:pStyle w:val="Stopka"/>
      <w:tabs>
        <w:tab w:val="clear" w:pos="4536"/>
        <w:tab w:val="clear" w:pos="9072"/>
        <w:tab w:val="left" w:pos="7619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0C33B7" w14:textId="77777777" w:rsidR="00FE2C9E" w:rsidRDefault="00FE2C9E" w:rsidP="00235CCF">
      <w:r>
        <w:separator/>
      </w:r>
    </w:p>
  </w:footnote>
  <w:footnote w:type="continuationSeparator" w:id="0">
    <w:p w14:paraId="37FD4195" w14:textId="77777777" w:rsidR="00FE2C9E" w:rsidRDefault="00FE2C9E" w:rsidP="00235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53" w:type="pct"/>
      <w:tblInd w:w="39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680"/>
      <w:gridCol w:w="5277"/>
    </w:tblGrid>
    <w:tr w:rsidR="009E1376" w:rsidRPr="00B74C3B" w14:paraId="57D9EA9A" w14:textId="77777777" w:rsidTr="00A639C4">
      <w:trPr>
        <w:trHeight w:val="296"/>
      </w:trPr>
      <w:tc>
        <w:tcPr>
          <w:tcW w:w="3680" w:type="dxa"/>
          <w:shd w:val="clear" w:color="auto" w:fill="FFFFFF"/>
        </w:tcPr>
        <w:p w14:paraId="27D43C0D" w14:textId="6FCACC98" w:rsidR="009E1376" w:rsidRPr="00B74C3B" w:rsidRDefault="009E1376" w:rsidP="009E1376">
          <w:pPr>
            <w:tabs>
              <w:tab w:val="left" w:pos="408"/>
            </w:tabs>
            <w:ind w:left="360"/>
            <w:jc w:val="center"/>
            <w:rPr>
              <w:b/>
            </w:rPr>
          </w:pPr>
          <w:bookmarkStart w:id="7" w:name="_Hlk125444948"/>
          <w:r w:rsidRPr="00B74C3B">
            <w:rPr>
              <w:noProof/>
            </w:rPr>
            <w:drawing>
              <wp:inline distT="0" distB="0" distL="0" distR="0" wp14:anchorId="5217C42D" wp14:editId="74CDCDFB">
                <wp:extent cx="1956391" cy="610520"/>
                <wp:effectExtent l="0" t="0" r="635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 rotWithShape="1">
                        <a:blip r:embed="rId1"/>
                        <a:srcRect l="20424" t="32407" r="8223" b="39761"/>
                        <a:stretch/>
                      </pic:blipFill>
                      <pic:spPr bwMode="auto">
                        <a:xfrm>
                          <a:off x="0" y="0"/>
                          <a:ext cx="1974030" cy="6160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34" w:type="dxa"/>
          <w:shd w:val="clear" w:color="auto" w:fill="FFFFFF"/>
          <w:vAlign w:val="center"/>
        </w:tcPr>
        <w:p w14:paraId="1905F66A" w14:textId="5303F2FA" w:rsidR="009E1376" w:rsidRPr="00EA37E4" w:rsidRDefault="009E1376" w:rsidP="00EA37E4">
          <w:pPr>
            <w:pStyle w:val="Tekstpodstawowy2"/>
            <w:shd w:val="clear" w:color="auto" w:fill="FFFFFF"/>
            <w:spacing w:after="0" w:line="276" w:lineRule="auto"/>
            <w:jc w:val="center"/>
            <w:rPr>
              <w:b/>
              <w:color w:val="000000"/>
              <w:spacing w:val="-12"/>
              <w:lang w:val="x-none" w:eastAsia="x-none"/>
            </w:rPr>
          </w:pPr>
          <w:r w:rsidRPr="00EA37E4">
            <w:rPr>
              <w:b/>
              <w:color w:val="000000"/>
              <w:spacing w:val="-12"/>
              <w:lang w:val="x-none" w:eastAsia="x-none"/>
            </w:rPr>
            <w:t xml:space="preserve">SPECYFIKACJA WARUNKÓW ZAMÓWIENIA </w:t>
          </w:r>
          <w:r w:rsidRPr="00EA37E4">
            <w:rPr>
              <w:b/>
              <w:color w:val="000000"/>
              <w:spacing w:val="-12"/>
              <w:lang w:val="x-none" w:eastAsia="x-none"/>
            </w:rPr>
            <w:br/>
            <w:t>TRYB PODSTAWOWY -</w:t>
          </w:r>
          <w:r w:rsidR="002B71A0">
            <w:rPr>
              <w:b/>
              <w:color w:val="000000"/>
              <w:spacing w:val="-12"/>
              <w:lang w:eastAsia="x-none"/>
            </w:rPr>
            <w:t xml:space="preserve"> </w:t>
          </w:r>
          <w:r w:rsidR="002B71A0" w:rsidRPr="002B71A0">
            <w:rPr>
              <w:b/>
              <w:color w:val="000000"/>
              <w:spacing w:val="-12"/>
              <w:lang w:val="x-none" w:eastAsia="x-none"/>
            </w:rPr>
            <w:t>WARIANT Z MOŻLIWOŚCIĄ NEGOCJACJI</w:t>
          </w:r>
          <w:r w:rsidR="002B71A0">
            <w:rPr>
              <w:b/>
              <w:color w:val="000000"/>
              <w:spacing w:val="-12"/>
              <w:lang w:eastAsia="x-none"/>
            </w:rPr>
            <w:t xml:space="preserve"> </w:t>
          </w:r>
          <w:r w:rsidRPr="00EA37E4">
            <w:rPr>
              <w:b/>
              <w:color w:val="000000"/>
              <w:spacing w:val="-12"/>
              <w:lang w:val="x-none" w:eastAsia="x-none"/>
            </w:rPr>
            <w:t xml:space="preserve">(art. 275 </w:t>
          </w:r>
          <w:r w:rsidR="00FC5EB1" w:rsidRPr="003847B5">
            <w:rPr>
              <w:b/>
              <w:color w:val="000000"/>
              <w:spacing w:val="-12"/>
              <w:lang w:val="x-none" w:eastAsia="x-none"/>
            </w:rPr>
            <w:t>pkt</w:t>
          </w:r>
          <w:r w:rsidRPr="003847B5">
            <w:rPr>
              <w:b/>
              <w:color w:val="000000"/>
              <w:spacing w:val="-12"/>
              <w:lang w:val="x-none" w:eastAsia="x-none"/>
            </w:rPr>
            <w:t xml:space="preserve"> </w:t>
          </w:r>
          <w:r w:rsidR="00731C88">
            <w:rPr>
              <w:b/>
              <w:color w:val="000000"/>
              <w:spacing w:val="-12"/>
              <w:lang w:eastAsia="x-none"/>
            </w:rPr>
            <w:t>2</w:t>
          </w:r>
          <w:r w:rsidRPr="00EA37E4">
            <w:rPr>
              <w:b/>
              <w:color w:val="000000"/>
              <w:spacing w:val="-12"/>
              <w:lang w:val="x-none" w:eastAsia="x-none"/>
            </w:rPr>
            <w:t xml:space="preserve"> </w:t>
          </w:r>
          <w:proofErr w:type="spellStart"/>
          <w:r w:rsidRPr="00EA37E4">
            <w:rPr>
              <w:b/>
              <w:color w:val="000000"/>
              <w:spacing w:val="-12"/>
              <w:lang w:val="x-none" w:eastAsia="x-none"/>
            </w:rPr>
            <w:t>Pzp</w:t>
          </w:r>
          <w:proofErr w:type="spellEnd"/>
          <w:r w:rsidRPr="00EA37E4">
            <w:rPr>
              <w:b/>
              <w:color w:val="000000"/>
              <w:spacing w:val="-12"/>
              <w:lang w:val="x-none" w:eastAsia="x-none"/>
            </w:rPr>
            <w:t>)</w:t>
          </w:r>
        </w:p>
        <w:p w14:paraId="14107EB7" w14:textId="0E16AC10" w:rsidR="009E1376" w:rsidRPr="00B74C3B" w:rsidRDefault="009E1376" w:rsidP="00FC52EE">
          <w:pPr>
            <w:pStyle w:val="Nagwek"/>
            <w:jc w:val="center"/>
            <w:rPr>
              <w:b/>
            </w:rPr>
          </w:pPr>
          <w:r w:rsidRPr="00B74C3B">
            <w:rPr>
              <w:bCs/>
            </w:rPr>
            <w:t>Numer referencyjny:</w:t>
          </w:r>
          <w:r w:rsidRPr="00B74C3B">
            <w:rPr>
              <w:b/>
              <w:bCs/>
            </w:rPr>
            <w:t xml:space="preserve"> PZDW/WZP/243/</w:t>
          </w:r>
          <w:r w:rsidR="000C5D0B">
            <w:rPr>
              <w:b/>
              <w:bCs/>
            </w:rPr>
            <w:t>W</w:t>
          </w:r>
          <w:r w:rsidR="00871CAB">
            <w:rPr>
              <w:b/>
              <w:bCs/>
            </w:rPr>
            <w:t>A</w:t>
          </w:r>
          <w:r w:rsidR="00777783">
            <w:rPr>
              <w:b/>
              <w:bCs/>
            </w:rPr>
            <w:t>/</w:t>
          </w:r>
          <w:r w:rsidR="00871CAB">
            <w:rPr>
              <w:b/>
              <w:bCs/>
            </w:rPr>
            <w:t>8</w:t>
          </w:r>
          <w:r w:rsidR="00FC52EE">
            <w:rPr>
              <w:b/>
              <w:bCs/>
            </w:rPr>
            <w:t>5</w:t>
          </w:r>
          <w:r w:rsidR="002F0BD2">
            <w:rPr>
              <w:b/>
              <w:bCs/>
            </w:rPr>
            <w:t>/</w:t>
          </w:r>
          <w:r w:rsidR="002B71A0">
            <w:rPr>
              <w:b/>
              <w:bCs/>
            </w:rPr>
            <w:t>202</w:t>
          </w:r>
          <w:r w:rsidR="00D35612">
            <w:rPr>
              <w:b/>
              <w:bCs/>
            </w:rPr>
            <w:t>4</w:t>
          </w:r>
        </w:p>
      </w:tc>
    </w:tr>
    <w:tr w:rsidR="009E1376" w:rsidRPr="00B74C3B" w14:paraId="5389A671" w14:textId="77777777" w:rsidTr="00B74C3B">
      <w:trPr>
        <w:trHeight w:val="707"/>
      </w:trPr>
      <w:tc>
        <w:tcPr>
          <w:tcW w:w="9214" w:type="dxa"/>
          <w:gridSpan w:val="2"/>
          <w:shd w:val="clear" w:color="auto" w:fill="FFFFFF"/>
        </w:tcPr>
        <w:p w14:paraId="225E9889" w14:textId="12838502" w:rsidR="009E1376" w:rsidRPr="00EA37E4" w:rsidRDefault="009E1376" w:rsidP="00EA37E4">
          <w:pPr>
            <w:pStyle w:val="Tekstpodstawowy2"/>
            <w:shd w:val="clear" w:color="auto" w:fill="FFFFFF"/>
            <w:spacing w:after="0" w:line="276" w:lineRule="auto"/>
            <w:jc w:val="center"/>
            <w:rPr>
              <w:b/>
              <w:color w:val="000000"/>
              <w:spacing w:val="-12"/>
              <w:lang w:val="x-none" w:eastAsia="x-none"/>
            </w:rPr>
          </w:pPr>
          <w:r w:rsidRPr="00EA37E4">
            <w:rPr>
              <w:b/>
              <w:color w:val="000000"/>
              <w:spacing w:val="-12"/>
              <w:lang w:val="x-none" w:eastAsia="x-none"/>
            </w:rPr>
            <w:t xml:space="preserve">ROZDZIAŁ I </w:t>
          </w:r>
          <w:r w:rsidR="00B74C3B" w:rsidRPr="00EA37E4">
            <w:rPr>
              <w:b/>
              <w:color w:val="000000"/>
              <w:spacing w:val="-12"/>
              <w:lang w:val="x-none" w:eastAsia="x-none"/>
            </w:rPr>
            <w:t>- INSTRUKCJA</w:t>
          </w:r>
          <w:r w:rsidRPr="00EA37E4">
            <w:rPr>
              <w:b/>
              <w:color w:val="000000"/>
              <w:spacing w:val="-12"/>
              <w:lang w:val="x-none" w:eastAsia="x-none"/>
            </w:rPr>
            <w:t xml:space="preserve"> DLA WYKONAWCÓW</w:t>
          </w:r>
          <w:r w:rsidR="0066585A" w:rsidRPr="00EA37E4">
            <w:rPr>
              <w:b/>
              <w:color w:val="000000"/>
              <w:spacing w:val="-12"/>
              <w:lang w:val="x-none" w:eastAsia="x-none"/>
            </w:rPr>
            <w:t xml:space="preserve"> (IDW)</w:t>
          </w:r>
        </w:p>
        <w:p w14:paraId="62D18362" w14:textId="77777777" w:rsidR="0066585A" w:rsidRPr="00EA37E4" w:rsidRDefault="0066585A" w:rsidP="00EA37E4">
          <w:pPr>
            <w:pStyle w:val="Tekstpodstawowy2"/>
            <w:shd w:val="clear" w:color="auto" w:fill="FFFFFF"/>
            <w:spacing w:after="0" w:line="276" w:lineRule="auto"/>
            <w:jc w:val="center"/>
            <w:rPr>
              <w:b/>
              <w:color w:val="000000"/>
              <w:spacing w:val="-12"/>
              <w:lang w:val="x-none" w:eastAsia="x-none"/>
            </w:rPr>
          </w:pPr>
        </w:p>
        <w:p w14:paraId="44037418" w14:textId="7B3AF6B0" w:rsidR="009E1376" w:rsidRPr="00B74C3B" w:rsidRDefault="009E1376" w:rsidP="00EA37E4">
          <w:pPr>
            <w:pStyle w:val="Tekstpodstawowy2"/>
            <w:shd w:val="clear" w:color="auto" w:fill="FFFFFF"/>
            <w:spacing w:after="0" w:line="276" w:lineRule="auto"/>
            <w:jc w:val="center"/>
            <w:rPr>
              <w:b/>
            </w:rPr>
          </w:pPr>
          <w:r w:rsidRPr="00EA37E4">
            <w:rPr>
              <w:b/>
              <w:color w:val="000000"/>
              <w:spacing w:val="-12"/>
              <w:lang w:val="x-none" w:eastAsia="x-none"/>
            </w:rPr>
            <w:t>PODSTAWOWE INFORMACJE DOTYCZĄCE POSTĘPOWANIA (PIDP)</w:t>
          </w:r>
        </w:p>
      </w:tc>
    </w:tr>
    <w:bookmarkEnd w:id="7"/>
  </w:tbl>
  <w:p w14:paraId="76352D6B" w14:textId="77777777" w:rsidR="007137B3" w:rsidRPr="00B74C3B" w:rsidRDefault="007137B3" w:rsidP="00235CCF">
    <w:pPr>
      <w:pStyle w:val="Nagwek"/>
      <w:rPr>
        <w:rFonts w:eastAsiaTheme="major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64122"/>
    <w:multiLevelType w:val="hybridMultilevel"/>
    <w:tmpl w:val="D7D6D5D4"/>
    <w:lvl w:ilvl="0" w:tplc="D32E316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B53D1"/>
    <w:multiLevelType w:val="hybridMultilevel"/>
    <w:tmpl w:val="96BC3AD8"/>
    <w:lvl w:ilvl="0" w:tplc="417EEE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1468E4"/>
    <w:multiLevelType w:val="hybridMultilevel"/>
    <w:tmpl w:val="5D54F46A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1B5113"/>
    <w:multiLevelType w:val="hybridMultilevel"/>
    <w:tmpl w:val="DC1EE5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6564C"/>
    <w:multiLevelType w:val="hybridMultilevel"/>
    <w:tmpl w:val="E0F83656"/>
    <w:lvl w:ilvl="0" w:tplc="86226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6B2768"/>
    <w:multiLevelType w:val="hybridMultilevel"/>
    <w:tmpl w:val="8A88F516"/>
    <w:lvl w:ilvl="0" w:tplc="04F2147C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/>
        <w:b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5744033B"/>
    <w:multiLevelType w:val="hybridMultilevel"/>
    <w:tmpl w:val="50F2D3DE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4BD45F1"/>
    <w:multiLevelType w:val="hybridMultilevel"/>
    <w:tmpl w:val="FCA87BB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2"/>
  </w:num>
  <w:num w:numId="5">
    <w:abstractNumId w:val="9"/>
  </w:num>
  <w:num w:numId="6">
    <w:abstractNumId w:val="5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</w:num>
  <w:num w:numId="1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18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D03"/>
    <w:rsid w:val="000103C4"/>
    <w:rsid w:val="00010FC4"/>
    <w:rsid w:val="000133F7"/>
    <w:rsid w:val="00014A37"/>
    <w:rsid w:val="00014D19"/>
    <w:rsid w:val="00014DA3"/>
    <w:rsid w:val="000226C4"/>
    <w:rsid w:val="00034973"/>
    <w:rsid w:val="00045E74"/>
    <w:rsid w:val="000469E9"/>
    <w:rsid w:val="000562B2"/>
    <w:rsid w:val="0006539D"/>
    <w:rsid w:val="00065F58"/>
    <w:rsid w:val="00071195"/>
    <w:rsid w:val="00072D2C"/>
    <w:rsid w:val="000816BE"/>
    <w:rsid w:val="00084922"/>
    <w:rsid w:val="0008508B"/>
    <w:rsid w:val="00086341"/>
    <w:rsid w:val="000A2E0B"/>
    <w:rsid w:val="000A578E"/>
    <w:rsid w:val="000B4C05"/>
    <w:rsid w:val="000B4F9D"/>
    <w:rsid w:val="000B647D"/>
    <w:rsid w:val="000C4078"/>
    <w:rsid w:val="000C5D0B"/>
    <w:rsid w:val="000C7735"/>
    <w:rsid w:val="000D138C"/>
    <w:rsid w:val="000D1ED7"/>
    <w:rsid w:val="000D206E"/>
    <w:rsid w:val="000D26AD"/>
    <w:rsid w:val="000D4DDC"/>
    <w:rsid w:val="000D5B40"/>
    <w:rsid w:val="000D7441"/>
    <w:rsid w:val="000D7EA9"/>
    <w:rsid w:val="000E368E"/>
    <w:rsid w:val="000E530E"/>
    <w:rsid w:val="000E6CEC"/>
    <w:rsid w:val="000E7715"/>
    <w:rsid w:val="000F0CE7"/>
    <w:rsid w:val="000F162D"/>
    <w:rsid w:val="000F6CE6"/>
    <w:rsid w:val="00101EC8"/>
    <w:rsid w:val="00104E64"/>
    <w:rsid w:val="00111750"/>
    <w:rsid w:val="00111CEF"/>
    <w:rsid w:val="001159E7"/>
    <w:rsid w:val="00117E5C"/>
    <w:rsid w:val="00123087"/>
    <w:rsid w:val="00124AAE"/>
    <w:rsid w:val="001309B2"/>
    <w:rsid w:val="00136766"/>
    <w:rsid w:val="00143B08"/>
    <w:rsid w:val="00144954"/>
    <w:rsid w:val="00144D03"/>
    <w:rsid w:val="00146563"/>
    <w:rsid w:val="00146E98"/>
    <w:rsid w:val="00150796"/>
    <w:rsid w:val="001552AA"/>
    <w:rsid w:val="00155987"/>
    <w:rsid w:val="001579D9"/>
    <w:rsid w:val="00157D9E"/>
    <w:rsid w:val="00161D74"/>
    <w:rsid w:val="001655FA"/>
    <w:rsid w:val="0016738F"/>
    <w:rsid w:val="0018179E"/>
    <w:rsid w:val="00182F94"/>
    <w:rsid w:val="0018419A"/>
    <w:rsid w:val="001844C7"/>
    <w:rsid w:val="001861CE"/>
    <w:rsid w:val="00187645"/>
    <w:rsid w:val="00190335"/>
    <w:rsid w:val="00191F57"/>
    <w:rsid w:val="00193AEE"/>
    <w:rsid w:val="001A1707"/>
    <w:rsid w:val="001A6986"/>
    <w:rsid w:val="001A7B19"/>
    <w:rsid w:val="001A7BAA"/>
    <w:rsid w:val="001B0BC7"/>
    <w:rsid w:val="001B0F0D"/>
    <w:rsid w:val="001B38B6"/>
    <w:rsid w:val="001B4E66"/>
    <w:rsid w:val="001C3B71"/>
    <w:rsid w:val="001C4751"/>
    <w:rsid w:val="001C5BDB"/>
    <w:rsid w:val="001D1BCA"/>
    <w:rsid w:val="001D59B2"/>
    <w:rsid w:val="001D5EDC"/>
    <w:rsid w:val="001D6CF8"/>
    <w:rsid w:val="001D742C"/>
    <w:rsid w:val="001E2DD1"/>
    <w:rsid w:val="001E378D"/>
    <w:rsid w:val="001E436F"/>
    <w:rsid w:val="001E598B"/>
    <w:rsid w:val="001F3677"/>
    <w:rsid w:val="00205425"/>
    <w:rsid w:val="00213EB6"/>
    <w:rsid w:val="00214F88"/>
    <w:rsid w:val="0021526F"/>
    <w:rsid w:val="002219CB"/>
    <w:rsid w:val="0022361E"/>
    <w:rsid w:val="0022552B"/>
    <w:rsid w:val="00225807"/>
    <w:rsid w:val="00226A17"/>
    <w:rsid w:val="00226FE5"/>
    <w:rsid w:val="002275C7"/>
    <w:rsid w:val="00233FD4"/>
    <w:rsid w:val="00234AF0"/>
    <w:rsid w:val="00235716"/>
    <w:rsid w:val="00235CCF"/>
    <w:rsid w:val="00242D36"/>
    <w:rsid w:val="00243285"/>
    <w:rsid w:val="00244510"/>
    <w:rsid w:val="00250C58"/>
    <w:rsid w:val="00255583"/>
    <w:rsid w:val="0026125D"/>
    <w:rsid w:val="00265C7D"/>
    <w:rsid w:val="002709B0"/>
    <w:rsid w:val="0027230C"/>
    <w:rsid w:val="002731E2"/>
    <w:rsid w:val="00274B1B"/>
    <w:rsid w:val="00277BFE"/>
    <w:rsid w:val="0028200F"/>
    <w:rsid w:val="0028430E"/>
    <w:rsid w:val="0028668E"/>
    <w:rsid w:val="002878F2"/>
    <w:rsid w:val="00293B88"/>
    <w:rsid w:val="002A31E4"/>
    <w:rsid w:val="002B480D"/>
    <w:rsid w:val="002B71A0"/>
    <w:rsid w:val="002B7221"/>
    <w:rsid w:val="002C2C0D"/>
    <w:rsid w:val="002D3583"/>
    <w:rsid w:val="002D5360"/>
    <w:rsid w:val="002D6127"/>
    <w:rsid w:val="002E0079"/>
    <w:rsid w:val="002E0E10"/>
    <w:rsid w:val="002E4F9E"/>
    <w:rsid w:val="002F0BD2"/>
    <w:rsid w:val="0030027E"/>
    <w:rsid w:val="00300D17"/>
    <w:rsid w:val="00304FB8"/>
    <w:rsid w:val="003061D7"/>
    <w:rsid w:val="0031102F"/>
    <w:rsid w:val="003203A6"/>
    <w:rsid w:val="00322BF1"/>
    <w:rsid w:val="00325CB4"/>
    <w:rsid w:val="00332763"/>
    <w:rsid w:val="00336A07"/>
    <w:rsid w:val="00337503"/>
    <w:rsid w:val="00341A82"/>
    <w:rsid w:val="0034485C"/>
    <w:rsid w:val="00347D74"/>
    <w:rsid w:val="00351738"/>
    <w:rsid w:val="003532A1"/>
    <w:rsid w:val="003544E6"/>
    <w:rsid w:val="00357737"/>
    <w:rsid w:val="00365DB1"/>
    <w:rsid w:val="003672FC"/>
    <w:rsid w:val="003847B5"/>
    <w:rsid w:val="00387614"/>
    <w:rsid w:val="00393CBA"/>
    <w:rsid w:val="00394375"/>
    <w:rsid w:val="003953F4"/>
    <w:rsid w:val="003A273F"/>
    <w:rsid w:val="003A3BB8"/>
    <w:rsid w:val="003A6CA4"/>
    <w:rsid w:val="003A7019"/>
    <w:rsid w:val="003B447D"/>
    <w:rsid w:val="003B7CD6"/>
    <w:rsid w:val="003C0F1E"/>
    <w:rsid w:val="003C2AEE"/>
    <w:rsid w:val="003C56BD"/>
    <w:rsid w:val="003C6953"/>
    <w:rsid w:val="003D020A"/>
    <w:rsid w:val="003D1D50"/>
    <w:rsid w:val="003D1FA8"/>
    <w:rsid w:val="003D2DF4"/>
    <w:rsid w:val="003E38AA"/>
    <w:rsid w:val="003E3C90"/>
    <w:rsid w:val="003E5CE7"/>
    <w:rsid w:val="003F0E4F"/>
    <w:rsid w:val="003F141C"/>
    <w:rsid w:val="003F1745"/>
    <w:rsid w:val="003F5A3A"/>
    <w:rsid w:val="003F6CD3"/>
    <w:rsid w:val="00405302"/>
    <w:rsid w:val="00411B3C"/>
    <w:rsid w:val="00411F9E"/>
    <w:rsid w:val="00415327"/>
    <w:rsid w:val="004169D9"/>
    <w:rsid w:val="00430759"/>
    <w:rsid w:val="0043294F"/>
    <w:rsid w:val="00435575"/>
    <w:rsid w:val="00440A52"/>
    <w:rsid w:val="0044214E"/>
    <w:rsid w:val="00443B1A"/>
    <w:rsid w:val="00444C22"/>
    <w:rsid w:val="00450F04"/>
    <w:rsid w:val="004530E7"/>
    <w:rsid w:val="0045315C"/>
    <w:rsid w:val="00453DE6"/>
    <w:rsid w:val="004546CD"/>
    <w:rsid w:val="00456139"/>
    <w:rsid w:val="0045749E"/>
    <w:rsid w:val="004808FC"/>
    <w:rsid w:val="00480D23"/>
    <w:rsid w:val="004919B6"/>
    <w:rsid w:val="00493B97"/>
    <w:rsid w:val="00495ACA"/>
    <w:rsid w:val="00495B15"/>
    <w:rsid w:val="004A440C"/>
    <w:rsid w:val="004A6BC6"/>
    <w:rsid w:val="004A7A77"/>
    <w:rsid w:val="004B205A"/>
    <w:rsid w:val="004B432F"/>
    <w:rsid w:val="004C13DA"/>
    <w:rsid w:val="004C6385"/>
    <w:rsid w:val="004D2272"/>
    <w:rsid w:val="004D402B"/>
    <w:rsid w:val="004E4A14"/>
    <w:rsid w:val="004E631D"/>
    <w:rsid w:val="004F679B"/>
    <w:rsid w:val="00500E86"/>
    <w:rsid w:val="00505683"/>
    <w:rsid w:val="00505DA5"/>
    <w:rsid w:val="0050713D"/>
    <w:rsid w:val="00510BFD"/>
    <w:rsid w:val="0051183C"/>
    <w:rsid w:val="00532309"/>
    <w:rsid w:val="005411B1"/>
    <w:rsid w:val="00546118"/>
    <w:rsid w:val="0055496E"/>
    <w:rsid w:val="00566E77"/>
    <w:rsid w:val="005706C1"/>
    <w:rsid w:val="005762DB"/>
    <w:rsid w:val="00586363"/>
    <w:rsid w:val="005926B6"/>
    <w:rsid w:val="005B231D"/>
    <w:rsid w:val="005C65FE"/>
    <w:rsid w:val="005D0F64"/>
    <w:rsid w:val="005D18BA"/>
    <w:rsid w:val="005D1AAE"/>
    <w:rsid w:val="005D6002"/>
    <w:rsid w:val="005D698C"/>
    <w:rsid w:val="005E2511"/>
    <w:rsid w:val="005E58F2"/>
    <w:rsid w:val="005E7210"/>
    <w:rsid w:val="005F0726"/>
    <w:rsid w:val="005F32C8"/>
    <w:rsid w:val="005F3B4B"/>
    <w:rsid w:val="005F5680"/>
    <w:rsid w:val="005F6497"/>
    <w:rsid w:val="0060056F"/>
    <w:rsid w:val="00601A19"/>
    <w:rsid w:val="006020D6"/>
    <w:rsid w:val="006057CB"/>
    <w:rsid w:val="0061385E"/>
    <w:rsid w:val="00615911"/>
    <w:rsid w:val="0061673C"/>
    <w:rsid w:val="00622270"/>
    <w:rsid w:val="0062767B"/>
    <w:rsid w:val="00630025"/>
    <w:rsid w:val="00630FB6"/>
    <w:rsid w:val="00633019"/>
    <w:rsid w:val="00643475"/>
    <w:rsid w:val="00647472"/>
    <w:rsid w:val="0065527B"/>
    <w:rsid w:val="00655FAE"/>
    <w:rsid w:val="00660E1B"/>
    <w:rsid w:val="0066585A"/>
    <w:rsid w:val="00670CFD"/>
    <w:rsid w:val="00674167"/>
    <w:rsid w:val="00691CEC"/>
    <w:rsid w:val="00692728"/>
    <w:rsid w:val="00695ECC"/>
    <w:rsid w:val="006A586A"/>
    <w:rsid w:val="006B1DF3"/>
    <w:rsid w:val="006C0CA9"/>
    <w:rsid w:val="006C2AC7"/>
    <w:rsid w:val="006C3181"/>
    <w:rsid w:val="006C360A"/>
    <w:rsid w:val="006C451B"/>
    <w:rsid w:val="006D0499"/>
    <w:rsid w:val="006D112A"/>
    <w:rsid w:val="006D4580"/>
    <w:rsid w:val="006D73AC"/>
    <w:rsid w:val="006E2D53"/>
    <w:rsid w:val="006E2E75"/>
    <w:rsid w:val="006E4B8D"/>
    <w:rsid w:val="006E7361"/>
    <w:rsid w:val="006E7976"/>
    <w:rsid w:val="006F26E0"/>
    <w:rsid w:val="006F276B"/>
    <w:rsid w:val="006F3BCE"/>
    <w:rsid w:val="006F6586"/>
    <w:rsid w:val="0070244B"/>
    <w:rsid w:val="0070256A"/>
    <w:rsid w:val="00704746"/>
    <w:rsid w:val="00706B12"/>
    <w:rsid w:val="00710546"/>
    <w:rsid w:val="00711A2E"/>
    <w:rsid w:val="00711EA9"/>
    <w:rsid w:val="007137B3"/>
    <w:rsid w:val="00715C52"/>
    <w:rsid w:val="00721C5C"/>
    <w:rsid w:val="00724EDB"/>
    <w:rsid w:val="00725114"/>
    <w:rsid w:val="00727219"/>
    <w:rsid w:val="00731C88"/>
    <w:rsid w:val="00741189"/>
    <w:rsid w:val="00741FA5"/>
    <w:rsid w:val="007505EA"/>
    <w:rsid w:val="00750BE5"/>
    <w:rsid w:val="0075264D"/>
    <w:rsid w:val="00752C87"/>
    <w:rsid w:val="00753D3B"/>
    <w:rsid w:val="00756FEC"/>
    <w:rsid w:val="007607B8"/>
    <w:rsid w:val="00761644"/>
    <w:rsid w:val="00764E22"/>
    <w:rsid w:val="00770862"/>
    <w:rsid w:val="007720E9"/>
    <w:rsid w:val="00776E02"/>
    <w:rsid w:val="00777783"/>
    <w:rsid w:val="00781724"/>
    <w:rsid w:val="007847A4"/>
    <w:rsid w:val="00791570"/>
    <w:rsid w:val="0079311F"/>
    <w:rsid w:val="00797B6F"/>
    <w:rsid w:val="007A3225"/>
    <w:rsid w:val="007A419A"/>
    <w:rsid w:val="007B5970"/>
    <w:rsid w:val="007B6D41"/>
    <w:rsid w:val="007B7294"/>
    <w:rsid w:val="007B7325"/>
    <w:rsid w:val="007B75D4"/>
    <w:rsid w:val="007C037C"/>
    <w:rsid w:val="007D0FA9"/>
    <w:rsid w:val="007E014E"/>
    <w:rsid w:val="007E0508"/>
    <w:rsid w:val="007E1A08"/>
    <w:rsid w:val="007E2CFE"/>
    <w:rsid w:val="007E58F5"/>
    <w:rsid w:val="007E61D1"/>
    <w:rsid w:val="007F18D9"/>
    <w:rsid w:val="007F6F4E"/>
    <w:rsid w:val="00800F99"/>
    <w:rsid w:val="00803B03"/>
    <w:rsid w:val="00803B2B"/>
    <w:rsid w:val="00805709"/>
    <w:rsid w:val="00805ADD"/>
    <w:rsid w:val="00807B52"/>
    <w:rsid w:val="0081240C"/>
    <w:rsid w:val="008142B1"/>
    <w:rsid w:val="0082344C"/>
    <w:rsid w:val="00824583"/>
    <w:rsid w:val="00833915"/>
    <w:rsid w:val="00833FE6"/>
    <w:rsid w:val="008360BC"/>
    <w:rsid w:val="00841BEA"/>
    <w:rsid w:val="008452FA"/>
    <w:rsid w:val="008467CF"/>
    <w:rsid w:val="008501B7"/>
    <w:rsid w:val="00850A2B"/>
    <w:rsid w:val="00851676"/>
    <w:rsid w:val="008517C7"/>
    <w:rsid w:val="008537C3"/>
    <w:rsid w:val="00864869"/>
    <w:rsid w:val="008651ED"/>
    <w:rsid w:val="00871CAB"/>
    <w:rsid w:val="0087222F"/>
    <w:rsid w:val="00876657"/>
    <w:rsid w:val="00882E7B"/>
    <w:rsid w:val="00890C36"/>
    <w:rsid w:val="0089722D"/>
    <w:rsid w:val="008A2F3A"/>
    <w:rsid w:val="008A62FE"/>
    <w:rsid w:val="008B11D8"/>
    <w:rsid w:val="008B58E5"/>
    <w:rsid w:val="008B59CE"/>
    <w:rsid w:val="008D17A1"/>
    <w:rsid w:val="008D64CB"/>
    <w:rsid w:val="008D7044"/>
    <w:rsid w:val="008E05D4"/>
    <w:rsid w:val="008E0C69"/>
    <w:rsid w:val="008E65F2"/>
    <w:rsid w:val="008E7D3A"/>
    <w:rsid w:val="008F6691"/>
    <w:rsid w:val="009008C0"/>
    <w:rsid w:val="009021D4"/>
    <w:rsid w:val="00920050"/>
    <w:rsid w:val="00925D57"/>
    <w:rsid w:val="0093019C"/>
    <w:rsid w:val="00931EBD"/>
    <w:rsid w:val="00936769"/>
    <w:rsid w:val="009367F5"/>
    <w:rsid w:val="0094133F"/>
    <w:rsid w:val="00951E66"/>
    <w:rsid w:val="00952BFC"/>
    <w:rsid w:val="009619B4"/>
    <w:rsid w:val="00963CA8"/>
    <w:rsid w:val="00967E45"/>
    <w:rsid w:val="00987E31"/>
    <w:rsid w:val="00990C0B"/>
    <w:rsid w:val="0099406A"/>
    <w:rsid w:val="009A14F9"/>
    <w:rsid w:val="009A2D45"/>
    <w:rsid w:val="009A631D"/>
    <w:rsid w:val="009B3E08"/>
    <w:rsid w:val="009B530D"/>
    <w:rsid w:val="009C520F"/>
    <w:rsid w:val="009C6825"/>
    <w:rsid w:val="009D78CA"/>
    <w:rsid w:val="009E1376"/>
    <w:rsid w:val="009E2DF6"/>
    <w:rsid w:val="009E7B3F"/>
    <w:rsid w:val="00A1212A"/>
    <w:rsid w:val="00A13178"/>
    <w:rsid w:val="00A14FF0"/>
    <w:rsid w:val="00A312CD"/>
    <w:rsid w:val="00A3373E"/>
    <w:rsid w:val="00A3636A"/>
    <w:rsid w:val="00A37420"/>
    <w:rsid w:val="00A42AA6"/>
    <w:rsid w:val="00A464F6"/>
    <w:rsid w:val="00A47CCE"/>
    <w:rsid w:val="00A52EC8"/>
    <w:rsid w:val="00A56D35"/>
    <w:rsid w:val="00A639C4"/>
    <w:rsid w:val="00A6454D"/>
    <w:rsid w:val="00A65D97"/>
    <w:rsid w:val="00A7088C"/>
    <w:rsid w:val="00A75A6F"/>
    <w:rsid w:val="00A91EB5"/>
    <w:rsid w:val="00A91F26"/>
    <w:rsid w:val="00A926DE"/>
    <w:rsid w:val="00A94552"/>
    <w:rsid w:val="00A9568F"/>
    <w:rsid w:val="00A9741D"/>
    <w:rsid w:val="00AA0169"/>
    <w:rsid w:val="00AA30C3"/>
    <w:rsid w:val="00AA39A4"/>
    <w:rsid w:val="00AA3AC0"/>
    <w:rsid w:val="00AA5048"/>
    <w:rsid w:val="00AA6102"/>
    <w:rsid w:val="00AB436A"/>
    <w:rsid w:val="00AB5590"/>
    <w:rsid w:val="00AC2F50"/>
    <w:rsid w:val="00AC6605"/>
    <w:rsid w:val="00AC79C6"/>
    <w:rsid w:val="00AD141F"/>
    <w:rsid w:val="00AD37DE"/>
    <w:rsid w:val="00AD4F3A"/>
    <w:rsid w:val="00AE5642"/>
    <w:rsid w:val="00AE7A7B"/>
    <w:rsid w:val="00AF0167"/>
    <w:rsid w:val="00AF0405"/>
    <w:rsid w:val="00B02DEE"/>
    <w:rsid w:val="00B03D3D"/>
    <w:rsid w:val="00B10C20"/>
    <w:rsid w:val="00B1334C"/>
    <w:rsid w:val="00B13A24"/>
    <w:rsid w:val="00B266D5"/>
    <w:rsid w:val="00B32CA0"/>
    <w:rsid w:val="00B32E68"/>
    <w:rsid w:val="00B340C7"/>
    <w:rsid w:val="00B352AD"/>
    <w:rsid w:val="00B40D62"/>
    <w:rsid w:val="00B44041"/>
    <w:rsid w:val="00B44348"/>
    <w:rsid w:val="00B612FE"/>
    <w:rsid w:val="00B64B7F"/>
    <w:rsid w:val="00B65B7A"/>
    <w:rsid w:val="00B67FD1"/>
    <w:rsid w:val="00B71C90"/>
    <w:rsid w:val="00B72965"/>
    <w:rsid w:val="00B74A68"/>
    <w:rsid w:val="00B74C3B"/>
    <w:rsid w:val="00B7708D"/>
    <w:rsid w:val="00B80D33"/>
    <w:rsid w:val="00B83680"/>
    <w:rsid w:val="00B83BEB"/>
    <w:rsid w:val="00B8507F"/>
    <w:rsid w:val="00B861A9"/>
    <w:rsid w:val="00BA4922"/>
    <w:rsid w:val="00BA4DD4"/>
    <w:rsid w:val="00BA7B93"/>
    <w:rsid w:val="00BB13EA"/>
    <w:rsid w:val="00BC2677"/>
    <w:rsid w:val="00BD2AE4"/>
    <w:rsid w:val="00BD2B22"/>
    <w:rsid w:val="00BD2C32"/>
    <w:rsid w:val="00BD5BD9"/>
    <w:rsid w:val="00BE50F4"/>
    <w:rsid w:val="00BE7884"/>
    <w:rsid w:val="00BF0816"/>
    <w:rsid w:val="00BF7D42"/>
    <w:rsid w:val="00C11DC2"/>
    <w:rsid w:val="00C12399"/>
    <w:rsid w:val="00C152B8"/>
    <w:rsid w:val="00C15AB7"/>
    <w:rsid w:val="00C16536"/>
    <w:rsid w:val="00C178B9"/>
    <w:rsid w:val="00C30CF6"/>
    <w:rsid w:val="00C368B6"/>
    <w:rsid w:val="00C47FE9"/>
    <w:rsid w:val="00C5504B"/>
    <w:rsid w:val="00C72982"/>
    <w:rsid w:val="00C87D25"/>
    <w:rsid w:val="00CA5F17"/>
    <w:rsid w:val="00CB1FEE"/>
    <w:rsid w:val="00CB44F6"/>
    <w:rsid w:val="00CB5219"/>
    <w:rsid w:val="00CB52EB"/>
    <w:rsid w:val="00CB6F73"/>
    <w:rsid w:val="00CB72EF"/>
    <w:rsid w:val="00CC10AD"/>
    <w:rsid w:val="00CC1899"/>
    <w:rsid w:val="00CD12EF"/>
    <w:rsid w:val="00CD2200"/>
    <w:rsid w:val="00CD55EA"/>
    <w:rsid w:val="00CF16B5"/>
    <w:rsid w:val="00CF3C0C"/>
    <w:rsid w:val="00CF5590"/>
    <w:rsid w:val="00CF579B"/>
    <w:rsid w:val="00D101E2"/>
    <w:rsid w:val="00D13E8D"/>
    <w:rsid w:val="00D262FC"/>
    <w:rsid w:val="00D32FC9"/>
    <w:rsid w:val="00D33DFF"/>
    <w:rsid w:val="00D34B0C"/>
    <w:rsid w:val="00D34BD4"/>
    <w:rsid w:val="00D35612"/>
    <w:rsid w:val="00D44056"/>
    <w:rsid w:val="00D45B6A"/>
    <w:rsid w:val="00D4706C"/>
    <w:rsid w:val="00D664EC"/>
    <w:rsid w:val="00D74B4E"/>
    <w:rsid w:val="00D74CBE"/>
    <w:rsid w:val="00D77811"/>
    <w:rsid w:val="00D83111"/>
    <w:rsid w:val="00D836FF"/>
    <w:rsid w:val="00D9147C"/>
    <w:rsid w:val="00D92581"/>
    <w:rsid w:val="00D95ABB"/>
    <w:rsid w:val="00DA2BA0"/>
    <w:rsid w:val="00DA38D9"/>
    <w:rsid w:val="00DA3A45"/>
    <w:rsid w:val="00DB4B29"/>
    <w:rsid w:val="00DC3B64"/>
    <w:rsid w:val="00DC6A53"/>
    <w:rsid w:val="00DD0FE7"/>
    <w:rsid w:val="00DD2CDF"/>
    <w:rsid w:val="00DD3C2E"/>
    <w:rsid w:val="00DD4849"/>
    <w:rsid w:val="00DD74FE"/>
    <w:rsid w:val="00DE23D4"/>
    <w:rsid w:val="00DF097F"/>
    <w:rsid w:val="00DF2F32"/>
    <w:rsid w:val="00DF7872"/>
    <w:rsid w:val="00E05BF8"/>
    <w:rsid w:val="00E13462"/>
    <w:rsid w:val="00E14E37"/>
    <w:rsid w:val="00E15A75"/>
    <w:rsid w:val="00E20173"/>
    <w:rsid w:val="00E21E0F"/>
    <w:rsid w:val="00E220AB"/>
    <w:rsid w:val="00E22DAE"/>
    <w:rsid w:val="00E246FD"/>
    <w:rsid w:val="00E2544E"/>
    <w:rsid w:val="00E261AA"/>
    <w:rsid w:val="00E30967"/>
    <w:rsid w:val="00E3598B"/>
    <w:rsid w:val="00E36E12"/>
    <w:rsid w:val="00E37622"/>
    <w:rsid w:val="00E413EE"/>
    <w:rsid w:val="00E44D8E"/>
    <w:rsid w:val="00E51FB6"/>
    <w:rsid w:val="00E619F6"/>
    <w:rsid w:val="00E6333B"/>
    <w:rsid w:val="00E64F31"/>
    <w:rsid w:val="00E7136F"/>
    <w:rsid w:val="00E75174"/>
    <w:rsid w:val="00E77EEC"/>
    <w:rsid w:val="00E82CD6"/>
    <w:rsid w:val="00E93F87"/>
    <w:rsid w:val="00EA37E4"/>
    <w:rsid w:val="00EB39BA"/>
    <w:rsid w:val="00EB6695"/>
    <w:rsid w:val="00EC5274"/>
    <w:rsid w:val="00ED48C8"/>
    <w:rsid w:val="00ED4C77"/>
    <w:rsid w:val="00ED6751"/>
    <w:rsid w:val="00EE2E67"/>
    <w:rsid w:val="00EE6B70"/>
    <w:rsid w:val="00EF4B2A"/>
    <w:rsid w:val="00EF4C34"/>
    <w:rsid w:val="00EF7A13"/>
    <w:rsid w:val="00EF7AC2"/>
    <w:rsid w:val="00EF7D67"/>
    <w:rsid w:val="00F012BF"/>
    <w:rsid w:val="00F04755"/>
    <w:rsid w:val="00F0644D"/>
    <w:rsid w:val="00F06819"/>
    <w:rsid w:val="00F11564"/>
    <w:rsid w:val="00F15400"/>
    <w:rsid w:val="00F15997"/>
    <w:rsid w:val="00F176B7"/>
    <w:rsid w:val="00F21635"/>
    <w:rsid w:val="00F34662"/>
    <w:rsid w:val="00F34EF7"/>
    <w:rsid w:val="00F35532"/>
    <w:rsid w:val="00F36E9D"/>
    <w:rsid w:val="00F403CE"/>
    <w:rsid w:val="00F4236A"/>
    <w:rsid w:val="00F45267"/>
    <w:rsid w:val="00F45F54"/>
    <w:rsid w:val="00F50499"/>
    <w:rsid w:val="00F50809"/>
    <w:rsid w:val="00F5199E"/>
    <w:rsid w:val="00F51BD7"/>
    <w:rsid w:val="00F53556"/>
    <w:rsid w:val="00F6041F"/>
    <w:rsid w:val="00F6231D"/>
    <w:rsid w:val="00F626BE"/>
    <w:rsid w:val="00F7793D"/>
    <w:rsid w:val="00F8218A"/>
    <w:rsid w:val="00F94D1E"/>
    <w:rsid w:val="00FA18C3"/>
    <w:rsid w:val="00FA41C7"/>
    <w:rsid w:val="00FA49C7"/>
    <w:rsid w:val="00FA5E35"/>
    <w:rsid w:val="00FB5F36"/>
    <w:rsid w:val="00FB77CA"/>
    <w:rsid w:val="00FC52EE"/>
    <w:rsid w:val="00FC549A"/>
    <w:rsid w:val="00FC5EB1"/>
    <w:rsid w:val="00FC60BC"/>
    <w:rsid w:val="00FD105C"/>
    <w:rsid w:val="00FD251C"/>
    <w:rsid w:val="00FD5E2F"/>
    <w:rsid w:val="00FD6C27"/>
    <w:rsid w:val="00FE0510"/>
    <w:rsid w:val="00FE2C9E"/>
    <w:rsid w:val="00FE3AD1"/>
    <w:rsid w:val="00FE43F5"/>
    <w:rsid w:val="00FE49B3"/>
    <w:rsid w:val="00FF2F85"/>
    <w:rsid w:val="00FF4178"/>
    <w:rsid w:val="00FF488F"/>
    <w:rsid w:val="00FF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F49D73"/>
  <w15:docId w15:val="{69AA535F-8C4E-4295-AF43-E589384AF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7D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,CW_Lista,L1,Numerowanie,2 heading,A_wyliczenie,K-P_odwolanie,Akapit z listą5,maz_wyliczenie,opis dzialania,normalny tekst,Odstavec,Data wydania,List Paragraph,lp1,Bulleted Text,Llista wielopoziomowa"/>
    <w:basedOn w:val="Normalny"/>
    <w:link w:val="AkapitzlistZnak"/>
    <w:uiPriority w:val="34"/>
    <w:qFormat/>
    <w:rsid w:val="00304FB8"/>
    <w:pPr>
      <w:ind w:left="708"/>
    </w:pPr>
  </w:style>
  <w:style w:type="paragraph" w:customStyle="1" w:styleId="Default">
    <w:name w:val="Default"/>
    <w:rsid w:val="00304F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Asia 2  Akapit z listą Znak,tekst normalny Znak,CW_Lista Znak,L1 Znak,Numerowanie Znak,2 heading Znak,A_wyliczenie Znak,K-P_odwolanie Znak,Akapit z listą5 Znak,maz_wyliczenie Znak,opis dzialania Znak,normalny tekst Znak,Odstavec Znak"/>
    <w:link w:val="Akapitzlist"/>
    <w:uiPriority w:val="34"/>
    <w:qFormat/>
    <w:locked/>
    <w:rsid w:val="00304FB8"/>
    <w:rPr>
      <w:rFonts w:ascii="Arial" w:eastAsia="Times New Roman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1"/>
    <w:rsid w:val="00235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235C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5CCF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5C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5CCF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5C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5CC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7B6D41"/>
    <w:pPr>
      <w:widowControl/>
      <w:autoSpaceDE/>
      <w:autoSpaceDN/>
      <w:adjustRightInd/>
      <w:spacing w:line="360" w:lineRule="auto"/>
      <w:ind w:left="1497" w:hanging="510"/>
      <w:jc w:val="both"/>
    </w:pPr>
    <w:rPr>
      <w:rFonts w:ascii="Times" w:hAnsi="Times"/>
      <w:bCs/>
      <w:sz w:val="24"/>
    </w:rPr>
  </w:style>
  <w:style w:type="paragraph" w:styleId="Zwykytekst">
    <w:name w:val="Plain Text"/>
    <w:basedOn w:val="Normalny"/>
    <w:link w:val="ZwykytekstZnak"/>
    <w:rsid w:val="00155987"/>
    <w:pPr>
      <w:widowControl/>
      <w:adjustRightInd/>
      <w:spacing w:before="90" w:line="380" w:lineRule="atLeast"/>
      <w:jc w:val="both"/>
    </w:pPr>
    <w:rPr>
      <w:rFonts w:ascii="Courier New" w:hAnsi="Courier New" w:cs="Times New Roman"/>
      <w:w w:val="89"/>
      <w:sz w:val="25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155987"/>
    <w:rPr>
      <w:rFonts w:ascii="Courier New" w:eastAsia="Times New Roman" w:hAnsi="Courier New" w:cs="Times New Roman"/>
      <w:w w:val="89"/>
      <w:sz w:val="25"/>
      <w:szCs w:val="20"/>
    </w:rPr>
  </w:style>
  <w:style w:type="paragraph" w:customStyle="1" w:styleId="ZTIRPKTzmpkttiret">
    <w:name w:val="Z_TIR/PKT – zm. pkt tiret"/>
    <w:basedOn w:val="Normalny"/>
    <w:uiPriority w:val="56"/>
    <w:qFormat/>
    <w:rsid w:val="00622270"/>
    <w:pPr>
      <w:widowControl/>
      <w:autoSpaceDE/>
      <w:autoSpaceDN/>
      <w:adjustRightInd/>
      <w:spacing w:line="360" w:lineRule="auto"/>
      <w:ind w:left="1893" w:hanging="510"/>
      <w:jc w:val="both"/>
    </w:pPr>
    <w:rPr>
      <w:rFonts w:ascii="Times" w:hAnsi="Times"/>
      <w:bCs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2AC7"/>
    <w:pPr>
      <w:widowControl/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2AC7"/>
  </w:style>
  <w:style w:type="character" w:styleId="Pogrubienie">
    <w:name w:val="Strong"/>
    <w:basedOn w:val="Domylnaczcionkaakapitu"/>
    <w:uiPriority w:val="22"/>
    <w:qFormat/>
    <w:rsid w:val="00DB4B29"/>
    <w:rPr>
      <w:b/>
      <w:bCs/>
    </w:rPr>
  </w:style>
  <w:style w:type="paragraph" w:styleId="Tekstpodstawowy2">
    <w:name w:val="Body Text 2"/>
    <w:basedOn w:val="Normalny"/>
    <w:link w:val="Tekstpodstawowy2Znak"/>
    <w:unhideWhenUsed/>
    <w:rsid w:val="00E14E3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14E37"/>
    <w:rPr>
      <w:rFonts w:ascii="Arial" w:eastAsia="Times New Roman" w:hAnsi="Arial" w:cs="Arial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805ADD"/>
    <w:rPr>
      <w:color w:val="0000FF" w:themeColor="hyperlink"/>
      <w:u w:val="single"/>
    </w:rPr>
  </w:style>
  <w:style w:type="character" w:customStyle="1" w:styleId="NagwekZnak1">
    <w:name w:val="Nagłówek Znak1"/>
    <w:locked/>
    <w:rsid w:val="00E82CD6"/>
    <w:rPr>
      <w:rFonts w:ascii="Arial" w:hAnsi="Arial" w:cs="Aria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808FC"/>
    <w:pPr>
      <w:widowControl/>
      <w:autoSpaceDE/>
      <w:autoSpaceDN/>
      <w:adjustRightInd/>
    </w:pPr>
    <w:rPr>
      <w:rFonts w:ascii="Tahoma" w:hAnsi="Tahoma" w:cs="Times New Roma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808FC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808FC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808FC"/>
    <w:pPr>
      <w:autoSpaceDE/>
      <w:autoSpaceDN/>
      <w:adjustRightInd/>
      <w:snapToGrid w:val="0"/>
      <w:spacing w:line="360" w:lineRule="auto"/>
    </w:pPr>
    <w:rPr>
      <w:rFonts w:ascii="Times New Roman" w:hAnsi="Times New Roman" w:cs="Times New Roman"/>
      <w:sz w:val="24"/>
      <w:lang w:val="en-US"/>
    </w:rPr>
  </w:style>
  <w:style w:type="character" w:customStyle="1" w:styleId="Teksttreci">
    <w:name w:val="Tekst treści_"/>
    <w:link w:val="Teksttreci0"/>
    <w:locked/>
    <w:rsid w:val="00225807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5807"/>
    <w:pPr>
      <w:widowControl/>
      <w:shd w:val="clear" w:color="auto" w:fill="FFFFFF"/>
      <w:autoSpaceDE/>
      <w:autoSpaceDN/>
      <w:adjustRightInd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paragraph" w:styleId="Bezodstpw">
    <w:name w:val="No Spacing"/>
    <w:uiPriority w:val="1"/>
    <w:qFormat/>
    <w:rsid w:val="00B67F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C2677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A578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A578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0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7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uslugi-sprzatania-924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pzdw.pl/zamowienia%20%20%20%20%20%20%20%20%20%20%20%20%20%20%20%20%20%20%20%20%20%20%20%20%20%20%20%20%20%20%20%20%20%20%20%20%20%20-publiczne/inne-informacj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DA5BE-63F1-4423-8D2B-A77A1A60C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10</Pages>
  <Words>3671</Words>
  <Characters>22032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basia</cp:lastModifiedBy>
  <cp:revision>90</cp:revision>
  <cp:lastPrinted>2024-10-28T09:53:00Z</cp:lastPrinted>
  <dcterms:created xsi:type="dcterms:W3CDTF">2024-01-23T08:18:00Z</dcterms:created>
  <dcterms:modified xsi:type="dcterms:W3CDTF">2024-12-31T08:53:00Z</dcterms:modified>
</cp:coreProperties>
</file>