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A9C" w:rsidRDefault="002A5A9C" w:rsidP="002A5A9C">
      <w:pPr>
        <w:pStyle w:val="Style5"/>
        <w:widowControl/>
        <w:jc w:val="righ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Załącznik nr </w:t>
      </w:r>
      <w:r>
        <w:rPr>
          <w:rStyle w:val="FontStyle31"/>
          <w:rFonts w:ascii="Century Gothic" w:hAnsi="Century Gothic" w:cs="Trebuchet MS"/>
          <w:bCs/>
          <w:sz w:val="20"/>
          <w:szCs w:val="20"/>
        </w:rPr>
        <w:t>2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 do SWZ</w:t>
      </w:r>
    </w:p>
    <w:p w:rsidR="002A5A9C" w:rsidRPr="00D710EF" w:rsidRDefault="002A5A9C" w:rsidP="002A5A9C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2A5A9C" w:rsidRPr="00D710EF" w:rsidRDefault="002A5A9C" w:rsidP="002A5A9C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2A5A9C" w:rsidRPr="00D710EF" w:rsidRDefault="002A5A9C" w:rsidP="002A5A9C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2A5A9C" w:rsidRPr="00D710EF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2A5A9C" w:rsidRPr="00D710EF" w:rsidRDefault="002A5A9C" w:rsidP="002A5A9C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="00862ADD" w:rsidRPr="00862ADD">
        <w:rPr>
          <w:rStyle w:val="tx1"/>
          <w:rFonts w:ascii="Century Gothic" w:hAnsi="Century Gothic"/>
          <w:bCs/>
          <w:sz w:val="20"/>
          <w:szCs w:val="20"/>
        </w:rPr>
        <w:t>„Sukcesywna dostawa plastyfikatorów do produkcji wyrobów betonowych w roku 202</w:t>
      </w:r>
      <w:r w:rsidR="00E35BFD">
        <w:rPr>
          <w:rStyle w:val="tx1"/>
          <w:rFonts w:ascii="Century Gothic" w:hAnsi="Century Gothic"/>
          <w:bCs/>
          <w:sz w:val="20"/>
          <w:szCs w:val="20"/>
        </w:rPr>
        <w:t>5</w:t>
      </w:r>
      <w:r w:rsidR="00862ADD" w:rsidRPr="00862ADD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 stosunku do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mn</w:t>
      </w:r>
      <w:proofErr w:type="spellEnd"/>
      <w:r w:rsidR="004F0992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bookmarkStart w:id="0" w:name="_GoBack"/>
      <w:bookmarkEnd w:id="0"/>
      <w:r w:rsidRPr="00D710EF">
        <w:rPr>
          <w:rStyle w:val="FontStyle35"/>
          <w:rFonts w:ascii="Century Gothic" w:hAnsi="Century Gothic" w:cs="Trebuchet MS"/>
          <w:sz w:val="20"/>
          <w:szCs w:val="20"/>
        </w:rPr>
        <w:t>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2A5A9C" w:rsidRPr="00FE1883" w:rsidRDefault="002A5A9C" w:rsidP="002A5A9C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1 pkt 1, 2, 5 lub 6 ustawy 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).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Pr="00D710EF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lastRenderedPageBreak/>
        <w:t>OŚWIADCZENIE DOTYCZĄCE PODANYCH INFORMACJI: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407440" w:rsidRDefault="00407440"/>
    <w:sectPr w:rsidR="0040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C"/>
    <w:rsid w:val="002A5A9C"/>
    <w:rsid w:val="00407440"/>
    <w:rsid w:val="004F0992"/>
    <w:rsid w:val="00676D4D"/>
    <w:rsid w:val="007B244C"/>
    <w:rsid w:val="00862ADD"/>
    <w:rsid w:val="00E35BFD"/>
    <w:rsid w:val="00ED1444"/>
    <w:rsid w:val="00ED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pc</cp:lastModifiedBy>
  <cp:revision>7</cp:revision>
  <dcterms:created xsi:type="dcterms:W3CDTF">2023-09-12T06:55:00Z</dcterms:created>
  <dcterms:modified xsi:type="dcterms:W3CDTF">2024-12-17T13:23:00Z</dcterms:modified>
</cp:coreProperties>
</file>