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773C70C" w14:textId="77777777" w:rsidR="00203639" w:rsidRPr="008C4860" w:rsidRDefault="00203639" w:rsidP="00203639">
      <w:pPr>
        <w:pStyle w:val="Standard"/>
        <w:jc w:val="center"/>
        <w:rPr>
          <w:rFonts w:ascii="Calibri" w:hAnsi="Calibri" w:cs="Calibri"/>
        </w:rPr>
      </w:pP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</w:rPr>
        <w:t xml:space="preserve"> </w:t>
      </w:r>
      <w:bookmarkStart w:id="0" w:name="_Hlk179919962"/>
      <w:r w:rsidRPr="008C4860">
        <w:rPr>
          <w:rFonts w:ascii="Calibri" w:hAnsi="Calibri" w:cs="Calibri"/>
          <w:b/>
          <w:bCs/>
        </w:rPr>
        <w:t xml:space="preserve">CZĘŚĆ 3 SZKOŁA PODSTAWOWA IM. </w:t>
      </w:r>
      <w:bookmarkEnd w:id="0"/>
      <w:r w:rsidRPr="008C4860">
        <w:rPr>
          <w:rFonts w:ascii="Calibri" w:hAnsi="Calibri" w:cs="Calibri"/>
          <w:b/>
          <w:bCs/>
        </w:rPr>
        <w:t>ANNY I ANDRZEJA NOWAKÓW W OŻAROWIE</w:t>
      </w:r>
    </w:p>
    <w:p w14:paraId="60F060DB" w14:textId="77777777" w:rsidR="00163756" w:rsidRDefault="00163756">
      <w:pPr>
        <w:pStyle w:val="Standard"/>
        <w:rPr>
          <w:rFonts w:hint="eastAsia"/>
          <w:b/>
          <w:bCs/>
          <w:sz w:val="20"/>
          <w:szCs w:val="20"/>
        </w:rPr>
      </w:pPr>
    </w:p>
    <w:tbl>
      <w:tblPr>
        <w:tblW w:w="1432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04"/>
        <w:gridCol w:w="2552"/>
        <w:gridCol w:w="10489"/>
        <w:gridCol w:w="575"/>
      </w:tblGrid>
      <w:tr w:rsidR="00F67B80" w14:paraId="757E98B1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C09272" w14:textId="77777777" w:rsidR="00F67B80" w:rsidRPr="008C4860" w:rsidRDefault="00F67B80">
            <w:pPr>
              <w:pStyle w:val="TableContents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C4860">
              <w:rPr>
                <w:rFonts w:ascii="Calibri" w:hAnsi="Calibri" w:cs="Calibri"/>
                <w:color w:val="000000"/>
                <w:sz w:val="22"/>
                <w:szCs w:val="22"/>
              </w:rPr>
              <w:t>L.P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6BECD91" w14:textId="77777777" w:rsidR="00F67B80" w:rsidRPr="008C4860" w:rsidRDefault="00F67B80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C4860">
              <w:rPr>
                <w:rFonts w:ascii="Calibri" w:hAnsi="Calibri" w:cs="Calibri"/>
                <w:color w:val="000000"/>
                <w:sz w:val="22"/>
                <w:szCs w:val="22"/>
              </w:rPr>
              <w:t>Zakup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0E12FB0" w14:textId="77777777" w:rsidR="00F67B80" w:rsidRPr="008C4860" w:rsidRDefault="00F67B80">
            <w:pPr>
              <w:pStyle w:val="TableContents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C4860">
              <w:rPr>
                <w:rFonts w:ascii="Calibri" w:hAnsi="Calibri" w:cs="Calibri"/>
                <w:color w:val="000000"/>
                <w:sz w:val="22"/>
                <w:szCs w:val="22"/>
              </w:rPr>
              <w:t>Opis produktu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9EF2345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Ilość sztuk</w:t>
            </w:r>
          </w:p>
        </w:tc>
      </w:tr>
      <w:tr w:rsidR="00F67B80" w14:paraId="1BF25228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4B4A328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0E3FBE3" w14:textId="55AB3E19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Platforma epsilon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54322CE" w14:textId="77777777" w:rsidR="00F67B80" w:rsidRPr="008C4860" w:rsidRDefault="00F67B80">
            <w:pPr>
              <w:pStyle w:val="TableContents"/>
              <w:rPr>
                <w:rFonts w:ascii="Calibri" w:hAnsi="Calibri" w:cs="Calibri"/>
                <w:color w:val="212529"/>
                <w:sz w:val="22"/>
                <w:szCs w:val="22"/>
              </w:rPr>
            </w:pPr>
            <w:r w:rsidRPr="008C4860">
              <w:rPr>
                <w:rFonts w:ascii="Calibri" w:hAnsi="Calibri" w:cs="Calibri"/>
                <w:color w:val="212529"/>
                <w:sz w:val="22"/>
                <w:szCs w:val="22"/>
              </w:rPr>
              <w:t xml:space="preserve">Platforma Epsilon jest rozwiązaniem przeznaczonym do prowadzenia badań komputerowych wybranymi testami z oferty Pracowni, pozwalającym ponadto na automatyczne obliczenie wyników i wygenerowanie raportu. </w:t>
            </w:r>
          </w:p>
          <w:p w14:paraId="2B9B360B" w14:textId="77777777" w:rsidR="00F67B80" w:rsidRPr="008C4860" w:rsidRDefault="00F67B80">
            <w:pPr>
              <w:pStyle w:val="TableContents"/>
              <w:rPr>
                <w:rFonts w:ascii="Calibri" w:hAnsi="Calibri" w:cs="Calibri"/>
                <w:color w:val="212529"/>
                <w:sz w:val="22"/>
                <w:szCs w:val="22"/>
              </w:rPr>
            </w:pPr>
            <w:r w:rsidRPr="008C4860">
              <w:rPr>
                <w:rFonts w:ascii="Calibri" w:hAnsi="Calibri" w:cs="Calibri"/>
                <w:color w:val="212529"/>
                <w:sz w:val="22"/>
                <w:szCs w:val="22"/>
              </w:rPr>
              <w:t>Portfel klienta jest alternatywną formą uzyskania dostępu do platformy Epsilon, która pozwala na swobodne dysponowanie budżetem przeznaczonym na badania z wykorzystaniem testów psychologicznych. </w:t>
            </w:r>
          </w:p>
          <w:p w14:paraId="7C750B8D" w14:textId="77777777" w:rsidR="00F67B80" w:rsidRPr="008C4860" w:rsidRDefault="00F67B80">
            <w:pPr>
              <w:pStyle w:val="TableContents"/>
              <w:rPr>
                <w:rFonts w:ascii="Calibri" w:hAnsi="Calibri" w:cs="Calibri"/>
                <w:color w:val="212529"/>
                <w:sz w:val="22"/>
                <w:szCs w:val="22"/>
              </w:rPr>
            </w:pPr>
            <w:r w:rsidRPr="008C4860">
              <w:rPr>
                <w:rFonts w:ascii="Calibri" w:hAnsi="Calibri" w:cs="Calibri"/>
                <w:color w:val="212529"/>
                <w:sz w:val="22"/>
                <w:szCs w:val="22"/>
              </w:rPr>
              <w:t>Klient nie musi od razu decydować, z jakich narzędzi dostępnych na platformie chciałby korzystać, oraz na jaką liczbę licencji jest zapotrzebowanie. Wystarczy zasilić portfel klienta wybraną kwotą, korzystając ze standardowych metod zakupu w Pracowni. Po wprowadzeniu kodu, portfel zostanie zasilony i można będzie swobodnie dysponować nabytymi środkami – wymieniać je na potrzebne w danym momencie licencje badaniowe lub licencje wprowadzania wyników.</w:t>
            </w:r>
          </w:p>
          <w:p w14:paraId="31490BF9" w14:textId="152E7C1A" w:rsidR="00F67B80" w:rsidRPr="008C4860" w:rsidRDefault="00F67B80">
            <w:pPr>
              <w:pStyle w:val="TableContents"/>
              <w:rPr>
                <w:rFonts w:ascii="Calibri" w:hAnsi="Calibri" w:cs="Calibri"/>
                <w:b/>
                <w:bCs/>
                <w:color w:val="212529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color w:val="212529"/>
                <w:sz w:val="22"/>
                <w:szCs w:val="22"/>
              </w:rPr>
              <w:t>Wymagane jest dostarczenie doładowanego portfela klienta na kwotę 3000,00 zł.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5D0AB9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18D79FB6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46975B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1295B32" w14:textId="5C9EABC3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Aparat fotograficzny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C7A947" w14:textId="77777777" w:rsidR="00F67B80" w:rsidRPr="008C4860" w:rsidRDefault="00F67B80" w:rsidP="00DE62F8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 xml:space="preserve">Wymagania techniczne aparatu: </w:t>
            </w:r>
          </w:p>
          <w:p w14:paraId="6A9C5E89" w14:textId="5E1AA02C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Rozdzielczość: co najmniej 20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Mpx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, Przekątna ekranu co najmniej 3, Typ matrycy CMOS, Stabilizacja” optyczna obiektywu, Zdjęcia seryjne: co najmniej 8 kl./s. Jakość video: co najmniej 4K, Zasilanie akumulatorowe, Liczba zdjęć na jednym ładowaniu: co najmniej 800 szt., Lampa błyskowa: możliwość podpięcia oraz wbudowana, Obsługiwane karty pamięci: co najmniej SD, SDHC, SDXC, Komunikacja: Bluetooth, Wi-Fi, Złącza audio 3,5 mm,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miniHDMI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microUSB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 Konstrukcja: ekran dotykowy, ekran ruchomy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BE391A7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2C6AF672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16BCD2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568481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Obiektyw szerokokątny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86FE4A" w14:textId="77777777" w:rsidR="00F67B80" w:rsidRPr="008C4860" w:rsidRDefault="00F67B80" w:rsidP="00DE62F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242615E4" w14:textId="738D7835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Typ: Szerokokątny Mocowanie obiektywu: zgodne z zaproponowaną lustrzanką Ogniskowa [mm]: minimum 15 Maksymalny otwór przysłony: f/2.8 Stabilizacja obrazu: Nie Kąt widzenia [stopnie]: minimum 50 Konstrukcja : co najmniej 6 elementów w co najmniej 5 grupach Elementy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asferyczne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: Tak Elementy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niskodyspersyjne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: Nie Filtry: Zewnętrzne Makro: Nie Maksymalne powiększenie: x0.26 Mechanizm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autofokusa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: AF, MF Stabilizacja obrazu: Nie Pokrywka od kurzu, osłona obiektywu: Tak Przeznaczenie: Uniwersalne Gwarancja co najmniej 24 miesiące. Obiektyw pasujący do aparatu fotograficznego opisanego powyżej.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4229B2D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1E457125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E7D338E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42F94A5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Obiektyw portretowy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5E27C5C" w14:textId="77777777" w:rsidR="00F67B80" w:rsidRPr="008C4860" w:rsidRDefault="00F67B80" w:rsidP="00DE62F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70665169" w14:textId="23CE85E4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Przeznaczenie: do portretów Mocowanie obiektywu: zgodne z zaproponowaną lustrzanką Rodzaj: Teleobiektyw Odległość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ogniskowa:minimum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80 mm Powiększenie: minimum 0.10 Minimalna odległość ogniskowania: 80 cm Regulacja ostrości: Automatyczna, ręczna Maks. kąt widzenia: 28.5 stopnie Konstrukcja : co najmniej 8 elementów w co najmniej 7 grupach Rozmiar filtra: minimum 50 mm Pokrywka od kurzu, osłona obiektywu: Tak Gwarancja co najmniej 24 miesiące. Obiektyw pasujący do aparatu fotograficznego opisanego powyżej.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04E1053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1B9803BC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125881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FDA3250" w14:textId="2C391780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bookmarkStart w:id="1" w:name="_Hlk173680739"/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Gimbal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do lustrzanki</w:t>
            </w:r>
          </w:p>
          <w:bookmarkEnd w:id="1"/>
          <w:p w14:paraId="70C92504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9DEDEC3" w14:textId="3A1E2A70" w:rsidR="00F67B80" w:rsidRPr="008C4860" w:rsidRDefault="00F67B80" w:rsidP="00DE62F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6F9DF154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Rodzaj akcesorium: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Gimbal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ręczny, Typ stabilizatora: Trzyosiowy Przeznaczenie: Aparat, Parametry Kolor: Czarny, Udźwig: min. 2000 g, Waga: max. 850 g, Komunikacja: Bluetooth, USB, Czas operacyjny: min. 10 h, Wbudowana bateria: Tak, Pokrętło do regulacji ostrości, </w:t>
            </w:r>
          </w:p>
          <w:p w14:paraId="19400C7E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Dotykowy wyświetlacz, Bezprzewodowe sterowanie smartfonem, USB-C, Śledzenie obiektów</w:t>
            </w:r>
          </w:p>
          <w:p w14:paraId="492C03AE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Zawartość zestawu Instrukcja obsługi w języku polskim, Karta gwarancyjna, Kabel USB-C, Śruba montażowa, Płytka montażowa, Statyw, Gwarancja: 24 miesiące 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96161C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352CE5C7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1D3F8DF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DF1145" w14:textId="2F8C5117" w:rsidR="00F67B80" w:rsidRPr="008C4860" w:rsidRDefault="00F67B80" w:rsidP="00752822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Telezoom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z funkcją makro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8D572E1" w14:textId="77777777" w:rsidR="00F67B80" w:rsidRPr="008C4860" w:rsidRDefault="00F67B80" w:rsidP="00DE62F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obiektywu:</w:t>
            </w:r>
          </w:p>
          <w:p w14:paraId="71A68324" w14:textId="44C8C2B3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Przystępny cenowo, kompaktowy teleobiektyw zmiennoogniskowy.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>Obiektyw EF 75-300 mm f/4-5,6 III oferuje wiele często używanych ogniskowych teleobiektywu i zapewnia doskonałą jakość obrazu. Obiektyw pasujący do aparatu fotograficznego opisanego powyżej.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C01FEAE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08F3091E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677D963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DB797E" w14:textId="48370C01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bookmarkStart w:id="2" w:name="_Hlk173783397"/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Stady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cam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do kręcenia filmów</w:t>
            </w:r>
          </w:p>
          <w:bookmarkEnd w:id="2"/>
          <w:p w14:paraId="14D0980A" w14:textId="77777777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  <w:shd w:val="clear" w:color="auto" w:fill="00FF00"/>
              </w:rPr>
            </w:pP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724DD29" w14:textId="77777777" w:rsidR="00F67B80" w:rsidRPr="008C4860" w:rsidRDefault="00F67B80" w:rsidP="008E3A25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21657321" w14:textId="1827685E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Rodzaj akcesorium: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Gimbal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ręczny Trzyosiowy,  Typ stabilizatora: Elektroniczny, Przeznaczenie: Aparat, kamera, Kolor: Czarny, Udźwig: min 3200 g, Waga: max. 950 g, </w:t>
            </w:r>
          </w:p>
          <w:p w14:paraId="4BFE7501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Komunikacja: Bluetooth, USB, Czas operacyjny: min. 12 h, Wbudowana bateria: Tak, Pojemność baterii: min. 3000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mAh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 Rodzaj baterii: 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Litowo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-jonowa (Li-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Ion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), 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 xml:space="preserve">Zawartość zestawu: Mini statyw, Podpora obiektywu, Śruba do podpory obiektywu: Śruby 1/4", Śruby 3/8",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Szybkozłączka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Manfrotto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 Zestaw okablowania, Instrukcja obsługi w języku polskim, Gwarancja: 24 miesiące.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BDB9428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06B1C46D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B184C9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B3FF866" w14:textId="11A3463E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Lampa oświetleniowa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C26027" w14:textId="77777777" w:rsidR="00F67B80" w:rsidRPr="008C4860" w:rsidRDefault="00F67B80" w:rsidP="008E3A25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0AD07D34" w14:textId="0A9D2287" w:rsidR="00F67B80" w:rsidRPr="008C4860" w:rsidRDefault="00F67B80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Zastosowanie: oświetlenie fotograficzne,</w:t>
            </w:r>
          </w:p>
          <w:p w14:paraId="511CF6F6" w14:textId="29CB8C5B" w:rsidR="00F67B80" w:rsidRPr="008C4860" w:rsidRDefault="00F67B80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Panel świetlny LED płaski,</w:t>
            </w:r>
          </w:p>
          <w:p w14:paraId="63723B09" w14:textId="79C8E274" w:rsidR="00F67B80" w:rsidRPr="008C4860" w:rsidRDefault="00F67B80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- Świecący panel rozmiar: min. 27x15 cm,</w:t>
            </w:r>
          </w:p>
          <w:p w14:paraId="68EEB24B" w14:textId="35EB9C29" w:rsidR="00F67B80" w:rsidRPr="008C4860" w:rsidRDefault="00F67B80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Temperatura barwowa: 2700K-5700K,</w:t>
            </w:r>
          </w:p>
          <w:p w14:paraId="60E82C98" w14:textId="28F7D44E" w:rsidR="00F67B80" w:rsidRPr="008C4860" w:rsidRDefault="00F67B80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Moc: min. 50W,</w:t>
            </w:r>
          </w:p>
          <w:p w14:paraId="63993CC7" w14:textId="5D39BC58" w:rsidR="00F67B80" w:rsidRPr="008C4860" w:rsidRDefault="00F67B80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Lumenów: min. 800LM,</w:t>
            </w:r>
          </w:p>
          <w:p w14:paraId="12FB6504" w14:textId="22353004" w:rsidR="00F67B80" w:rsidRPr="008C4860" w:rsidRDefault="00F67B80" w:rsidP="008E3A25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Panel umieszczony na statywie o wysokość statywu min. 150cm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5F1156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F67B80" w14:paraId="66B67907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C945C3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864494" w14:textId="03EABFA6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Karta pamięci 128 GB</w:t>
            </w:r>
          </w:p>
          <w:p w14:paraId="3A018342" w14:textId="77777777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BAADBC6" w14:textId="77777777" w:rsidR="00F67B80" w:rsidRPr="008C4860" w:rsidRDefault="00F67B80" w:rsidP="008E3A25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048A797D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- Rodzaj karty: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microSDXC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</w:t>
            </w:r>
          </w:p>
          <w:p w14:paraId="4B0FDB4F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- Pojemność: 128 GB, </w:t>
            </w:r>
          </w:p>
          <w:p w14:paraId="7308E1F7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Klasa prędkości: UHS-I / U1,</w:t>
            </w:r>
          </w:p>
          <w:p w14:paraId="0E033F18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Klasa obsługi danych w smartfonach: A1,</w:t>
            </w:r>
          </w:p>
          <w:p w14:paraId="6A3FD7B7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Prędkość odczytu danych: min. 100 MB/s</w:t>
            </w:r>
          </w:p>
          <w:p w14:paraId="67155C3C" w14:textId="455AA06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Gwarancja min 2 lata.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9804642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055DBF1E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4DDCE2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31F8DB0" w14:textId="613A74DD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Lampa LED okrągła</w:t>
            </w: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CA8B777" w14:textId="77777777" w:rsidR="00F67B80" w:rsidRPr="008C4860" w:rsidRDefault="00F67B80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70461EEE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moc: min. 48W,</w:t>
            </w:r>
          </w:p>
          <w:p w14:paraId="0628E671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temperatura barwowa: 5500 K,</w:t>
            </w:r>
          </w:p>
          <w:p w14:paraId="1D35696B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regulacja natężenia światła,</w:t>
            </w:r>
          </w:p>
          <w:p w14:paraId="706FBC53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regulacja barwy światła,</w:t>
            </w:r>
          </w:p>
          <w:p w14:paraId="3F1DB33E" w14:textId="5C49E853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uchwyt do mocowania telefonu,</w:t>
            </w:r>
          </w:p>
          <w:p w14:paraId="4AC69141" w14:textId="45FC349F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kształt i wielkość lampy: okrągła o średnica 18",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>- waga: max. 3,5kg,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>- lampa zamocowania na regulowanym statywie do wys. 185 cm,</w:t>
            </w:r>
          </w:p>
          <w:p w14:paraId="0C8B6CA3" w14:textId="3924C0EB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torba do przenoszenia lampy i statywu,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>- gwarancja: min. 12 miesięcy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D36412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2</w:t>
            </w:r>
          </w:p>
        </w:tc>
      </w:tr>
      <w:tr w:rsidR="00F67B80" w14:paraId="6EE47125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8799EF6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D444FE" w14:textId="4759661C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Statyw do tła fotograficznego</w:t>
            </w:r>
          </w:p>
          <w:p w14:paraId="2667A768" w14:textId="77777777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89E4BE" w14:textId="77777777" w:rsidR="00F67B80" w:rsidRPr="008C4860" w:rsidRDefault="00F67B80" w:rsidP="004915E7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0C879DD8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metalowy statyw, wytrzymały i stabilny,</w:t>
            </w:r>
          </w:p>
          <w:p w14:paraId="0BD4C8AA" w14:textId="38811C4C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minimalny udźwig: 5 kg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>- regulowana wysokość,</w:t>
            </w:r>
          </w:p>
          <w:p w14:paraId="343B53FF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regulowana szerokość,</w:t>
            </w:r>
          </w:p>
          <w:p w14:paraId="535AE0EB" w14:textId="2939ED85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- mobilność – możliwość złożenia i zapakowania do torby dołączonej do zestawu, </w:t>
            </w:r>
          </w:p>
          <w:p w14:paraId="718E003E" w14:textId="35E2F9C0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waga całości max. 3 kg,</w:t>
            </w:r>
            <w:r w:rsidRPr="008C4860">
              <w:rPr>
                <w:rFonts w:ascii="Calibri" w:hAnsi="Calibri" w:cs="Calibri"/>
                <w:sz w:val="22"/>
                <w:szCs w:val="22"/>
              </w:rPr>
              <w:br/>
              <w:t>- możliwość umieszczenia zarówno dużego tła do zdjęć całej sylwetki czy dużych gabarytów, jak i małego do zdjęć produktów o mniejszych rozmiarach.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FAC44F4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F67B80" w14:paraId="7094BF38" w14:textId="77777777" w:rsidTr="00F67B80"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CD59546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CC6995" w14:textId="0F81C851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bookmarkStart w:id="3" w:name="_Hlk174043151"/>
            <w:r w:rsidRPr="008C4860">
              <w:rPr>
                <w:rFonts w:ascii="Calibri" w:hAnsi="Calibri" w:cs="Calibri"/>
                <w:sz w:val="22"/>
                <w:szCs w:val="22"/>
              </w:rPr>
              <w:t>Dysk zewnętrzny</w:t>
            </w:r>
            <w:r w:rsidR="00ED4841">
              <w:rPr>
                <w:rFonts w:ascii="Calibri" w:hAnsi="Calibri" w:cs="Calibri"/>
                <w:sz w:val="22"/>
                <w:szCs w:val="22"/>
              </w:rPr>
              <w:t>2,5” HDD</w:t>
            </w:r>
            <w:r w:rsidRPr="008C4860">
              <w:rPr>
                <w:rFonts w:ascii="Calibri" w:hAnsi="Calibri" w:cs="Calibri"/>
                <w:sz w:val="22"/>
                <w:szCs w:val="22"/>
              </w:rPr>
              <w:t xml:space="preserve"> o pojemności 2 TB</w:t>
            </w:r>
          </w:p>
          <w:bookmarkEnd w:id="3"/>
          <w:p w14:paraId="14FB5A17" w14:textId="77777777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4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67B3D85" w14:textId="77777777" w:rsidR="00F67B80" w:rsidRPr="008C4860" w:rsidRDefault="00F67B80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techniczne:</w:t>
            </w:r>
          </w:p>
          <w:p w14:paraId="5002165C" w14:textId="77777777" w:rsidR="00F67B8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pojemność dysku wynosząca 2 TB,</w:t>
            </w:r>
          </w:p>
          <w:p w14:paraId="188977A9" w14:textId="51B95F34" w:rsidR="00ED4841" w:rsidRPr="008C4860" w:rsidRDefault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 format 2,5” HDD</w:t>
            </w:r>
          </w:p>
          <w:p w14:paraId="34652860" w14:textId="3A2FADF9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szybki interfejs USB 3.2 gen 1,</w:t>
            </w:r>
          </w:p>
          <w:p w14:paraId="62C0F746" w14:textId="1B6EB06C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interfejs USB 2.0 współpracujący ze starszymi komputerami,</w:t>
            </w:r>
          </w:p>
          <w:p w14:paraId="4F77C862" w14:textId="08B3D122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technologia Plug &amp; Play,</w:t>
            </w:r>
          </w:p>
          <w:p w14:paraId="18AC20ED" w14:textId="3A3D4EF5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obudowa w kolorze matowej czerni lub szarości,</w:t>
            </w:r>
          </w:p>
          <w:p w14:paraId="7C3B12F2" w14:textId="77777777" w:rsidR="00F67B8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- kompatybilny z MS Windows bez instalacji dodatkowego oprogramowania, </w:t>
            </w:r>
          </w:p>
          <w:p w14:paraId="09BBD97C" w14:textId="107EB4B7" w:rsidR="00ED4841" w:rsidRPr="008C4860" w:rsidRDefault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 gwarancja min. 24 miesiące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6931536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F67B80" w14:paraId="25689982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78B8B7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52F136" w14:textId="329812EF" w:rsidR="00F67B80" w:rsidRPr="008C4860" w:rsidRDefault="00F67B80">
            <w:pPr>
              <w:pStyle w:val="Standard"/>
              <w:widowControl w:val="0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Laptop 15,6”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5ADA6A2" w14:textId="77777777" w:rsidR="00F67B80" w:rsidRPr="008C4860" w:rsidRDefault="00F67B80" w:rsidP="00C031D4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komputera przenośnego (laptopa) min. 15.6”:</w:t>
            </w:r>
          </w:p>
          <w:p w14:paraId="51DE908F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Typ - Komputer typu notebook z ekranem o przekątnej min. 15,6” i rozdzielczości min. 1920 x 1080 pikseli (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FullHD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). Podświetlenie LED, matryca wykonana w technologii IPS lub EWV/VA. Jasność matrycy nie mniejsza niż 250 nitów. Matryca matowa.</w:t>
            </w:r>
          </w:p>
          <w:p w14:paraId="625C9384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Procesor - o min. 10 rdzeniach fizycznych i 12 wątkach logicznych. Zaprojektowany do pracy w komputerach przenośnych.</w:t>
            </w:r>
          </w:p>
          <w:p w14:paraId="1494196E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Pamięć RAM – minimum DDR4 8 GB z możliwością rozbudowy do 16 GB.</w:t>
            </w:r>
          </w:p>
          <w:p w14:paraId="10A048B6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Pamięć operacyjna – min. 512GB M.2 NV Me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PCIe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4.0 SSD.</w:t>
            </w:r>
          </w:p>
          <w:p w14:paraId="701226FC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Karta graficzna - zintegrowana z procesorem ze sprzętowym wsparciem dla kodowania H.264 oraz MPEG2, DirectX 12.1, Open GL 4.6.</w:t>
            </w:r>
          </w:p>
          <w:p w14:paraId="036E8C95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Multimedia - Karta dźwiękowa zgodna z HD Audio. Wbudowane głośniki, mikrofon oraz wbudowana kamera HD.</w:t>
            </w:r>
          </w:p>
          <w:p w14:paraId="4313ED7F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Łączność - Karta WLAN min. 802.11ac + Bluetooth min. 5.0. Zintegrowana gigabitowa karta LAN – zamawiający nie dopuszcza możliwości zastosowania karty USB-LAN.</w:t>
            </w:r>
          </w:p>
          <w:p w14:paraId="6E8AF1E8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Bateria i zasilacz - Minimum 3 komorowa bateria o pojemności min. 42Wh. Zewnętrzny zasilacz sieciowy AC/DC 100/240V, 60/50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 z kablami połączeniowymi.</w:t>
            </w:r>
          </w:p>
          <w:p w14:paraId="636F4A24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BIOS zgodny ze specyfikacją UEFI. </w:t>
            </w:r>
          </w:p>
          <w:p w14:paraId="3F7C2078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Obudowa wykonana z materiałów o podwyższonej odporności na uszkodzenia mechaniczne, w odcieniach szarości lub czerni.</w:t>
            </w:r>
          </w:p>
          <w:p w14:paraId="17F669D2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Dostęp do najnowszych sterowników i uaktualnień na stronie producenta notebooka, realizowany poprzez podanie na stronie internetowej producenta numeru seryjnego lub modelu notebooka.</w:t>
            </w:r>
          </w:p>
          <w:p w14:paraId="6346690A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Klawiatura QWERTY  z tzw. układzie amerykańskim (klawisz ze znakiem dolara, a nie funta angielskiego), z dedykowanym blokiem numerycznym po prawej stronie. Występowanie dwóch klawiszy ALT, zintegrowane podświetlenie w klawiaturze zwiększające widoczność podczas pracy w słabym oświetleniu lub przy jego braku.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Touchpad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w pełni zintegrowany z obudową.</w:t>
            </w:r>
          </w:p>
          <w:p w14:paraId="1F3896FA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Porty: - min. 2 porty USB typ A (3.2 Gen 1)</w:t>
            </w:r>
          </w:p>
          <w:p w14:paraId="5904AF57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min. 1 port USB typ A (2.0)</w:t>
            </w:r>
          </w:p>
          <w:p w14:paraId="23C77120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min. 1 port HDMI</w:t>
            </w:r>
          </w:p>
          <w:p w14:paraId="354BAE45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min. 1 port LAN RJ45</w:t>
            </w:r>
          </w:p>
          <w:p w14:paraId="33695825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- min. 1 port czytnika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MicroSD</w:t>
            </w:r>
            <w:proofErr w:type="spellEnd"/>
          </w:p>
          <w:p w14:paraId="6B675D6E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- min. 1 port audio 3,5mm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jack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(Combo) lub osobne łącza.</w:t>
            </w:r>
          </w:p>
          <w:p w14:paraId="77782491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Zainstalowany Windows 11 Professional, klucz licencyjny musi być zapisany trwale w BIOS i umożliwiać instalację systemu operacyjnego na podstawie dołączonego nośnika lub zdalnie bez potrzeby ręcznego wpisywania klucza licencyjnego lub równoważny. </w:t>
            </w:r>
          </w:p>
          <w:p w14:paraId="571FC62F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Okres gwarancji 24 - 36 miesięcy.</w:t>
            </w:r>
          </w:p>
          <w:p w14:paraId="7902EE7C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Gwarancja na baterię min 12 miesięcy.</w:t>
            </w:r>
          </w:p>
          <w:p w14:paraId="0083FD18" w14:textId="77777777" w:rsidR="00F67B80" w:rsidRPr="008C4860" w:rsidRDefault="00F67B80" w:rsidP="00C031D4">
            <w:pPr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Waga: max. 2 kg.</w:t>
            </w:r>
          </w:p>
          <w:p w14:paraId="2FFC8F51" w14:textId="62912083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Wsparcie techniczne producenta - możliwość sprawdzenia telefonicznego bezpośrednio u producenta lub na stronie internetowej producenta oferowanego notebooka, po podaniu numeru seryjnego - konfiguracji sprzętowej notebooka oraz warunków gwarancji.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712E315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4</w:t>
            </w:r>
          </w:p>
        </w:tc>
      </w:tr>
      <w:tr w:rsidR="00F67B80" w14:paraId="0A8C2AAB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8D5E951" w14:textId="77777777" w:rsidR="00F67B80" w:rsidRPr="008C4860" w:rsidRDefault="00F67B80" w:rsidP="00C031D4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64A125" w14:textId="679F054A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Monitor multimedialny 65</w:t>
            </w:r>
            <w:r w:rsidR="00ED4841">
              <w:rPr>
                <w:rFonts w:ascii="Calibri" w:hAnsi="Calibri" w:cs="Calibri"/>
                <w:sz w:val="22"/>
                <w:szCs w:val="22"/>
              </w:rPr>
              <w:t>”</w:t>
            </w:r>
            <w:r w:rsidRPr="008C4860">
              <w:rPr>
                <w:rFonts w:ascii="Calibri" w:hAnsi="Calibri" w:cs="Calibri"/>
                <w:sz w:val="22"/>
                <w:szCs w:val="22"/>
              </w:rPr>
              <w:t xml:space="preserve"> + stojak mobilny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A967717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monitora multimedialnego 65”:</w:t>
            </w:r>
          </w:p>
          <w:p w14:paraId="19635FA3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Przeznaczenie produktu: Wielkoformatowe (LFD), Przekątna ekranu: 65", Powłoka matrycy: Matowa, Rodzaj matrycy: LED, IPS, Typ ekranu: Płaski, Monitor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bezramkowy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: Tak, Rozdzielczość ekranu: co najmniej 3840 x 2160 (UHD 4K), Format obrazu 16:9, Częstotliwość odświeżania ekranu: co najmniej 60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Hz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 Liczba wyświetlanych kolorów: co najmniej 1,00 mld, Czas reakcji: maksymalnie 8 ms (GTG), Jasność: co najmniej 500 cd/m²</w:t>
            </w:r>
          </w:p>
          <w:p w14:paraId="14589F1F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Kontrast statyczny: 1200:1, Złącza: co najmniej VGA (D-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sub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) - 1 szt., co najmniej HDMI 2.0 - 3 szt. co najmniej DVI - 1 szt., co najmniej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1.4 - 1 szt., co najmniej Wyjście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DisplayPort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- 1 szt., co najmniej Wyjście audio - 1 szt., co najmniej Wejście audio - 1 szt., co najmniej RJ-45 (LAN) - 1 szt., co najmniej USB 2.0 - 2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szt.co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najmniej ,RS-232C - 1 szt. co najmniej AC-in (wejście zasilania) - 1 szt. co najmniej ,Wejście IR, Głośniki: Tak, Moc głośników: co najmniej 2 x 10W</w:t>
            </w:r>
          </w:p>
          <w:p w14:paraId="26DD36DD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Możliwość montażu na ścianie TAK standard VESA, Klasa energetyczna: maksymalnie G</w:t>
            </w:r>
          </w:p>
          <w:p w14:paraId="0F8E8485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Wbudowany moduł Wi-Fi: Tak, Dołączone akcesoria: Skrócona instrukcja obsługi w języku polskim, Instrukcja bezpieczeństwa, Kabel zasilający, Kabel HDMI, Kabel RS232C, Pilot, Gwarancja co najmniej 24 miesięcy (gwarancja producenta), System co najmniej Android 11,0 lub równoważny.</w:t>
            </w:r>
          </w:p>
          <w:p w14:paraId="697E99B0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stojaka mobilnego:</w:t>
            </w:r>
          </w:p>
          <w:p w14:paraId="13DB85C3" w14:textId="38DAD7B2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Uniwersalny mobilny wózek TV pasujący do monitora multimedialnego. Kolor grafit lub czarny, gumowe skrętne kółka z funkcją blokady.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A74568" w14:textId="77777777" w:rsidR="00F67B80" w:rsidRPr="008C4860" w:rsidRDefault="00F67B80" w:rsidP="00C031D4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F67B80" w14:paraId="21517E68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E4D8C15" w14:textId="77777777" w:rsidR="00F67B80" w:rsidRPr="008C4860" w:rsidRDefault="00F67B80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003D0AE" w14:textId="77777777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Urządzenie wielofunkcyjne format A3 kolor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F48F871" w14:textId="77777777" w:rsidR="00F67B80" w:rsidRPr="008C4860" w:rsidRDefault="00F67B80" w:rsidP="002205D8">
            <w:pPr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 techniczne urządzenia wielofunkcyjnego formatu A3 Kolor:</w:t>
            </w:r>
          </w:p>
          <w:p w14:paraId="4D6FD9FF" w14:textId="77777777" w:rsidR="00F67B80" w:rsidRPr="008C4860" w:rsidRDefault="00F67B80" w:rsidP="002205D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Technika wydruku Laserowa, Druk w kolorze: Tak, Szybkość druku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/min]: co najmniej 35 w czerni , 35 w kolorze, Rozdzielczość druku w czerni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]: co najmniej 1200 x 1200 Rozdzielczość druku w kolorze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]: co najmniej 1200 x 1200, Maksymalny format druku: A3, Automatyczny druk dwustronny: Tak, Szybkość wydruku pierwszej strony (czerń) [s]: co najmniej 9.5, </w:t>
            </w:r>
          </w:p>
          <w:p w14:paraId="6D696EE3" w14:textId="570AE866" w:rsidR="00F67B80" w:rsidRPr="008C4860" w:rsidRDefault="00F67B80" w:rsidP="002205D8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Typ skanera: Kolorowy CIS Rozdzielczość optyczna skanera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]: co najmniej 600 x 600, Głębia koloru [bit]: co najmniej 24 Głębia szarości [bit]: co najmniej 24, Rozdzielczość kopiowania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dpi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]: co najmniej 1200 x 1200 Zmniejszanie / powiększanie: co najmniej 25 – 400, Prędkość kopiowania - czerń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/min]: co najmniej 35, Prędkość kopiowania - kolor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/min]: co najmniej 35, Funkcje kopiowania: Dwustronne, Faks Wbudowany faks: Tak, Maksymalna prędkość transmisji danych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kBps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]: 35, Pamięć faksu [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str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]: co najmniej 8000, Podajnik papieru: co najmniej 2000 arkuszy, Taca odbiorcza: co najmniej 400 arkuszy, Pamięć: co najmniej 1.2 GB Wyświetlacz: Tak, Obsługiwane formaty nośników: co najmniej 16K, 8K, A3, A4, A5, A6, B4, B5, B6,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Executive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, Folio, Formaty niestandardowe, Kartki pocztowe, Koperty,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Legal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Letter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>, Statement, Wi-Fi: Tak, Wejście RJ-1, Złącze Ethernet (LAN): co najmniej 1, Złącze USB: co najmniej 1, Kolor obudowy: preferowany Biały, Wyposażenie: Bęben, Przewód telefoniczny, Przewód zasilający, Toner startowy, Załączona dokumentacja: Instrukcja obsługi w języku polskim, Gwarancja: co najmniej 24 miesiące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0CFE5D7" w14:textId="674619EE" w:rsidR="00F67B80" w:rsidRPr="008C4860" w:rsidRDefault="00F67B80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ED4841" w14:paraId="3EA6836F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E6B15ED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D34FD23" w14:textId="000EA845" w:rsidR="00ED4841" w:rsidRPr="008C4860" w:rsidRDefault="00ED4841" w:rsidP="00ED4841">
            <w:pPr>
              <w:pStyle w:val="Standard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fotografii </w:t>
            </w:r>
            <w:bookmarkStart w:id="4" w:name="_Hlk180436413"/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Graphics Suite 2024</w:t>
            </w:r>
            <w:bookmarkEnd w:id="4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lub równoważny (licencja wieczysta)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C5A0F1" w14:textId="77777777" w:rsidR="001B09C3" w:rsidRPr="000241BF" w:rsidRDefault="001B09C3" w:rsidP="001B09C3">
            <w:pPr>
              <w:pStyle w:val="Default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Profesjonalne oprogramowanie do projektowania graficznego dla systemu Windows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CorelDRAW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Graphics Suite 2024 lub równoważny.</w:t>
            </w:r>
          </w:p>
          <w:p w14:paraId="74E011F6" w14:textId="42BBF3B9" w:rsidR="00ED4841" w:rsidRPr="008C4860" w:rsidRDefault="001B09C3" w:rsidP="001B09C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b/>
                <w:bCs/>
                <w:sz w:val="22"/>
                <w:szCs w:val="22"/>
              </w:rPr>
              <w:t>Licencja wieczysta.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31DFA16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ED4841" w14:paraId="42DC8B63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50CFDBD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E4B266D" w14:textId="77777777" w:rsidR="001B09C3" w:rsidRPr="000241BF" w:rsidRDefault="001B09C3" w:rsidP="001B09C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 xml:space="preserve">Oprogramowanie do obróbki filmów Adobe </w:t>
            </w:r>
            <w:proofErr w:type="spellStart"/>
            <w:r w:rsidRPr="000241BF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Pr="000241BF">
              <w:rPr>
                <w:rFonts w:ascii="Calibri" w:hAnsi="Calibri" w:cs="Calibri"/>
                <w:sz w:val="22"/>
                <w:szCs w:val="22"/>
              </w:rPr>
              <w:t xml:space="preserve"> Pro lub równoważny</w:t>
            </w:r>
          </w:p>
          <w:p w14:paraId="2E6EE8EB" w14:textId="540E10B1" w:rsidR="00ED4841" w:rsidRPr="008C4860" w:rsidRDefault="001B09C3" w:rsidP="001B09C3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0241BF">
              <w:rPr>
                <w:rFonts w:ascii="Calibri" w:hAnsi="Calibri" w:cs="Calibri"/>
                <w:sz w:val="22"/>
                <w:szCs w:val="22"/>
              </w:rPr>
              <w:t>(licencja 3 lata)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FA7B5F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Profesjonalne oprogramowanie do montażu i przycinania wideo Adobe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Premiere</w:t>
            </w:r>
            <w:proofErr w:type="spellEnd"/>
            <w:r w:rsidRPr="008C4860">
              <w:rPr>
                <w:rFonts w:ascii="Calibri" w:hAnsi="Calibri" w:cs="Calibri"/>
                <w:sz w:val="22"/>
                <w:szCs w:val="22"/>
              </w:rPr>
              <w:t xml:space="preserve"> Pro lub równoważny.</w:t>
            </w:r>
          </w:p>
          <w:p w14:paraId="6FEA4E1E" w14:textId="173644D7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Licencja 36 miesięcy.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AC3D16F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ED4841" w14:paraId="4F8A7AAC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21DC2EF5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8823666" w14:textId="15B49231" w:rsidR="00ED4841" w:rsidRPr="00EB1A24" w:rsidRDefault="00ED4841" w:rsidP="00EB1A24">
            <w:pPr>
              <w:suppressAutoHyphens w:val="0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- innowacyjne wprowadzenie uczniów w świat zawodów i wyboru szkoły.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FFB09F1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 – kompleksowe rozwiązanie dla całej szkoły podstawowej, dla doradcy zawodowego, pedagoga, psychologa, każdego nauczyciela i wychowawcy do realizacji systemu doradztwa zawodowego w szkole podstawowej w klasach 0 – 8.</w:t>
            </w:r>
          </w:p>
          <w:p w14:paraId="49CD26E5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Innowacyjnego wprowadzenia uczniów w świat zawodów i wyboru szkoły.</w:t>
            </w:r>
          </w:p>
          <w:p w14:paraId="0CF33A14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Wymagana zawartość zestawu:</w:t>
            </w:r>
          </w:p>
          <w:p w14:paraId="0C92000C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- 72 gry </w:t>
            </w:r>
            <w:proofErr w:type="spellStart"/>
            <w:r w:rsidRPr="008C4860">
              <w:rPr>
                <w:rFonts w:ascii="Calibri" w:hAnsi="Calibri" w:cs="Calibri"/>
                <w:sz w:val="22"/>
                <w:szCs w:val="22"/>
              </w:rPr>
              <w:t>zawodoznawcze</w:t>
            </w:r>
            <w:proofErr w:type="spellEnd"/>
          </w:p>
          <w:p w14:paraId="581891D1" w14:textId="1B587079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- 55 prezentacji zawodów</w:t>
            </w:r>
          </w:p>
          <w:p w14:paraId="419EE760" w14:textId="0AF8AF3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- 11 scenariuszy zajęć</w:t>
            </w:r>
          </w:p>
          <w:p w14:paraId="081F2FA9" w14:textId="54A3D1CC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test zainteresowań</w:t>
            </w:r>
          </w:p>
          <w:p w14:paraId="2F2F487A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466DB607" w14:textId="43FC4823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Licencja bezterminowa wielostanowiskowa w obrębie jednej lokalizacji odbiorcy</w:t>
            </w:r>
            <w:r w:rsidRPr="008C4860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ED159D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ED4841" w14:paraId="74A35DDE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E90F027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959CF93" w14:textId="1D247796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pomagający zaplanować indywidualną wizję kariery zawodowej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1E0E5D6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pomagający zaplanować indywidualną wizję kariery zawodowej, czyli przygotowanie osobistego planu edukacyjno-zawodowego.</w:t>
            </w:r>
          </w:p>
          <w:p w14:paraId="2BDDE570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Wymagana zawartość zestawu:</w:t>
            </w:r>
          </w:p>
          <w:p w14:paraId="65D62242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interaktywny moduł do tworzenia IPD (Indywidualnego Planu Działania),</w:t>
            </w:r>
          </w:p>
          <w:p w14:paraId="133C33F6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charakterystyki 630 zawodów,</w:t>
            </w:r>
          </w:p>
          <w:p w14:paraId="0C52D954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Klasyfikację Zawodów i Specjalności,</w:t>
            </w:r>
          </w:p>
          <w:p w14:paraId="357D1837" w14:textId="27590563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Poradnik dla osób niepełnosprawnych.</w:t>
            </w:r>
          </w:p>
          <w:p w14:paraId="43E89487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Polska wersja językowa,</w:t>
            </w:r>
          </w:p>
          <w:p w14:paraId="1B16B958" w14:textId="4C96CC25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Wymagania: licencja bezterminowa na 15 stanowisk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1D123C2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</w:p>
        </w:tc>
      </w:tr>
      <w:tr w:rsidR="00ED4841" w14:paraId="700BDD54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3A551472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  <w:bookmarkStart w:id="5" w:name="_Hlk174045208"/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CFE2A8F" w14:textId="69864CF5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multimedialny -kształtowanie kariery zawodowej oraz trafnego wyboru przyszłego zawodu</w:t>
            </w:r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3C6B802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 </w:t>
            </w:r>
            <w:r w:rsidRPr="008C4860">
              <w:rPr>
                <w:rFonts w:ascii="Calibri" w:hAnsi="Calibri" w:cs="Calibri"/>
                <w:sz w:val="22"/>
                <w:szCs w:val="22"/>
              </w:rPr>
              <w:t>Seria składająca się z 6 multimedialnych programów komputerowych obejmujących istotne zagadnienia dla kształtowania kariery zawodowej oraz trafnego wyboru przyszłego zawodu. Seria została zaplanowana w jedną, spójną całość, logicznie następujących po sobie programów – zagadnień.</w:t>
            </w:r>
          </w:p>
          <w:p w14:paraId="72823A79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Program zawierający komplet informacji na temat autoanalizy: </w:t>
            </w:r>
          </w:p>
          <w:p w14:paraId="68CA81BC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co to jest autoanaliza, do czego służy, jak wykonać ją rzetelnie,</w:t>
            </w:r>
          </w:p>
          <w:p w14:paraId="5B2FC7FB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określania celów życiowych – dlaczego warto je określać oraz jak to robić, by były one realne, ale nie zaniżały faktycznych możliwości,</w:t>
            </w:r>
          </w:p>
          <w:p w14:paraId="6DB3A549" w14:textId="382003B4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- planowania kariery – jak należy planować własną karierę i jakie czynniki zewnętrzne i wewnętrzne mają wpływ na jej rozwój.</w:t>
            </w:r>
          </w:p>
          <w:p w14:paraId="1242E020" w14:textId="57C2323E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1FD8CCBF" w14:textId="526F48A6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Wymagania: licencja bezterminowa na 10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B336C2A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bookmarkEnd w:id="5"/>
      <w:tr w:rsidR="00ED4841" w14:paraId="5364ED8C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236C69F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5A6E72D7" w14:textId="421622D1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bookmarkStart w:id="6" w:name="_Hlk174045250"/>
            <w:r w:rsidRPr="008C4860">
              <w:rPr>
                <w:rFonts w:ascii="Calibri" w:hAnsi="Calibri" w:cs="Calibri"/>
                <w:sz w:val="22"/>
                <w:szCs w:val="22"/>
              </w:rPr>
              <w:t>Program multimedialny</w:t>
            </w:r>
            <w:r w:rsidRPr="008C4860">
              <w:rPr>
                <w:rFonts w:ascii="Calibri" w:hAnsi="Calibri" w:cs="Calibri"/>
                <w:b/>
                <w:bCs/>
                <w:color w:val="54595F"/>
                <w:sz w:val="22"/>
                <w:szCs w:val="22"/>
                <w:shd w:val="clear" w:color="auto" w:fill="FFFFFF"/>
              </w:rPr>
              <w:t xml:space="preserve"> </w:t>
            </w:r>
            <w:r w:rsidRPr="008C4860">
              <w:rPr>
                <w:rFonts w:ascii="Calibri" w:hAnsi="Calibri" w:cs="Calibri"/>
                <w:sz w:val="22"/>
                <w:szCs w:val="22"/>
              </w:rPr>
              <w:t>do badania preferencji ucznia związanych z wyborem zawodu</w:t>
            </w:r>
            <w:bookmarkEnd w:id="6"/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74127B1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komputerowy służąca do badania preferencji ucznia związanych z wyborem zawodu poprzez określenie: • zdolności umysłowych • kompetencji społecznych • cech temperamentu • przeciwwskazań zdrowotnych.</w:t>
            </w:r>
          </w:p>
          <w:p w14:paraId="14D9207F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 pomaga przy wyborze kierunku kształcenia oraz wyborze zawodu.</w:t>
            </w:r>
          </w:p>
          <w:p w14:paraId="5A387AF8" w14:textId="744F90C4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 xml:space="preserve">Przeznaczony dla osób od 12 r.ż. (dla uczniów kl. 7-8 SP i uczniów szkół ponadpodstawowych). </w:t>
            </w:r>
          </w:p>
          <w:p w14:paraId="3E23B2C9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43D26644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Wymagania: licencja na 5 lat na 10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9AA274D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  <w:tr w:rsidR="00ED4841" w14:paraId="612BF621" w14:textId="77777777" w:rsidTr="00F67B80">
        <w:tc>
          <w:tcPr>
            <w:tcW w:w="7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1F9E621" w14:textId="77777777" w:rsidR="00ED4841" w:rsidRPr="008C4860" w:rsidRDefault="00ED4841" w:rsidP="00ED4841">
            <w:pPr>
              <w:pStyle w:val="TableContents"/>
              <w:numPr>
                <w:ilvl w:val="0"/>
                <w:numId w:val="1"/>
              </w:num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5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AFE6AC3" w14:textId="09C93E25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bookmarkStart w:id="7" w:name="_Hlk174045259"/>
            <w:r w:rsidRPr="008C4860">
              <w:rPr>
                <w:rFonts w:ascii="Calibri" w:hAnsi="Calibri" w:cs="Calibri"/>
                <w:sz w:val="22"/>
                <w:szCs w:val="22"/>
              </w:rPr>
              <w:t>Program multimedialny -</w:t>
            </w:r>
            <w:r w:rsidR="00EB1A24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8C4860">
              <w:rPr>
                <w:rFonts w:ascii="Calibri" w:hAnsi="Calibri" w:cs="Calibri"/>
                <w:sz w:val="22"/>
                <w:szCs w:val="22"/>
              </w:rPr>
              <w:t>w formie testu preferencji i predyspozycji zawodowych</w:t>
            </w:r>
            <w:bookmarkEnd w:id="7"/>
          </w:p>
        </w:tc>
        <w:tc>
          <w:tcPr>
            <w:tcW w:w="104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1D528E76" w14:textId="07EDEBBF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Programu komputerowy w formie testu psychologicznego. Oprogramowanie umożliwiające przeprowadzenie badania, automatyczne obliczenie wyników oraz od razu uzyskanie opisu wyników, które będzie można wydrukować, zapisać do pliku, wysłać bezpośrednio na e-mail osoby badanej i/lub e-mail doradcy. Program będzie zawierał także dodatkowe materiały związane z tematyką testu oraz spis polecanych książek. Test przeznaczony dla osób od 15 r.ż. wzwyż (dla młodzieży i osób dorosłych).</w:t>
            </w:r>
          </w:p>
          <w:p w14:paraId="7C70A641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Polska wersja językowa,</w:t>
            </w:r>
          </w:p>
          <w:p w14:paraId="0330139F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8C4860">
              <w:rPr>
                <w:rFonts w:ascii="Calibri" w:hAnsi="Calibri" w:cs="Calibri"/>
                <w:b/>
                <w:bCs/>
                <w:sz w:val="22"/>
                <w:szCs w:val="22"/>
              </w:rPr>
              <w:t>Wymagania: licencja na 5 lat na 10 stanowisk.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66D6A90" w14:textId="77777777" w:rsidR="00ED4841" w:rsidRPr="008C4860" w:rsidRDefault="00ED4841" w:rsidP="00ED4841">
            <w:pPr>
              <w:pStyle w:val="TableContents"/>
              <w:rPr>
                <w:rFonts w:ascii="Calibri" w:hAnsi="Calibri" w:cs="Calibri"/>
                <w:sz w:val="22"/>
                <w:szCs w:val="22"/>
              </w:rPr>
            </w:pPr>
            <w:r w:rsidRPr="008C4860">
              <w:rPr>
                <w:rFonts w:ascii="Calibri" w:hAnsi="Calibri" w:cs="Calibri"/>
                <w:sz w:val="22"/>
                <w:szCs w:val="22"/>
              </w:rPr>
              <w:t>1</w:t>
            </w:r>
          </w:p>
        </w:tc>
      </w:tr>
    </w:tbl>
    <w:p w14:paraId="6E8E2927" w14:textId="77777777" w:rsidR="00163756" w:rsidRDefault="00163756">
      <w:pPr>
        <w:pStyle w:val="Standard"/>
        <w:rPr>
          <w:rFonts w:hint="eastAsia"/>
        </w:rPr>
      </w:pPr>
    </w:p>
    <w:sectPr w:rsidR="00163756">
      <w:headerReference w:type="default" r:id="rId7"/>
      <w:footerReference w:type="default" r:id="rId8"/>
      <w:pgSz w:w="16838" w:h="11906" w:orient="landscape"/>
      <w:pgMar w:top="1134" w:right="1134" w:bottom="1134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276991" w14:textId="77777777" w:rsidR="004A6CE7" w:rsidRDefault="004A6CE7">
      <w:pPr>
        <w:rPr>
          <w:rFonts w:hint="eastAsia"/>
        </w:rPr>
      </w:pPr>
      <w:r>
        <w:separator/>
      </w:r>
    </w:p>
  </w:endnote>
  <w:endnote w:type="continuationSeparator" w:id="0">
    <w:p w14:paraId="740D3874" w14:textId="77777777" w:rsidR="004A6CE7" w:rsidRDefault="004A6CE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95F190" w14:textId="77777777" w:rsidR="004161C4" w:rsidRDefault="00000000">
    <w:pPr>
      <w:pStyle w:val="Stopka"/>
      <w:jc w:val="center"/>
      <w:rPr>
        <w:rFonts w:hint="eastAsia"/>
      </w:rPr>
    </w:pPr>
    <w:r>
      <w:rPr>
        <w:noProof/>
      </w:rPr>
      <w:drawing>
        <wp:inline distT="0" distB="0" distL="0" distR="0" wp14:anchorId="426603DC" wp14:editId="5EAEE9E2">
          <wp:extent cx="5400044" cy="570960"/>
          <wp:effectExtent l="0" t="0" r="0" b="540"/>
          <wp:docPr id="683597817" name="Obraz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00044" cy="57096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0F60F862" w14:textId="77777777" w:rsidR="004161C4" w:rsidRDefault="004161C4">
    <w:pPr>
      <w:pStyle w:val="Stopka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B7329B" w14:textId="77777777" w:rsidR="004A6CE7" w:rsidRDefault="004A6CE7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14:paraId="67C12DB0" w14:textId="77777777" w:rsidR="004A6CE7" w:rsidRDefault="004A6CE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1D92CA" w14:textId="77777777" w:rsidR="00203639" w:rsidRDefault="00203639" w:rsidP="00203639">
    <w:pPr>
      <w:pStyle w:val="NormalnyWeb"/>
      <w:spacing w:before="0" w:after="0" w:line="240" w:lineRule="auto"/>
      <w:jc w:val="right"/>
    </w:pPr>
    <w:r>
      <w:rPr>
        <w:rFonts w:ascii="Cambria" w:hAnsi="Cambria" w:cs="Cambria"/>
        <w:sz w:val="18"/>
        <w:szCs w:val="20"/>
      </w:rPr>
      <w:t>Załącznik nr 5 do SWZ</w:t>
    </w:r>
  </w:p>
  <w:p w14:paraId="0B0B730B" w14:textId="77777777" w:rsidR="00203639" w:rsidRDefault="00203639" w:rsidP="00203639">
    <w:pPr>
      <w:pStyle w:val="Standard"/>
      <w:jc w:val="center"/>
      <w:rPr>
        <w:rFonts w:hint="eastAsia"/>
        <w:sz w:val="20"/>
        <w:szCs w:val="20"/>
      </w:rPr>
    </w:pPr>
  </w:p>
  <w:p w14:paraId="5149299D" w14:textId="77777777" w:rsidR="00203639" w:rsidRDefault="00203639" w:rsidP="00203639">
    <w:pPr>
      <w:pStyle w:val="Standard"/>
      <w:jc w:val="center"/>
      <w:rPr>
        <w:rFonts w:hint="eastAsia"/>
      </w:rPr>
    </w:pPr>
    <w:bookmarkStart w:id="8" w:name="_Hlk172801052"/>
    <w:r>
      <w:rPr>
        <w:rFonts w:ascii="Times New Roman" w:hAnsi="Times New Roman" w:cs="Times New Roman"/>
        <w:sz w:val="22"/>
        <w:szCs w:val="22"/>
      </w:rPr>
      <w:t xml:space="preserve">Zamówienie na zakup </w:t>
    </w:r>
    <w:r>
      <w:rPr>
        <w:rFonts w:ascii="Times New Roman" w:eastAsia="Times New Roman" w:hAnsi="Times New Roman" w:cs="Times New Roman"/>
        <w:kern w:val="0"/>
        <w:sz w:val="22"/>
        <w:szCs w:val="22"/>
        <w:lang w:bidi="ar-SA"/>
      </w:rPr>
      <w:t xml:space="preserve">sprzętu elektronicznego oraz licencji  i programów </w:t>
    </w:r>
    <w:r>
      <w:rPr>
        <w:rFonts w:ascii="Times New Roman" w:hAnsi="Times New Roman" w:cs="Times New Roman"/>
        <w:sz w:val="22"/>
        <w:szCs w:val="22"/>
      </w:rPr>
      <w:t xml:space="preserve"> w ramach  projektu „Lepsza edukacja w Gminie Jastków nr FELU.10.03-IZ.00-0187/23, współfinansowanego  ze środków Unii Europejskiej w ramach programu Fundusze Europejskie dla Lubelskiego 2021-2027</w:t>
    </w:r>
  </w:p>
  <w:bookmarkEnd w:id="8"/>
  <w:p w14:paraId="11FE0BB0" w14:textId="77777777" w:rsidR="004161C4" w:rsidRDefault="004161C4">
    <w:pPr>
      <w:pStyle w:val="Heading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081552"/>
    <w:multiLevelType w:val="multilevel"/>
    <w:tmpl w:val="60F40B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725A38"/>
    <w:multiLevelType w:val="multilevel"/>
    <w:tmpl w:val="B088E9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num w:numId="1" w16cid:durableId="377248055">
    <w:abstractNumId w:val="1"/>
  </w:num>
  <w:num w:numId="2" w16cid:durableId="13435067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3756"/>
    <w:rsid w:val="00077F41"/>
    <w:rsid w:val="00082426"/>
    <w:rsid w:val="000C3EB3"/>
    <w:rsid w:val="00163756"/>
    <w:rsid w:val="00191289"/>
    <w:rsid w:val="001B09C3"/>
    <w:rsid w:val="00203639"/>
    <w:rsid w:val="002205D8"/>
    <w:rsid w:val="002D064F"/>
    <w:rsid w:val="004161C4"/>
    <w:rsid w:val="004915E7"/>
    <w:rsid w:val="004A6CE7"/>
    <w:rsid w:val="004D5F47"/>
    <w:rsid w:val="004F4941"/>
    <w:rsid w:val="0054320A"/>
    <w:rsid w:val="00664EF2"/>
    <w:rsid w:val="0074077D"/>
    <w:rsid w:val="00752822"/>
    <w:rsid w:val="0076032C"/>
    <w:rsid w:val="007836DC"/>
    <w:rsid w:val="00850B1B"/>
    <w:rsid w:val="00897A7D"/>
    <w:rsid w:val="008A2F71"/>
    <w:rsid w:val="008C4860"/>
    <w:rsid w:val="008E3A25"/>
    <w:rsid w:val="009965A7"/>
    <w:rsid w:val="009C0994"/>
    <w:rsid w:val="009F63D8"/>
    <w:rsid w:val="00C031D4"/>
    <w:rsid w:val="00C17B5B"/>
    <w:rsid w:val="00DE62F8"/>
    <w:rsid w:val="00E2572B"/>
    <w:rsid w:val="00EB1A24"/>
    <w:rsid w:val="00ED4841"/>
    <w:rsid w:val="00F67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9E7957"/>
  <w15:docId w15:val="{849EF7F7-A522-4E20-988C-4D59BD9B0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kern w:val="3"/>
        <w:sz w:val="24"/>
        <w:szCs w:val="24"/>
        <w:lang w:val="pl-PL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Heading"/>
    <w:next w:val="Textbody"/>
    <w:uiPriority w:val="9"/>
    <w:qFormat/>
    <w:pPr>
      <w:outlineLvl w:val="0"/>
    </w:pPr>
    <w:rPr>
      <w:rFonts w:cs="Liberation Serif"/>
      <w:b/>
      <w:bCs/>
      <w:sz w:val="48"/>
      <w:szCs w:val="48"/>
    </w:rPr>
  </w:style>
  <w:style w:type="paragraph" w:styleId="Nagwek2">
    <w:name w:val="heading 2"/>
    <w:basedOn w:val="Heading"/>
    <w:next w:val="Textbody"/>
    <w:uiPriority w:val="9"/>
    <w:semiHidden/>
    <w:unhideWhenUsed/>
    <w:qFormat/>
    <w:pPr>
      <w:spacing w:before="200"/>
      <w:outlineLvl w:val="1"/>
    </w:pPr>
    <w:rPr>
      <w:rFonts w:cs="Liberation Serif"/>
      <w:b/>
      <w:bCs/>
      <w:sz w:val="36"/>
      <w:szCs w:val="36"/>
    </w:rPr>
  </w:style>
  <w:style w:type="paragraph" w:styleId="Nagwek3">
    <w:name w:val="heading 3"/>
    <w:basedOn w:val="Heading"/>
    <w:next w:val="Textbody"/>
    <w:uiPriority w:val="9"/>
    <w:semiHidden/>
    <w:unhideWhenUsed/>
    <w:qFormat/>
    <w:pPr>
      <w:spacing w:before="140"/>
      <w:outlineLvl w:val="2"/>
    </w:pPr>
    <w:rPr>
      <w:rFonts w:cs="Liberation Serif"/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customStyle="1" w:styleId="TableContents">
    <w:name w:val="Table Contents"/>
    <w:basedOn w:val="Standard"/>
    <w:pPr>
      <w:widowControl w:val="0"/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HeaderandFooter">
    <w:name w:val="Header and Footer"/>
    <w:basedOn w:val="Standard"/>
    <w:pPr>
      <w:suppressLineNumbers/>
      <w:tabs>
        <w:tab w:val="center" w:pos="4819"/>
        <w:tab w:val="right" w:pos="9638"/>
      </w:tabs>
    </w:pPr>
  </w:style>
  <w:style w:type="paragraph" w:styleId="Stopka">
    <w:name w:val="footer"/>
    <w:basedOn w:val="Normalny"/>
    <w:pPr>
      <w:tabs>
        <w:tab w:val="center" w:pos="4536"/>
        <w:tab w:val="right" w:pos="9072"/>
      </w:tabs>
    </w:pPr>
    <w:rPr>
      <w:rFonts w:cs="Mangal"/>
      <w:szCs w:val="21"/>
    </w:rPr>
  </w:style>
  <w:style w:type="paragraph" w:styleId="NormalnyWeb">
    <w:name w:val="Normal (Web)"/>
    <w:basedOn w:val="Normalny"/>
    <w:pPr>
      <w:suppressAutoHyphens w:val="0"/>
      <w:spacing w:before="100" w:after="142" w:line="276" w:lineRule="auto"/>
      <w:textAlignment w:val="auto"/>
    </w:pPr>
    <w:rPr>
      <w:rFonts w:ascii="Times New Roman" w:eastAsia="Times New Roman" w:hAnsi="Times New Roman" w:cs="Times New Roman"/>
      <w:kern w:val="0"/>
      <w:lang w:eastAsia="pl-PL" w:bidi="ar-SA"/>
    </w:rPr>
  </w:style>
  <w:style w:type="paragraph" w:styleId="Nagwek">
    <w:name w:val="header"/>
    <w:basedOn w:val="HeaderandFooter"/>
  </w:style>
  <w:style w:type="character" w:customStyle="1" w:styleId="NumberingSymbols">
    <w:name w:val="Numbering Symbols"/>
  </w:style>
  <w:style w:type="character" w:styleId="Uwydatnienie">
    <w:name w:val="Emphasis"/>
    <w:rPr>
      <w:i/>
      <w:iCs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rongEmphasis">
    <w:name w:val="Strong Emphasis"/>
    <w:rPr>
      <w:b/>
      <w:bCs/>
    </w:rPr>
  </w:style>
  <w:style w:type="character" w:customStyle="1" w:styleId="NagwekZnak">
    <w:name w:val="Nagłówek Znak"/>
    <w:basedOn w:val="Domylnaczcionkaakapitu"/>
    <w:rPr>
      <w:rFonts w:cs="Mangal"/>
      <w:szCs w:val="21"/>
    </w:rPr>
  </w:style>
  <w:style w:type="character" w:customStyle="1" w:styleId="StopkaZnak">
    <w:name w:val="Stopka Znak"/>
    <w:basedOn w:val="Domylnaczcionkaakapitu"/>
    <w:rPr>
      <w:rFonts w:cs="Mangal"/>
      <w:szCs w:val="21"/>
    </w:rPr>
  </w:style>
  <w:style w:type="paragraph" w:customStyle="1" w:styleId="Default">
    <w:name w:val="Default"/>
    <w:rsid w:val="001B09C3"/>
    <w:pPr>
      <w:autoSpaceDE w:val="0"/>
      <w:adjustRightInd w:val="0"/>
      <w:textAlignment w:val="auto"/>
    </w:pPr>
    <w:rPr>
      <w:rFonts w:ascii="Open Sans" w:hAnsi="Open Sans" w:cs="Open Sans"/>
      <w:color w:val="000000"/>
      <w:kern w:val="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1057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7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371</TotalTime>
  <Pages>8</Pages>
  <Words>2186</Words>
  <Characters>13119</Characters>
  <Application>Microsoft Office Word</Application>
  <DocSecurity>0</DocSecurity>
  <Lines>109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Dominik Sobczak</cp:lastModifiedBy>
  <cp:revision>9</cp:revision>
  <dcterms:created xsi:type="dcterms:W3CDTF">2024-10-20T15:07:00Z</dcterms:created>
  <dcterms:modified xsi:type="dcterms:W3CDTF">2024-10-21T21:12:00Z</dcterms:modified>
</cp:coreProperties>
</file>