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4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Przyprawy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73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9"/>
        <w:gridCol w:w="1635"/>
        <w:gridCol w:w="559"/>
        <w:gridCol w:w="1201"/>
        <w:gridCol w:w="1690"/>
        <w:gridCol w:w="1759"/>
      </w:tblGrid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Czosnek granulowany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150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Jarzynka – przyprawa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1 50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herbata granulowana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kawa zbożowa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3 0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liść laurowy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majeranek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80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7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papryka mielona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8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pieprz naturalny mielony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9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ocet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przyprawa do zup w płynie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1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11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sól spożywcza jodowana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12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ziele angielskie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13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curry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14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koncentrat pomidorowy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4 00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15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żurek sypki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groszek konserwowy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kg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00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604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1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71764214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3.4.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b7188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b7188d"/>
    <w:pPr/>
    <w:rPr>
      <w:rFonts w:cs="Arial"/>
    </w:rPr>
  </w:style>
  <w:style w:type="paragraph" w:styleId="Podpis" w:customStyle="1">
    <w:name w:val="Caption"/>
    <w:basedOn w:val="Normal"/>
    <w:qFormat/>
    <w:rsid w:val="00b718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7188d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b7188d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LibreOffice/7.5.4.2$Windows_X86_64 LibreOffice_project/36ccfdc35048b057fd9854c757a8b67ec53977b6</Application>
  <AppVersion>15.0000</AppVersion>
  <Pages>1</Pages>
  <Words>150</Words>
  <Characters>752</Characters>
  <CharactersWithSpaces>831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2023-01-17T11:29:00Z</dcterms:created>
  <dc:creator>Paweł Kowalski</dc:creator>
  <dc:description/>
  <dc:language>pl-PL</dc:language>
  <cp:lastModifiedBy/>
  <cp:lastPrinted>2023-10-18T12:59:00Z</cp:lastPrinted>
  <dcterms:modified xsi:type="dcterms:W3CDTF">2024-11-08T10:53:07Z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