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36433" w14:textId="2F9D3B47" w:rsidR="00FC287F" w:rsidRPr="00484CF0" w:rsidRDefault="00FC287F" w:rsidP="00FC287F">
      <w:pPr>
        <w:spacing w:after="0"/>
        <w:rPr>
          <w:rFonts w:ascii="Calibri" w:hAnsi="Calibri" w:cs="Calibri"/>
          <w:b/>
          <w:sz w:val="24"/>
          <w:szCs w:val="24"/>
        </w:rPr>
      </w:pPr>
      <w:r w:rsidRPr="00484CF0">
        <w:rPr>
          <w:rFonts w:ascii="Calibri" w:hAnsi="Calibri" w:cs="Calibri"/>
          <w:sz w:val="24"/>
          <w:szCs w:val="24"/>
        </w:rPr>
        <w:t>Nr sprawy: CUI-VII.232.29.2024.JK</w:t>
      </w:r>
      <w:r w:rsidRPr="00484CF0">
        <w:rPr>
          <w:rFonts w:ascii="Calibri" w:hAnsi="Calibri" w:cs="Calibri"/>
          <w:sz w:val="24"/>
          <w:szCs w:val="24"/>
        </w:rPr>
        <w:tab/>
      </w:r>
      <w:r w:rsidRPr="00484CF0">
        <w:rPr>
          <w:rFonts w:ascii="Calibri" w:hAnsi="Calibri" w:cs="Calibri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  <w:t xml:space="preserve"> </w:t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="00484CF0">
        <w:rPr>
          <w:rFonts w:ascii="Calibri" w:hAnsi="Calibri" w:cs="Calibri"/>
          <w:b/>
          <w:color w:val="000000"/>
          <w:sz w:val="24"/>
          <w:szCs w:val="24"/>
        </w:rPr>
        <w:tab/>
      </w:r>
      <w:r w:rsidRPr="00484CF0">
        <w:rPr>
          <w:rFonts w:ascii="Calibri" w:hAnsi="Calibri" w:cs="Calibri"/>
          <w:b/>
          <w:sz w:val="24"/>
          <w:szCs w:val="24"/>
        </w:rPr>
        <w:t xml:space="preserve">Załącznik nr </w:t>
      </w:r>
      <w:r w:rsidR="00484CF0" w:rsidRPr="00484CF0">
        <w:rPr>
          <w:rFonts w:ascii="Calibri" w:hAnsi="Calibri" w:cs="Calibri"/>
          <w:b/>
          <w:sz w:val="24"/>
          <w:szCs w:val="24"/>
        </w:rPr>
        <w:t>2</w:t>
      </w:r>
      <w:r w:rsidRPr="00484CF0">
        <w:rPr>
          <w:rFonts w:ascii="Calibri" w:hAnsi="Calibri" w:cs="Calibri"/>
          <w:b/>
          <w:sz w:val="24"/>
          <w:szCs w:val="24"/>
        </w:rPr>
        <w:t xml:space="preserve"> do SWZ</w:t>
      </w:r>
    </w:p>
    <w:p w14:paraId="4FC32A77" w14:textId="77777777" w:rsidR="00FC287F" w:rsidRPr="00484CF0" w:rsidRDefault="00FC287F" w:rsidP="00FC287F">
      <w:pPr>
        <w:pStyle w:val="Tytu1"/>
        <w:spacing w:line="360" w:lineRule="auto"/>
        <w:ind w:firstLine="360"/>
        <w:jc w:val="right"/>
        <w:rPr>
          <w:rFonts w:ascii="Tahoma" w:hAnsi="Tahoma" w:cs="Tahoma"/>
          <w:bCs/>
          <w:u w:val="single"/>
        </w:rPr>
      </w:pPr>
    </w:p>
    <w:p w14:paraId="0D40F292" w14:textId="3FCF6A9A" w:rsidR="00FC287F" w:rsidRPr="00484CF0" w:rsidRDefault="00FC287F" w:rsidP="00FC287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84CF0">
        <w:rPr>
          <w:rFonts w:ascii="Calibri" w:hAnsi="Calibri" w:cs="Calibri"/>
          <w:b/>
          <w:bCs/>
          <w:sz w:val="24"/>
          <w:szCs w:val="24"/>
        </w:rPr>
        <w:t>OPIS PRZEDMIOTU ZAMÓWIENIA</w:t>
      </w:r>
      <w:r w:rsidR="006555E5">
        <w:rPr>
          <w:rFonts w:ascii="Calibri" w:hAnsi="Calibri" w:cs="Calibri"/>
          <w:b/>
          <w:bCs/>
          <w:sz w:val="24"/>
          <w:szCs w:val="24"/>
        </w:rPr>
        <w:t xml:space="preserve"> – Część II</w:t>
      </w:r>
    </w:p>
    <w:p w14:paraId="03BA63D3" w14:textId="5619661F" w:rsidR="00FC287F" w:rsidRDefault="00D36DE7" w:rsidP="00FC287F">
      <w:pPr>
        <w:pStyle w:val="Tytu1"/>
        <w:spacing w:line="360" w:lineRule="auto"/>
        <w:ind w:firstLine="360"/>
        <w:jc w:val="center"/>
        <w:rPr>
          <w:rFonts w:asciiTheme="minorHAnsi" w:hAnsiTheme="minorHAnsi" w:cs="Tahoma"/>
          <w:b/>
          <w:sz w:val="22"/>
        </w:rPr>
      </w:pPr>
      <w:r>
        <w:rPr>
          <w:rFonts w:asciiTheme="minorHAnsi" w:hAnsiTheme="minorHAnsi" w:cs="Tahoma"/>
          <w:b/>
          <w:sz w:val="22"/>
        </w:rPr>
        <w:t>Zakup usług wsparcia serwisowego producenta sprzętu serwerowego</w:t>
      </w:r>
      <w:r w:rsidRPr="000C0CFC">
        <w:rPr>
          <w:rFonts w:asciiTheme="minorHAnsi" w:hAnsiTheme="minorHAnsi" w:cs="Tahoma"/>
          <w:b/>
          <w:sz w:val="22"/>
        </w:rPr>
        <w:t xml:space="preserve"> </w:t>
      </w:r>
      <w:proofErr w:type="spellStart"/>
      <w:r>
        <w:rPr>
          <w:rFonts w:asciiTheme="minorHAnsi" w:hAnsiTheme="minorHAnsi" w:cs="Tahoma"/>
          <w:b/>
          <w:sz w:val="22"/>
        </w:rPr>
        <w:t>NetApp</w:t>
      </w:r>
      <w:proofErr w:type="spellEnd"/>
    </w:p>
    <w:p w14:paraId="276F8D41" w14:textId="77777777" w:rsidR="00D36DE7" w:rsidRPr="00484CF0" w:rsidRDefault="00D36DE7" w:rsidP="00FC287F">
      <w:pPr>
        <w:pStyle w:val="Tytu1"/>
        <w:spacing w:line="360" w:lineRule="auto"/>
        <w:ind w:firstLine="360"/>
        <w:jc w:val="center"/>
        <w:rPr>
          <w:rFonts w:ascii="Calibri" w:hAnsi="Calibri" w:cs="Calibri"/>
          <w:b/>
          <w:bCs/>
        </w:rPr>
      </w:pPr>
    </w:p>
    <w:p w14:paraId="67BD94CC" w14:textId="41BA960E" w:rsidR="00FC287F" w:rsidRPr="00484CF0" w:rsidRDefault="00FC287F" w:rsidP="00EF1EA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bookmarkStart w:id="0" w:name="_Hlk182811805"/>
      <w:r w:rsidRPr="00484CF0">
        <w:rPr>
          <w:rFonts w:ascii="Calibri" w:hAnsi="Calibri" w:cs="Calibri"/>
          <w:sz w:val="24"/>
          <w:szCs w:val="24"/>
        </w:rPr>
        <w:t xml:space="preserve">Przedmiotem zamówienia jest zapewnienie </w:t>
      </w:r>
      <w:bookmarkStart w:id="1" w:name="_Hlk182811113"/>
      <w:r w:rsidRPr="00484CF0">
        <w:rPr>
          <w:rFonts w:ascii="Calibri" w:hAnsi="Calibri" w:cs="Calibri"/>
          <w:sz w:val="24"/>
          <w:szCs w:val="24"/>
        </w:rPr>
        <w:t>usług wsparcia</w:t>
      </w:r>
      <w:r w:rsidRPr="00484CF0">
        <w:rPr>
          <w:rStyle w:val="Odwoaniedokomentarza"/>
          <w:rFonts w:ascii="Calibri" w:hAnsi="Calibri" w:cs="Calibri"/>
          <w:sz w:val="24"/>
          <w:szCs w:val="24"/>
        </w:rPr>
        <w:t xml:space="preserve"> </w:t>
      </w:r>
      <w:r w:rsidRPr="00484CF0">
        <w:rPr>
          <w:rFonts w:ascii="Calibri" w:hAnsi="Calibri" w:cs="Calibri"/>
          <w:sz w:val="24"/>
          <w:szCs w:val="24"/>
        </w:rPr>
        <w:t xml:space="preserve">technicznego i gwarancji producenta (zwanych dalej „usługami wsparcia”) dla posiadanej przez Miasto Białystok infrastruktury </w:t>
      </w:r>
      <w:bookmarkEnd w:id="0"/>
      <w:r w:rsidRPr="00484CF0">
        <w:rPr>
          <w:rFonts w:ascii="Calibri" w:hAnsi="Calibri" w:cs="Calibri"/>
          <w:sz w:val="24"/>
          <w:szCs w:val="24"/>
        </w:rPr>
        <w:t>macierzowej.</w:t>
      </w:r>
      <w:bookmarkEnd w:id="1"/>
    </w:p>
    <w:p w14:paraId="42E7C416" w14:textId="77777777" w:rsidR="00FC287F" w:rsidRPr="00484CF0" w:rsidRDefault="00FC287F" w:rsidP="00FC287F">
      <w:pPr>
        <w:spacing w:after="80" w:line="276" w:lineRule="auto"/>
        <w:rPr>
          <w:rFonts w:ascii="Tahoma" w:hAnsi="Tahoma" w:cs="Tahoma"/>
          <w:sz w:val="24"/>
          <w:szCs w:val="24"/>
          <w:lang w:val="en-US"/>
        </w:rPr>
      </w:pPr>
    </w:p>
    <w:p w14:paraId="505A58A2" w14:textId="77777777" w:rsidR="00FC287F" w:rsidRPr="00484CF0" w:rsidRDefault="00FC287F" w:rsidP="00FC287F">
      <w:pPr>
        <w:spacing w:after="80" w:line="276" w:lineRule="auto"/>
        <w:rPr>
          <w:rFonts w:cstheme="minorHAnsi"/>
          <w:sz w:val="24"/>
          <w:szCs w:val="24"/>
          <w:lang w:val="en-US"/>
        </w:rPr>
      </w:pPr>
    </w:p>
    <w:p w14:paraId="6B9BB7DC" w14:textId="30CACF49" w:rsidR="00FC287F" w:rsidRDefault="00FC287F" w:rsidP="00EF1EA8">
      <w:pPr>
        <w:pStyle w:val="Tytu1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>Zamawiający wymaga dostarczenia serwisu pogwarancyjnego dla całego wyspecyfikowanego  sprzętu  i oprogramowania na okres 12 miesięcy</w:t>
      </w:r>
      <w:r w:rsidR="006555E5">
        <w:rPr>
          <w:rFonts w:asciiTheme="minorHAnsi" w:hAnsiTheme="minorHAnsi" w:cstheme="minorHAnsi"/>
          <w:bCs/>
        </w:rPr>
        <w:t xml:space="preserve">. </w:t>
      </w:r>
      <w:r w:rsidRPr="00484CF0">
        <w:rPr>
          <w:rFonts w:asciiTheme="minorHAnsi" w:hAnsiTheme="minorHAnsi" w:cstheme="minorHAnsi"/>
          <w:bCs/>
        </w:rPr>
        <w:t xml:space="preserve"> </w:t>
      </w:r>
      <w:r w:rsidR="006555E5">
        <w:rPr>
          <w:rFonts w:asciiTheme="minorHAnsi" w:hAnsiTheme="minorHAnsi" w:cstheme="minorHAnsi"/>
          <w:bCs/>
        </w:rPr>
        <w:t>Obecny serwis wygasa 31.12.2024 r.</w:t>
      </w:r>
    </w:p>
    <w:p w14:paraId="4FE96184" w14:textId="6F7EEC1F" w:rsidR="00FC287F" w:rsidRPr="00EF1EA8" w:rsidRDefault="00FC287F" w:rsidP="00EF1EA8">
      <w:pPr>
        <w:pStyle w:val="Tytu1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Cs/>
        </w:rPr>
      </w:pPr>
      <w:r w:rsidRPr="00EF1EA8">
        <w:rPr>
          <w:rFonts w:asciiTheme="minorHAnsi" w:hAnsiTheme="minorHAnsi" w:cstheme="minorHAnsi"/>
          <w:bCs/>
        </w:rPr>
        <w:t xml:space="preserve">Serwis będzie świadczony przez  producenta w trybie całodobowej gotowości przez </w:t>
      </w:r>
      <w:r w:rsidR="006555E5">
        <w:rPr>
          <w:rFonts w:asciiTheme="minorHAnsi" w:hAnsiTheme="minorHAnsi" w:cstheme="minorHAnsi"/>
          <w:bCs/>
        </w:rPr>
        <w:br/>
      </w:r>
      <w:r w:rsidRPr="00EF1EA8">
        <w:rPr>
          <w:rFonts w:asciiTheme="minorHAnsi" w:hAnsiTheme="minorHAnsi" w:cstheme="minorHAnsi"/>
          <w:bCs/>
        </w:rPr>
        <w:t xml:space="preserve">7 dni w tygodniu (24/7) przez 365 dni w roku. </w:t>
      </w:r>
    </w:p>
    <w:p w14:paraId="385B5CB2" w14:textId="5477F19E" w:rsidR="00FC287F" w:rsidRPr="00484CF0" w:rsidRDefault="00FC287F" w:rsidP="00484CF0">
      <w:pPr>
        <w:pStyle w:val="Tytu1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>W ramach serwisu pogwarancyjnego wymaga się rozpoczęcia procedury naprawy</w:t>
      </w:r>
      <w:r w:rsidR="00484CF0" w:rsidRPr="00484CF0">
        <w:rPr>
          <w:rFonts w:asciiTheme="minorHAnsi" w:hAnsiTheme="minorHAnsi" w:cstheme="minorHAnsi"/>
          <w:bCs/>
        </w:rPr>
        <w:t xml:space="preserve"> </w:t>
      </w:r>
      <w:r w:rsidRPr="00484CF0">
        <w:rPr>
          <w:rFonts w:asciiTheme="minorHAnsi" w:hAnsiTheme="minorHAnsi" w:cstheme="minorHAnsi"/>
          <w:bCs/>
        </w:rPr>
        <w:t xml:space="preserve">najpóźniej w następnym dniu roboczym od momentu zgłoszenia.  </w:t>
      </w:r>
    </w:p>
    <w:p w14:paraId="23FFDB94" w14:textId="77777777" w:rsidR="00FC287F" w:rsidRPr="00484CF0" w:rsidRDefault="00FC287F" w:rsidP="00FC287F">
      <w:pPr>
        <w:pStyle w:val="Tytu1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>Naprawy będą realizowane w miejscu instalacji macierzy „</w:t>
      </w:r>
      <w:proofErr w:type="spellStart"/>
      <w:r w:rsidRPr="00484CF0">
        <w:rPr>
          <w:rFonts w:asciiTheme="minorHAnsi" w:hAnsiTheme="minorHAnsi" w:cstheme="minorHAnsi"/>
          <w:bCs/>
        </w:rPr>
        <w:t>OnSite</w:t>
      </w:r>
      <w:proofErr w:type="spellEnd"/>
      <w:r w:rsidRPr="00484CF0">
        <w:rPr>
          <w:rFonts w:asciiTheme="minorHAnsi" w:hAnsiTheme="minorHAnsi" w:cstheme="minorHAnsi"/>
          <w:bCs/>
        </w:rPr>
        <w:t xml:space="preserve">” przez autoryzowany serwis producenta.   </w:t>
      </w:r>
    </w:p>
    <w:p w14:paraId="32E79E9E" w14:textId="38946ACA" w:rsidR="00FC287F" w:rsidRPr="00484CF0" w:rsidRDefault="00FC287F" w:rsidP="00484CF0">
      <w:pPr>
        <w:pStyle w:val="Tytu1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Serwis pogwarancyjny musi obejmować opcję tzw. „non-return  </w:t>
      </w:r>
      <w:proofErr w:type="spellStart"/>
      <w:r w:rsidRPr="00484CF0">
        <w:rPr>
          <w:rFonts w:asciiTheme="minorHAnsi" w:hAnsiTheme="minorHAnsi" w:cstheme="minorHAnsi"/>
          <w:bCs/>
        </w:rPr>
        <w:t>disks</w:t>
      </w:r>
      <w:proofErr w:type="spellEnd"/>
      <w:r w:rsidRPr="00484CF0">
        <w:rPr>
          <w:rFonts w:asciiTheme="minorHAnsi" w:hAnsiTheme="minorHAnsi" w:cstheme="minorHAnsi"/>
          <w:bCs/>
        </w:rPr>
        <w:t xml:space="preserve">”,  to  znaczy każdy uszkodzony dysk pozostaje u Zamawiającego bez konieczności zwrotu. </w:t>
      </w:r>
    </w:p>
    <w:p w14:paraId="3B39C21A" w14:textId="4543C8B7" w:rsidR="00FC287F" w:rsidRPr="00484CF0" w:rsidRDefault="00FC287F" w:rsidP="00484CF0">
      <w:pPr>
        <w:pStyle w:val="Tytu1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W ramach usługi dostępna będzie funkcjonalność automatycznego monitorowania stanu macierzy, z automatycznym zgłaszaniem błędów i awarii. </w:t>
      </w:r>
    </w:p>
    <w:p w14:paraId="31D83923" w14:textId="77777777" w:rsidR="00FC287F" w:rsidRPr="00484CF0" w:rsidRDefault="00FC287F" w:rsidP="00FC287F">
      <w:pPr>
        <w:pStyle w:val="Tytu1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W ramach serwisu pogwarancyjnego producent macierzy dyskowej musi </w:t>
      </w:r>
    </w:p>
    <w:p w14:paraId="4F14B773" w14:textId="77777777" w:rsidR="00FC287F" w:rsidRPr="00484CF0" w:rsidRDefault="00FC287F" w:rsidP="00FC287F">
      <w:pPr>
        <w:pStyle w:val="Tytu1"/>
        <w:spacing w:line="360" w:lineRule="auto"/>
        <w:ind w:left="1260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dostarczyć dedykowany portal Internetowy, który udostępni: </w:t>
      </w:r>
    </w:p>
    <w:p w14:paraId="58B9C19F" w14:textId="187D0BC6" w:rsidR="00FC287F" w:rsidRPr="00484CF0" w:rsidRDefault="00FC287F" w:rsidP="00484CF0">
      <w:pPr>
        <w:pStyle w:val="Tytu1"/>
        <w:numPr>
          <w:ilvl w:val="1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możliwość zgłaszania awarii oraz uzyskanie zdalnie pomoc techniczną w zakresie sprzętu i oprogramowania.  </w:t>
      </w:r>
    </w:p>
    <w:p w14:paraId="346C13C6" w14:textId="10396873" w:rsidR="00FC287F" w:rsidRPr="00484CF0" w:rsidRDefault="00FC287F" w:rsidP="00484CF0">
      <w:pPr>
        <w:pStyle w:val="Tytu1"/>
        <w:numPr>
          <w:ilvl w:val="1"/>
          <w:numId w:val="5"/>
        </w:numPr>
        <w:spacing w:line="360" w:lineRule="auto"/>
        <w:rPr>
          <w:rFonts w:asciiTheme="minorHAnsi" w:hAnsiTheme="minorHAnsi" w:cstheme="minorHAnsi"/>
          <w:bCs/>
        </w:rPr>
      </w:pPr>
      <w:r w:rsidRPr="00484CF0">
        <w:rPr>
          <w:rFonts w:asciiTheme="minorHAnsi" w:hAnsiTheme="minorHAnsi" w:cstheme="minorHAnsi"/>
          <w:bCs/>
        </w:rPr>
        <w:t xml:space="preserve">pobieranie poprawek i aktualizacji </w:t>
      </w:r>
      <w:proofErr w:type="spellStart"/>
      <w:r w:rsidRPr="00484CF0">
        <w:rPr>
          <w:rFonts w:asciiTheme="minorHAnsi" w:hAnsiTheme="minorHAnsi" w:cstheme="minorHAnsi"/>
          <w:bCs/>
        </w:rPr>
        <w:t>firmware</w:t>
      </w:r>
      <w:proofErr w:type="spellEnd"/>
      <w:r w:rsidRPr="00484CF0">
        <w:rPr>
          <w:rFonts w:asciiTheme="minorHAnsi" w:hAnsiTheme="minorHAnsi" w:cstheme="minorHAnsi"/>
          <w:bCs/>
        </w:rPr>
        <w:t>, nowych wersji systemu operacyjnego i oprogramowania narzędziowego.</w:t>
      </w:r>
    </w:p>
    <w:p w14:paraId="313F7011" w14:textId="77777777" w:rsidR="00FC287F" w:rsidRPr="00484CF0" w:rsidRDefault="00FC287F" w:rsidP="00FC287F">
      <w:pPr>
        <w:spacing w:after="80" w:line="276" w:lineRule="auto"/>
        <w:rPr>
          <w:rFonts w:ascii="Tahoma" w:hAnsi="Tahoma" w:cs="Tahoma"/>
          <w:sz w:val="24"/>
          <w:szCs w:val="24"/>
          <w:lang w:val="en-US"/>
        </w:rPr>
      </w:pPr>
    </w:p>
    <w:p w14:paraId="69BB0D8C" w14:textId="465B1CA8" w:rsidR="00FC287F" w:rsidRPr="00484CF0" w:rsidRDefault="00FC287F" w:rsidP="00FC287F">
      <w:pPr>
        <w:pStyle w:val="Tytu1"/>
        <w:spacing w:line="360" w:lineRule="auto"/>
        <w:ind w:left="540"/>
        <w:rPr>
          <w:rFonts w:ascii="Calibri" w:hAnsi="Calibri" w:cs="Calibri"/>
          <w:bCs/>
        </w:rPr>
      </w:pPr>
      <w:r w:rsidRPr="00484CF0">
        <w:rPr>
          <w:rFonts w:ascii="Calibri" w:hAnsi="Calibri" w:cs="Calibri"/>
          <w:bCs/>
        </w:rPr>
        <w:lastRenderedPageBreak/>
        <w:t xml:space="preserve">Tabela </w:t>
      </w:r>
      <w:r w:rsidR="00571A95">
        <w:rPr>
          <w:rFonts w:ascii="Calibri" w:hAnsi="Calibri" w:cs="Calibri"/>
          <w:bCs/>
        </w:rPr>
        <w:t>1</w:t>
      </w:r>
      <w:r w:rsidRPr="00484CF0">
        <w:rPr>
          <w:rFonts w:ascii="Calibri" w:hAnsi="Calibri" w:cs="Calibri"/>
          <w:bCs/>
        </w:rPr>
        <w:t xml:space="preserve">. Lista urządzeń sprzętu serwerowego firmy </w:t>
      </w:r>
      <w:proofErr w:type="spellStart"/>
      <w:r w:rsidRPr="00484CF0">
        <w:rPr>
          <w:rFonts w:ascii="Calibri" w:hAnsi="Calibri" w:cs="Calibri"/>
          <w:bCs/>
        </w:rPr>
        <w:t>NetApp</w:t>
      </w:r>
      <w:proofErr w:type="spellEnd"/>
      <w:r w:rsidRPr="00484CF0">
        <w:rPr>
          <w:rFonts w:ascii="Calibri" w:hAnsi="Calibri" w:cs="Calibri"/>
          <w:bCs/>
        </w:rPr>
        <w:t xml:space="preserve"> z wymaganymi terminami świadczenia usług wsparcia serwisowego:</w:t>
      </w:r>
    </w:p>
    <w:p w14:paraId="480397BD" w14:textId="77777777" w:rsidR="00FC287F" w:rsidRPr="00484CF0" w:rsidRDefault="00FC287F" w:rsidP="00FC287F">
      <w:pPr>
        <w:spacing w:after="80" w:line="276" w:lineRule="auto"/>
        <w:rPr>
          <w:rFonts w:ascii="Tahoma" w:hAnsi="Tahoma" w:cs="Tahoma"/>
          <w:sz w:val="24"/>
          <w:szCs w:val="24"/>
          <w:lang w:val="en-US"/>
        </w:rPr>
      </w:pPr>
    </w:p>
    <w:tbl>
      <w:tblPr>
        <w:tblW w:w="9761" w:type="dxa"/>
        <w:tblInd w:w="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106"/>
        <w:gridCol w:w="2127"/>
        <w:gridCol w:w="1842"/>
        <w:gridCol w:w="3261"/>
      </w:tblGrid>
      <w:tr w:rsidR="00FC287F" w:rsidRPr="00484CF0" w14:paraId="22B89714" w14:textId="77777777" w:rsidTr="00484CF0">
        <w:trPr>
          <w:trHeight w:val="467"/>
        </w:trPr>
        <w:tc>
          <w:tcPr>
            <w:tcW w:w="425" w:type="dxa"/>
            <w:shd w:val="clear" w:color="auto" w:fill="D9D9D9"/>
          </w:tcPr>
          <w:p w14:paraId="4CE10C5E" w14:textId="77777777" w:rsidR="00FC287F" w:rsidRPr="00484CF0" w:rsidRDefault="00FC287F" w:rsidP="00CC2713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484CF0">
              <w:rPr>
                <w:rFonts w:ascii="Calibri" w:hAnsi="Calibri" w:cs="Tahoma"/>
                <w:b/>
                <w:sz w:val="24"/>
                <w:szCs w:val="24"/>
              </w:rPr>
              <w:t>Lp.</w:t>
            </w:r>
          </w:p>
        </w:tc>
        <w:tc>
          <w:tcPr>
            <w:tcW w:w="2106" w:type="dxa"/>
            <w:shd w:val="clear" w:color="auto" w:fill="D9D9D9"/>
          </w:tcPr>
          <w:p w14:paraId="70A462C3" w14:textId="77777777" w:rsidR="00FC287F" w:rsidRPr="00484CF0" w:rsidRDefault="00FC287F" w:rsidP="00CC2713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484CF0">
              <w:rPr>
                <w:rFonts w:ascii="Calibri" w:hAnsi="Calibri" w:cs="Tahoma"/>
                <w:b/>
                <w:sz w:val="24"/>
                <w:szCs w:val="24"/>
              </w:rPr>
              <w:t>Model urządzenia</w:t>
            </w:r>
          </w:p>
        </w:tc>
        <w:tc>
          <w:tcPr>
            <w:tcW w:w="2127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DD344" w14:textId="77777777" w:rsidR="00FC287F" w:rsidRPr="00484CF0" w:rsidRDefault="00FC287F" w:rsidP="00CC2713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484CF0">
              <w:rPr>
                <w:rFonts w:ascii="Calibri" w:hAnsi="Calibri" w:cs="Tahoma"/>
                <w:b/>
                <w:sz w:val="24"/>
                <w:szCs w:val="24"/>
              </w:rPr>
              <w:t xml:space="preserve">Numer seryjny </w:t>
            </w:r>
          </w:p>
        </w:tc>
        <w:tc>
          <w:tcPr>
            <w:tcW w:w="1842" w:type="dxa"/>
            <w:shd w:val="clear" w:color="auto" w:fill="D9D9D9"/>
          </w:tcPr>
          <w:p w14:paraId="294EBE6E" w14:textId="77777777" w:rsidR="00FC287F" w:rsidRPr="00484CF0" w:rsidRDefault="00FC287F" w:rsidP="00CC2713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84CF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Typ Gwarancji</w:t>
            </w:r>
          </w:p>
        </w:tc>
        <w:tc>
          <w:tcPr>
            <w:tcW w:w="3261" w:type="dxa"/>
            <w:shd w:val="clear" w:color="auto" w:fill="D9D9D9"/>
          </w:tcPr>
          <w:p w14:paraId="4CEC5D00" w14:textId="77777777" w:rsidR="00FC287F" w:rsidRPr="00484CF0" w:rsidRDefault="00FC287F" w:rsidP="00CC2713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84CF0">
              <w:rPr>
                <w:rFonts w:ascii="Calibri" w:hAnsi="Calibri" w:cs="Tahoma"/>
                <w:b/>
                <w:sz w:val="24"/>
                <w:szCs w:val="24"/>
              </w:rPr>
              <w:t>Wymagany czas trwania usługi</w:t>
            </w:r>
          </w:p>
        </w:tc>
      </w:tr>
      <w:tr w:rsidR="00FC287F" w:rsidRPr="00484CF0" w14:paraId="746930E1" w14:textId="77777777" w:rsidTr="00484CF0">
        <w:trPr>
          <w:trHeight w:val="267"/>
        </w:trPr>
        <w:tc>
          <w:tcPr>
            <w:tcW w:w="425" w:type="dxa"/>
            <w:vAlign w:val="center"/>
          </w:tcPr>
          <w:p w14:paraId="1E889815" w14:textId="77777777" w:rsidR="00FC287F" w:rsidRPr="00484CF0" w:rsidRDefault="00FC287F" w:rsidP="00CC2713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484CF0">
              <w:rPr>
                <w:rFonts w:ascii="Calibri" w:hAnsi="Calibri" w:cs="Tahoma"/>
                <w:sz w:val="24"/>
                <w:szCs w:val="24"/>
              </w:rPr>
              <w:t>1.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31D8" w14:textId="77777777" w:rsidR="00FC287F" w:rsidRPr="00484CF0" w:rsidRDefault="00FC287F" w:rsidP="00CC2713">
            <w:pPr>
              <w:spacing w:after="0"/>
              <w:rPr>
                <w:rFonts w:ascii="Calibri" w:hAnsi="Calibri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84CF0">
              <w:rPr>
                <w:rFonts w:ascii="Calibri" w:hAnsi="Calibri" w:cs="Arial"/>
                <w:color w:val="000000"/>
                <w:sz w:val="24"/>
                <w:szCs w:val="24"/>
              </w:rPr>
              <w:t>NetApp</w:t>
            </w:r>
            <w:proofErr w:type="spellEnd"/>
            <w:r w:rsidRPr="00484CF0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E-2824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831F8" w14:textId="77777777" w:rsidR="00FC287F" w:rsidRPr="00484CF0" w:rsidRDefault="00FC287F" w:rsidP="00CC2713">
            <w:pPr>
              <w:spacing w:after="0"/>
              <w:rPr>
                <w:rFonts w:ascii="Calibri" w:hAnsi="Calibri" w:cs="Arial"/>
                <w:color w:val="000000"/>
                <w:sz w:val="24"/>
                <w:szCs w:val="24"/>
                <w:lang w:eastAsia="pl-PL"/>
              </w:rPr>
            </w:pPr>
            <w:r w:rsidRPr="00484CF0">
              <w:rPr>
                <w:sz w:val="24"/>
                <w:szCs w:val="24"/>
              </w:rPr>
              <w:t>721747500064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AC5F" w14:textId="77777777" w:rsidR="00FC287F" w:rsidRPr="00FB7B5B" w:rsidRDefault="00FC287F" w:rsidP="00CC2713">
            <w:pPr>
              <w:rPr>
                <w:rFonts w:cstheme="minorHAnsi"/>
                <w:sz w:val="24"/>
                <w:szCs w:val="24"/>
              </w:rPr>
            </w:pPr>
            <w:r w:rsidRPr="00FB7B5B">
              <w:rPr>
                <w:rFonts w:cstheme="minorHAnsi"/>
                <w:color w:val="000000"/>
                <w:sz w:val="24"/>
                <w:szCs w:val="24"/>
                <w:lang w:eastAsia="pl-PL"/>
              </w:rPr>
              <w:t>Producencka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19B" w14:textId="77777777" w:rsidR="00FC287F" w:rsidRPr="00FB7B5B" w:rsidRDefault="00FC287F" w:rsidP="00CC2713">
            <w:pPr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FB7B5B">
              <w:rPr>
                <w:rFonts w:cstheme="minorHAnsi"/>
                <w:bCs/>
                <w:sz w:val="24"/>
                <w:szCs w:val="24"/>
              </w:rPr>
              <w:t>01.01.2025-31.12.2025</w:t>
            </w:r>
          </w:p>
        </w:tc>
      </w:tr>
      <w:tr w:rsidR="00FC287F" w:rsidRPr="00484CF0" w14:paraId="7A479BD7" w14:textId="77777777" w:rsidTr="00484CF0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02852566" w14:textId="77777777" w:rsidR="00FC287F" w:rsidRPr="00484CF0" w:rsidRDefault="00FC287F" w:rsidP="00CC2713">
            <w:pPr>
              <w:jc w:val="center"/>
              <w:rPr>
                <w:rFonts w:ascii="Calibri" w:hAnsi="Calibri" w:cs="Tahoma"/>
                <w:sz w:val="24"/>
                <w:szCs w:val="24"/>
                <w:lang w:val="en-US"/>
              </w:rPr>
            </w:pPr>
            <w:r w:rsidRPr="00484CF0">
              <w:rPr>
                <w:rFonts w:ascii="Calibri" w:hAnsi="Calibri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5EB2" w14:textId="77777777" w:rsidR="00FC287F" w:rsidRPr="00484CF0" w:rsidRDefault="00FC287F" w:rsidP="00CC271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proofErr w:type="spellStart"/>
            <w:r w:rsidRPr="00484CF0">
              <w:rPr>
                <w:rFonts w:ascii="Calibri" w:hAnsi="Calibri" w:cs="Arial"/>
                <w:color w:val="000000"/>
                <w:sz w:val="24"/>
                <w:szCs w:val="24"/>
              </w:rPr>
              <w:t>NetApp</w:t>
            </w:r>
            <w:proofErr w:type="spellEnd"/>
            <w:r w:rsidRPr="00484CF0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E-2824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5A5AF" w14:textId="77777777" w:rsidR="00FC287F" w:rsidRPr="00484CF0" w:rsidRDefault="00FC287F" w:rsidP="00CC271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484CF0">
              <w:rPr>
                <w:sz w:val="24"/>
                <w:szCs w:val="24"/>
              </w:rPr>
              <w:t>721747500067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254F" w14:textId="77777777" w:rsidR="00FC287F" w:rsidRPr="00FB7B5B" w:rsidRDefault="00FC287F" w:rsidP="00CC2713">
            <w:pPr>
              <w:rPr>
                <w:rFonts w:cstheme="minorHAnsi"/>
                <w:sz w:val="24"/>
                <w:szCs w:val="24"/>
              </w:rPr>
            </w:pPr>
            <w:r w:rsidRPr="00FB7B5B">
              <w:rPr>
                <w:rFonts w:cstheme="minorHAnsi"/>
                <w:color w:val="000000"/>
                <w:sz w:val="24"/>
                <w:szCs w:val="24"/>
                <w:lang w:eastAsia="pl-PL"/>
              </w:rPr>
              <w:t>Producencka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F8D" w14:textId="77777777" w:rsidR="00FC287F" w:rsidRPr="00FB7B5B" w:rsidRDefault="00FC287F" w:rsidP="00CC2713">
            <w:pPr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FB7B5B">
              <w:rPr>
                <w:rFonts w:cstheme="minorHAnsi"/>
                <w:bCs/>
                <w:sz w:val="24"/>
                <w:szCs w:val="24"/>
              </w:rPr>
              <w:t>01.01.2025-31.12.2025</w:t>
            </w:r>
          </w:p>
        </w:tc>
      </w:tr>
    </w:tbl>
    <w:p w14:paraId="28327E9E" w14:textId="77777777" w:rsidR="00FC287F" w:rsidRPr="00484CF0" w:rsidRDefault="00FC287F" w:rsidP="00FC287F">
      <w:pPr>
        <w:spacing w:after="80" w:line="276" w:lineRule="auto"/>
        <w:rPr>
          <w:rFonts w:ascii="Tahoma" w:hAnsi="Tahoma" w:cs="Tahoma"/>
          <w:sz w:val="24"/>
          <w:szCs w:val="24"/>
          <w:lang w:val="en-US"/>
        </w:rPr>
      </w:pPr>
    </w:p>
    <w:p w14:paraId="42AEAA83" w14:textId="77777777" w:rsidR="00FC287F" w:rsidRPr="00484CF0" w:rsidRDefault="00FC287F" w:rsidP="00FC287F">
      <w:pPr>
        <w:spacing w:after="80" w:line="276" w:lineRule="auto"/>
        <w:rPr>
          <w:rFonts w:ascii="Tahoma" w:hAnsi="Tahoma" w:cs="Tahoma"/>
          <w:sz w:val="24"/>
          <w:szCs w:val="24"/>
          <w:lang w:val="en-US"/>
        </w:rPr>
      </w:pPr>
    </w:p>
    <w:p w14:paraId="41D04898" w14:textId="6943F19C" w:rsidR="00FC287F" w:rsidRPr="00484CF0" w:rsidRDefault="00982D1D" w:rsidP="00982D1D">
      <w:pPr>
        <w:pStyle w:val="Tytu1"/>
        <w:spacing w:line="360" w:lineRule="auto"/>
        <w:ind w:left="720" w:hanging="436"/>
        <w:rPr>
          <w:rFonts w:ascii="Calibri" w:hAnsi="Calibri" w:cs="Calibri"/>
          <w:b/>
          <w:bCs/>
        </w:rPr>
      </w:pPr>
      <w:r w:rsidRPr="00982D1D">
        <w:rPr>
          <w:rFonts w:ascii="Calibri" w:hAnsi="Calibri" w:cs="Calibri"/>
          <w:bCs/>
        </w:rPr>
        <w:t>3.</w:t>
      </w:r>
      <w:r>
        <w:rPr>
          <w:rFonts w:ascii="Calibri" w:hAnsi="Calibri" w:cs="Calibri"/>
          <w:b/>
          <w:bCs/>
        </w:rPr>
        <w:t xml:space="preserve"> </w:t>
      </w:r>
      <w:r w:rsidR="00FC287F" w:rsidRPr="00484CF0">
        <w:rPr>
          <w:rFonts w:ascii="Calibri" w:hAnsi="Calibri" w:cs="Calibri"/>
          <w:b/>
          <w:bCs/>
        </w:rPr>
        <w:t>Wymogi ogólne:</w:t>
      </w:r>
    </w:p>
    <w:p w14:paraId="6E7DC35C" w14:textId="77777777" w:rsidR="00FC287F" w:rsidRPr="00484CF0" w:rsidRDefault="00FC287F" w:rsidP="00FC287F">
      <w:pPr>
        <w:pStyle w:val="Tytu1"/>
        <w:numPr>
          <w:ilvl w:val="1"/>
          <w:numId w:val="1"/>
        </w:numPr>
        <w:spacing w:line="360" w:lineRule="auto"/>
        <w:rPr>
          <w:rStyle w:val="FontStyle24"/>
          <w:rFonts w:ascii="Calibri" w:hAnsi="Calibri" w:cs="Tahoma"/>
          <w:sz w:val="24"/>
          <w:szCs w:val="24"/>
        </w:rPr>
      </w:pPr>
      <w:r w:rsidRPr="00484CF0">
        <w:rPr>
          <w:rStyle w:val="FontStyle24"/>
          <w:rFonts w:ascii="Calibri" w:hAnsi="Calibri" w:cs="Tahoma"/>
          <w:sz w:val="24"/>
          <w:szCs w:val="24"/>
        </w:rPr>
        <w:t xml:space="preserve">Wykonawca musi być autoryzowanym partnerem </w:t>
      </w:r>
      <w:proofErr w:type="spellStart"/>
      <w:r w:rsidRPr="00484CF0">
        <w:rPr>
          <w:rStyle w:val="FontStyle24"/>
          <w:rFonts w:ascii="Calibri" w:hAnsi="Calibri" w:cs="Tahoma"/>
          <w:sz w:val="24"/>
          <w:szCs w:val="24"/>
        </w:rPr>
        <w:t>NetApp</w:t>
      </w:r>
      <w:proofErr w:type="spellEnd"/>
      <w:r w:rsidRPr="00484CF0">
        <w:rPr>
          <w:rStyle w:val="FontStyle24"/>
          <w:rFonts w:ascii="Calibri" w:hAnsi="Calibri" w:cs="Tahoma"/>
          <w:sz w:val="24"/>
          <w:szCs w:val="24"/>
        </w:rPr>
        <w:t>.</w:t>
      </w:r>
    </w:p>
    <w:p w14:paraId="69BC9FF3" w14:textId="77777777" w:rsidR="00FC287F" w:rsidRPr="00484CF0" w:rsidRDefault="00FC287F" w:rsidP="00FC287F">
      <w:pPr>
        <w:pStyle w:val="Tytu1"/>
        <w:numPr>
          <w:ilvl w:val="1"/>
          <w:numId w:val="1"/>
        </w:numPr>
        <w:spacing w:line="360" w:lineRule="auto"/>
        <w:rPr>
          <w:rStyle w:val="FontStyle24"/>
          <w:rFonts w:ascii="Calibri" w:hAnsi="Calibri" w:cs="Tahoma"/>
          <w:sz w:val="24"/>
          <w:szCs w:val="24"/>
        </w:rPr>
      </w:pPr>
      <w:r w:rsidRPr="00484CF0">
        <w:rPr>
          <w:rStyle w:val="FontStyle24"/>
          <w:rFonts w:ascii="Calibri" w:hAnsi="Calibri" w:cs="Tahoma"/>
          <w:sz w:val="24"/>
          <w:szCs w:val="24"/>
        </w:rPr>
        <w:t>Sprzęt jest w ciągłym użytkowaniu i zlokalizowany na terenie Miasta Białystok.</w:t>
      </w:r>
    </w:p>
    <w:p w14:paraId="04510D1D" w14:textId="77777777" w:rsidR="00FC287F" w:rsidRPr="00484CF0" w:rsidRDefault="00FC287F" w:rsidP="000C247C">
      <w:pPr>
        <w:numPr>
          <w:ilvl w:val="1"/>
          <w:numId w:val="1"/>
        </w:numPr>
        <w:spacing w:after="120" w:line="360" w:lineRule="auto"/>
        <w:jc w:val="both"/>
        <w:rPr>
          <w:rStyle w:val="FontStyle24"/>
          <w:rFonts w:ascii="Calibri" w:hAnsi="Calibri" w:cs="Tahoma"/>
          <w:sz w:val="24"/>
          <w:szCs w:val="24"/>
          <w:lang w:eastAsia="pl-PL"/>
        </w:rPr>
      </w:pPr>
      <w:bookmarkStart w:id="2" w:name="_GoBack"/>
      <w:r w:rsidRPr="00484CF0">
        <w:rPr>
          <w:rStyle w:val="FontStyle24"/>
          <w:rFonts w:ascii="Calibri" w:hAnsi="Calibri" w:cs="Tahoma"/>
          <w:sz w:val="24"/>
          <w:szCs w:val="24"/>
          <w:lang w:eastAsia="pl-PL"/>
        </w:rPr>
        <w:t>Wykonawca dostarczy Zamawiającemu dokument potwierdzający zakup „usługi wsparcia” na poziomie Producenta;</w:t>
      </w:r>
    </w:p>
    <w:bookmarkEnd w:id="2"/>
    <w:p w14:paraId="3470D13A" w14:textId="4AEA6096" w:rsidR="00FC287F" w:rsidRPr="00484CF0" w:rsidRDefault="00FC287F" w:rsidP="00FC287F">
      <w:pPr>
        <w:pStyle w:val="Tytu1"/>
        <w:numPr>
          <w:ilvl w:val="1"/>
          <w:numId w:val="1"/>
        </w:numPr>
        <w:spacing w:line="360" w:lineRule="auto"/>
        <w:rPr>
          <w:rStyle w:val="FontStyle24"/>
          <w:rFonts w:ascii="Calibri" w:hAnsi="Calibri" w:cs="Tahoma"/>
          <w:sz w:val="24"/>
          <w:szCs w:val="24"/>
        </w:rPr>
      </w:pPr>
      <w:r w:rsidRPr="00484CF0">
        <w:rPr>
          <w:rStyle w:val="FontStyle24"/>
          <w:rFonts w:ascii="Calibri" w:hAnsi="Calibri" w:cs="Tahoma"/>
          <w:sz w:val="24"/>
          <w:szCs w:val="24"/>
        </w:rPr>
        <w:t xml:space="preserve">Zamawiający zastrzega sobie prawo do weryfikacji „usługi wsparcia” </w:t>
      </w:r>
      <w:r w:rsidR="006555E5">
        <w:rPr>
          <w:rStyle w:val="FontStyle24"/>
          <w:rFonts w:ascii="Calibri" w:hAnsi="Calibri" w:cs="Tahoma"/>
          <w:sz w:val="24"/>
          <w:szCs w:val="24"/>
        </w:rPr>
        <w:br/>
      </w:r>
      <w:r w:rsidRPr="00484CF0">
        <w:rPr>
          <w:rStyle w:val="FontStyle24"/>
          <w:rFonts w:ascii="Calibri" w:hAnsi="Calibri" w:cs="Tahoma"/>
          <w:sz w:val="24"/>
          <w:szCs w:val="24"/>
        </w:rPr>
        <w:t xml:space="preserve">u producenta </w:t>
      </w:r>
      <w:proofErr w:type="spellStart"/>
      <w:r w:rsidR="006555E5" w:rsidRPr="00484CF0">
        <w:rPr>
          <w:rStyle w:val="FontStyle24"/>
          <w:rFonts w:ascii="Calibri" w:hAnsi="Calibri" w:cs="Tahoma"/>
          <w:sz w:val="24"/>
          <w:szCs w:val="24"/>
        </w:rPr>
        <w:t>NetApp</w:t>
      </w:r>
      <w:proofErr w:type="spellEnd"/>
      <w:r w:rsidR="006555E5" w:rsidRPr="00484CF0">
        <w:rPr>
          <w:rStyle w:val="FontStyle24"/>
          <w:rFonts w:ascii="Calibri" w:hAnsi="Calibri" w:cs="Tahoma"/>
          <w:sz w:val="24"/>
          <w:szCs w:val="24"/>
        </w:rPr>
        <w:t>.</w:t>
      </w:r>
    </w:p>
    <w:p w14:paraId="671760AE" w14:textId="77777777" w:rsidR="00FC287F" w:rsidRPr="00484CF0" w:rsidRDefault="00FC287F" w:rsidP="00FC287F">
      <w:pPr>
        <w:pStyle w:val="Tytu1"/>
        <w:spacing w:line="360" w:lineRule="auto"/>
        <w:ind w:left="1260"/>
        <w:rPr>
          <w:rStyle w:val="FontStyle24"/>
          <w:rFonts w:ascii="Calibri" w:hAnsi="Calibri" w:cs="Tahoma"/>
          <w:sz w:val="24"/>
          <w:szCs w:val="24"/>
        </w:rPr>
      </w:pPr>
    </w:p>
    <w:p w14:paraId="06E4DF69" w14:textId="77777777" w:rsidR="00422575" w:rsidRPr="00484CF0" w:rsidRDefault="00422575">
      <w:pPr>
        <w:rPr>
          <w:sz w:val="24"/>
          <w:szCs w:val="24"/>
        </w:rPr>
      </w:pPr>
    </w:p>
    <w:sectPr w:rsidR="00422575" w:rsidRPr="00484CF0" w:rsidSect="00484CF0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674EB" w14:textId="77777777" w:rsidR="00356375" w:rsidRDefault="00FB7B5B">
      <w:pPr>
        <w:spacing w:after="0" w:line="240" w:lineRule="auto"/>
      </w:pPr>
      <w:r>
        <w:separator/>
      </w:r>
    </w:p>
  </w:endnote>
  <w:endnote w:type="continuationSeparator" w:id="0">
    <w:p w14:paraId="44209BC2" w14:textId="77777777" w:rsidR="00356375" w:rsidRDefault="00FB7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597D5" w14:textId="77777777" w:rsidR="003E47CF" w:rsidRDefault="00FC28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6E7A61" w14:textId="77777777" w:rsidR="003E47CF" w:rsidRDefault="000C2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ACE0F" w14:textId="77777777" w:rsidR="00331720" w:rsidRDefault="00FC287F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81FE64C" w14:textId="77777777" w:rsidR="003E47CF" w:rsidRDefault="000C2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CE117" w14:textId="77777777" w:rsidR="00356375" w:rsidRDefault="00FB7B5B">
      <w:pPr>
        <w:spacing w:after="0" w:line="240" w:lineRule="auto"/>
      </w:pPr>
      <w:r>
        <w:separator/>
      </w:r>
    </w:p>
  </w:footnote>
  <w:footnote w:type="continuationSeparator" w:id="0">
    <w:p w14:paraId="193FB713" w14:textId="77777777" w:rsidR="00356375" w:rsidRDefault="00FB7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A2FC3"/>
    <w:multiLevelType w:val="hybridMultilevel"/>
    <w:tmpl w:val="EFA298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993A58"/>
    <w:multiLevelType w:val="hybridMultilevel"/>
    <w:tmpl w:val="FBE04CB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0F2A1E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F78D6"/>
    <w:multiLevelType w:val="hybridMultilevel"/>
    <w:tmpl w:val="0392359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E326549"/>
    <w:multiLevelType w:val="hybridMultilevel"/>
    <w:tmpl w:val="E3D06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4253D"/>
    <w:multiLevelType w:val="hybridMultilevel"/>
    <w:tmpl w:val="97F07EFA"/>
    <w:lvl w:ilvl="0" w:tplc="501238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7B082852"/>
    <w:multiLevelType w:val="hybridMultilevel"/>
    <w:tmpl w:val="DA4638D2"/>
    <w:lvl w:ilvl="0" w:tplc="41E2DC78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F0D7090"/>
    <w:multiLevelType w:val="hybridMultilevel"/>
    <w:tmpl w:val="52DE714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7812EA54">
      <w:start w:val="3"/>
      <w:numFmt w:val="bullet"/>
      <w:lvlText w:val="-"/>
      <w:lvlJc w:val="left"/>
      <w:pPr>
        <w:ind w:left="1980" w:hanging="36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7F"/>
    <w:rsid w:val="000C247C"/>
    <w:rsid w:val="00301627"/>
    <w:rsid w:val="00356375"/>
    <w:rsid w:val="00422575"/>
    <w:rsid w:val="00484CF0"/>
    <w:rsid w:val="00571A95"/>
    <w:rsid w:val="006555E5"/>
    <w:rsid w:val="00982D1D"/>
    <w:rsid w:val="009A5BF4"/>
    <w:rsid w:val="00D36DE7"/>
    <w:rsid w:val="00DF31A2"/>
    <w:rsid w:val="00EF1EA8"/>
    <w:rsid w:val="00FB7B5B"/>
    <w:rsid w:val="00FC287F"/>
    <w:rsid w:val="00FE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6D12"/>
  <w15:chartTrackingRefBased/>
  <w15:docId w15:val="{036FA3A6-3A3F-4D1C-84E1-5A4D07A9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FC28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4">
    <w:name w:val="Font Style24"/>
    <w:rsid w:val="00FC287F"/>
    <w:rPr>
      <w:rFonts w:ascii="Segoe UI" w:hAnsi="Segoe UI" w:cs="Segoe UI" w:hint="default"/>
      <w:sz w:val="14"/>
      <w:szCs w:val="14"/>
    </w:rPr>
  </w:style>
  <w:style w:type="paragraph" w:styleId="Stopka">
    <w:name w:val="footer"/>
    <w:basedOn w:val="Normalny"/>
    <w:link w:val="StopkaZnak"/>
    <w:uiPriority w:val="99"/>
    <w:rsid w:val="00FC287F"/>
    <w:pPr>
      <w:tabs>
        <w:tab w:val="center" w:pos="4536"/>
        <w:tab w:val="right" w:pos="9072"/>
      </w:tabs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C287F"/>
    <w:rPr>
      <w:rFonts w:ascii="Times New Roman" w:eastAsia="Times New Roman" w:hAnsi="Times New Roman" w:cs="Times New Roman"/>
      <w:szCs w:val="20"/>
    </w:rPr>
  </w:style>
  <w:style w:type="character" w:styleId="Numerstrony">
    <w:name w:val="page number"/>
    <w:basedOn w:val="Domylnaczcionkaakapitu"/>
    <w:rsid w:val="00FC287F"/>
  </w:style>
  <w:style w:type="character" w:styleId="Odwoaniedokomentarza">
    <w:name w:val="annotation reference"/>
    <w:uiPriority w:val="99"/>
    <w:rsid w:val="00FC28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87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87F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FC287F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pacing w:val="-3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C287F"/>
    <w:rPr>
      <w:rFonts w:ascii="Arial" w:eastAsia="Times New Roman" w:hAnsi="Arial" w:cs="Arial"/>
      <w:b/>
      <w:bCs/>
      <w:spacing w:val="-3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FC28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rsid w:val="00FC2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87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EA8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EA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 CUI</dc:creator>
  <cp:keywords/>
  <dc:description/>
  <cp:lastModifiedBy>Jolanta Kiersnowska CUI</cp:lastModifiedBy>
  <cp:revision>9</cp:revision>
  <dcterms:created xsi:type="dcterms:W3CDTF">2024-11-14T12:42:00Z</dcterms:created>
  <dcterms:modified xsi:type="dcterms:W3CDTF">2024-11-21T09:40:00Z</dcterms:modified>
</cp:coreProperties>
</file>