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3B" w:rsidRPr="00707EE5" w:rsidRDefault="00435DB0" w:rsidP="00AE6B3B">
      <w:pPr>
        <w:suppressAutoHyphens w:val="0"/>
        <w:spacing w:after="0"/>
        <w:ind w:left="363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Załącznik nr 10</w:t>
      </w:r>
      <w:r w:rsidR="000A406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:rsidR="004004C2" w:rsidRPr="004004C2" w:rsidRDefault="004004C2" w:rsidP="004004C2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  <w:r w:rsidRPr="004004C2">
        <w:rPr>
          <w:rFonts w:asciiTheme="minorHAnsi" w:hAnsiTheme="minorHAnsi" w:cstheme="minorHAnsi"/>
          <w:b/>
          <w:sz w:val="24"/>
          <w:szCs w:val="24"/>
        </w:rPr>
        <w:t xml:space="preserve">Wykaz miejsc dowożenia posiłków i godzin wydawania </w:t>
      </w:r>
    </w:p>
    <w:p w:rsidR="004004C2" w:rsidRPr="00756970" w:rsidRDefault="004004C2" w:rsidP="004004C2">
      <w:pPr>
        <w:pStyle w:val="Akapitzlist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9750" w:type="dxa"/>
        <w:tblInd w:w="-4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43"/>
        <w:gridCol w:w="1843"/>
        <w:gridCol w:w="1843"/>
        <w:gridCol w:w="3621"/>
        <w:gridCol w:w="300"/>
      </w:tblGrid>
      <w:tr w:rsidR="004004C2" w:rsidRPr="00756970" w:rsidTr="004004C2">
        <w:trPr>
          <w:trHeight w:val="447"/>
        </w:trPr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04C2" w:rsidRPr="00756970" w:rsidRDefault="004004C2" w:rsidP="00762D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ODBIORCA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04C2" w:rsidRPr="00756970" w:rsidRDefault="004004C2" w:rsidP="00762D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Godziny dostarczania posiłków do placówek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04C2" w:rsidRPr="00756970" w:rsidRDefault="004004C2" w:rsidP="00762D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Godziny wydawania posiłków</w:t>
            </w:r>
          </w:p>
        </w:tc>
        <w:tc>
          <w:tcPr>
            <w:tcW w:w="362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4004C2" w:rsidRPr="00756970" w:rsidRDefault="004004C2" w:rsidP="00762D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004C2" w:rsidRPr="00756970" w:rsidRDefault="004004C2" w:rsidP="00762D19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04C2" w:rsidRPr="00756970" w:rsidTr="004004C2">
        <w:trPr>
          <w:trHeight w:val="4736"/>
        </w:trPr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tabs>
                <w:tab w:val="left" w:pos="851"/>
                <w:tab w:val="left" w:pos="1276"/>
                <w:tab w:val="left" w:pos="1418"/>
              </w:tabs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 xml:space="preserve">Środowiskowy Dom Samopomocy „SOTERIA”, </w:t>
            </w:r>
          </w:p>
          <w:p w:rsidR="004004C2" w:rsidRPr="00756970" w:rsidRDefault="004004C2" w:rsidP="00762D19">
            <w:pPr>
              <w:tabs>
                <w:tab w:val="left" w:pos="851"/>
                <w:tab w:val="left" w:pos="1276"/>
                <w:tab w:val="left" w:pos="1418"/>
              </w:tabs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ul. Komisji Edukacji Narodowej 2, 07-200 Wyszków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11.30 – 12.00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12.00 – 13.00</w:t>
            </w:r>
          </w:p>
        </w:tc>
        <w:tc>
          <w:tcPr>
            <w:tcW w:w="362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Placówka do której należy dowozić posiłki w termo portach lub termosach.</w:t>
            </w:r>
          </w:p>
          <w:p w:rsidR="004004C2" w:rsidRPr="004004C2" w:rsidRDefault="004004C2" w:rsidP="004004C2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Zamawiający zastrzega, że w przypadku zawieszenia funkcjonowania placówek wsparcia dziennego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 do Środowiskowego Domu Samopomocy „</w:t>
            </w:r>
            <w:proofErr w:type="spellStart"/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Soteria</w:t>
            </w:r>
            <w:proofErr w:type="spellEnd"/>
            <w:r w:rsidRPr="004004C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” należy dowieźć gotowe do spożycia posiłki w zamykanych jednorazowych pojemnikach</w:t>
            </w:r>
            <w:r w:rsidRPr="007B7330">
              <w:rPr>
                <w:rFonts w:asciiTheme="minorHAnsi" w:hAnsiTheme="minorHAnsi" w:cstheme="minorHAnsi"/>
                <w:u w:val="single"/>
              </w:rPr>
              <w:t xml:space="preserve">. </w:t>
            </w: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004C2" w:rsidRPr="00756970" w:rsidRDefault="004004C2" w:rsidP="00762D19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004C2" w:rsidRPr="00756970" w:rsidTr="004004C2"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Dom Dziennego Pobytu „SENIOR”, ul. 3 Maja 18, </w:t>
            </w:r>
          </w:p>
          <w:p w:rsidR="004004C2" w:rsidRPr="00756970" w:rsidRDefault="004004C2" w:rsidP="00762D19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eastAsia="Calibri" w:hAnsiTheme="minorHAnsi" w:cstheme="minorHAnsi"/>
                <w:sz w:val="24"/>
                <w:szCs w:val="24"/>
              </w:rPr>
              <w:t>07-200 Wyszków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10.45 – 11.15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sz w:val="24"/>
                <w:szCs w:val="24"/>
              </w:rPr>
              <w:t>11:30 – 12:30</w:t>
            </w:r>
          </w:p>
        </w:tc>
        <w:tc>
          <w:tcPr>
            <w:tcW w:w="362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004C2" w:rsidRPr="00756970" w:rsidRDefault="004004C2" w:rsidP="00762D19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6970">
              <w:rPr>
                <w:rFonts w:asciiTheme="minorHAnsi" w:hAnsiTheme="minorHAnsi" w:cstheme="minorHAnsi"/>
                <w:b/>
                <w:sz w:val="24"/>
                <w:szCs w:val="24"/>
              </w:rPr>
              <w:t>Placówka do której należy dowozić posiłki w jednorazowych zamykanych pojemnikach.</w:t>
            </w:r>
          </w:p>
        </w:tc>
        <w:tc>
          <w:tcPr>
            <w:tcW w:w="300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:rsidR="004004C2" w:rsidRPr="00756970" w:rsidRDefault="004004C2" w:rsidP="00762D19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E6B3B" w:rsidRPr="00AE6B3B" w:rsidRDefault="00AE6B3B" w:rsidP="004004C2">
      <w:pPr>
        <w:pStyle w:val="Akapitzlist1"/>
        <w:tabs>
          <w:tab w:val="left" w:pos="851"/>
          <w:tab w:val="left" w:pos="1276"/>
          <w:tab w:val="left" w:pos="1418"/>
        </w:tabs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  <w:sectPr w:rsidR="00AE6B3B" w:rsidRPr="00AE6B3B">
          <w:footerReference w:type="default" r:id="rId7"/>
          <w:pgSz w:w="11906" w:h="16838"/>
          <w:pgMar w:top="1417" w:right="1417" w:bottom="1417" w:left="1417" w:header="708" w:footer="708" w:gutter="0"/>
          <w:cols w:space="708"/>
        </w:sectPr>
      </w:pPr>
    </w:p>
    <w:p w:rsidR="00867137" w:rsidRDefault="00CA504A"/>
    <w:sectPr w:rsidR="00867137" w:rsidSect="001B0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04A" w:rsidRDefault="00CA504A" w:rsidP="00D338BF">
      <w:pPr>
        <w:spacing w:after="0" w:line="240" w:lineRule="auto"/>
      </w:pPr>
      <w:r>
        <w:separator/>
      </w:r>
    </w:p>
  </w:endnote>
  <w:endnote w:type="continuationSeparator" w:id="0">
    <w:p w:rsidR="00CA504A" w:rsidRDefault="00CA504A" w:rsidP="00D33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7D" w:rsidRDefault="00CA504A">
    <w:pPr>
      <w:pStyle w:val="Stopka"/>
      <w:jc w:val="right"/>
    </w:pPr>
  </w:p>
  <w:p w:rsidR="00A7647D" w:rsidRPr="004004C2" w:rsidRDefault="004004C2" w:rsidP="004004C2">
    <w:pPr>
      <w:spacing w:after="0"/>
      <w:jc w:val="both"/>
      <w:rPr>
        <w:rFonts w:asciiTheme="minorHAnsi" w:eastAsia="Calibri" w:hAnsiTheme="minorHAnsi" w:cstheme="minorHAnsi"/>
        <w:bCs/>
        <w:sz w:val="18"/>
        <w:szCs w:val="18"/>
      </w:rPr>
    </w:pPr>
    <w:r w:rsidRPr="00CC69E9">
      <w:rPr>
        <w:rFonts w:asciiTheme="minorHAnsi" w:eastAsia="Calibri" w:hAnsiTheme="minorHAnsi" w:cstheme="minorHAnsi"/>
        <w:bCs/>
        <w:sz w:val="18"/>
        <w:szCs w:val="18"/>
      </w:rPr>
      <w:t>„</w:t>
    </w:r>
    <w:r w:rsidRPr="00CC69E9">
      <w:rPr>
        <w:rFonts w:asciiTheme="minorHAnsi" w:hAnsiTheme="minorHAnsi" w:cstheme="minorHAnsi"/>
        <w:bCs/>
        <w:sz w:val="18"/>
        <w:szCs w:val="18"/>
      </w:rPr>
      <w:t>Przygotowanie i dostarczanie obiadów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dla osób dorosłych objętych wsparciem</w:t>
    </w:r>
    <w:r w:rsidRPr="00CC69E9">
      <w:rPr>
        <w:rFonts w:asciiTheme="minorHAnsi" w:eastAsia="Calibri" w:hAnsiTheme="minorHAnsi" w:cstheme="minorHAnsi"/>
        <w:bCs/>
        <w:sz w:val="18"/>
        <w:szCs w:val="18"/>
      </w:rPr>
      <w:t xml:space="preserve"> </w:t>
    </w:r>
    <w:r w:rsidRPr="00CC69E9">
      <w:rPr>
        <w:rFonts w:asciiTheme="minorHAnsi" w:hAnsiTheme="minorHAnsi" w:cstheme="minorHAnsi"/>
        <w:bCs/>
        <w:sz w:val="18"/>
        <w:szCs w:val="18"/>
      </w:rPr>
      <w:t>Gminy Wyszków w</w:t>
    </w:r>
    <w:r w:rsidR="00435DB0">
      <w:rPr>
        <w:rFonts w:asciiTheme="minorHAnsi" w:hAnsiTheme="minorHAnsi" w:cstheme="minorHAnsi"/>
        <w:bCs/>
        <w:sz w:val="18"/>
        <w:szCs w:val="18"/>
      </w:rPr>
      <w:t xml:space="preserve"> okresie od 01.01.202</w:t>
    </w:r>
    <w:r w:rsidR="0068324E">
      <w:rPr>
        <w:rFonts w:asciiTheme="minorHAnsi" w:hAnsiTheme="minorHAnsi" w:cstheme="minorHAnsi"/>
        <w:bCs/>
        <w:sz w:val="18"/>
        <w:szCs w:val="18"/>
      </w:rPr>
      <w:t>5</w:t>
    </w:r>
    <w:r w:rsidR="00435DB0">
      <w:rPr>
        <w:rFonts w:asciiTheme="minorHAnsi" w:hAnsiTheme="minorHAnsi" w:cstheme="minorHAnsi"/>
        <w:bCs/>
        <w:sz w:val="18"/>
        <w:szCs w:val="18"/>
      </w:rPr>
      <w:t xml:space="preserve"> r. do 31.12.202</w:t>
    </w:r>
    <w:r w:rsidR="0068324E">
      <w:rPr>
        <w:rFonts w:asciiTheme="minorHAnsi" w:hAnsiTheme="minorHAnsi" w:cstheme="minorHAnsi"/>
        <w:bCs/>
        <w:sz w:val="18"/>
        <w:szCs w:val="18"/>
      </w:rPr>
      <w:t>5</w:t>
    </w:r>
    <w:r w:rsidRPr="00CC69E9">
      <w:rPr>
        <w:rFonts w:asciiTheme="minorHAnsi" w:hAnsiTheme="minorHAnsi" w:cstheme="minorHAnsi"/>
        <w:bCs/>
        <w:sz w:val="18"/>
        <w:szCs w:val="18"/>
      </w:rPr>
      <w:t xml:space="preserve"> r.”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04A" w:rsidRDefault="00CA504A" w:rsidP="00D338BF">
      <w:pPr>
        <w:spacing w:after="0" w:line="240" w:lineRule="auto"/>
      </w:pPr>
      <w:r>
        <w:separator/>
      </w:r>
    </w:p>
  </w:footnote>
  <w:footnote w:type="continuationSeparator" w:id="0">
    <w:p w:rsidR="00CA504A" w:rsidRDefault="00CA504A" w:rsidP="00D33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224410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>
    <w:nsid w:val="00000010"/>
    <w:multiLevelType w:val="multilevel"/>
    <w:tmpl w:val="FA984A5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11"/>
    <w:multiLevelType w:val="multilevel"/>
    <w:tmpl w:val="A04C2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Calibri" w:hAnsiTheme="minorHAnsi" w:cstheme="minorHAns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5B64E45"/>
    <w:multiLevelType w:val="hybridMultilevel"/>
    <w:tmpl w:val="E46E0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B3B"/>
    <w:rsid w:val="0009246E"/>
    <w:rsid w:val="000A4064"/>
    <w:rsid w:val="000E287D"/>
    <w:rsid w:val="001B04EC"/>
    <w:rsid w:val="00312045"/>
    <w:rsid w:val="003A23B5"/>
    <w:rsid w:val="003B56AD"/>
    <w:rsid w:val="004004C2"/>
    <w:rsid w:val="00402DD0"/>
    <w:rsid w:val="00435DB0"/>
    <w:rsid w:val="00457C64"/>
    <w:rsid w:val="004707F6"/>
    <w:rsid w:val="005A0DEB"/>
    <w:rsid w:val="0068324E"/>
    <w:rsid w:val="008F0080"/>
    <w:rsid w:val="00907327"/>
    <w:rsid w:val="009B4AB9"/>
    <w:rsid w:val="00AD424D"/>
    <w:rsid w:val="00AE6B3B"/>
    <w:rsid w:val="00B61D8D"/>
    <w:rsid w:val="00BA064D"/>
    <w:rsid w:val="00CA504A"/>
    <w:rsid w:val="00D17803"/>
    <w:rsid w:val="00D338BF"/>
    <w:rsid w:val="00E8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B3B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AE6B3B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E6B3B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E6B3B"/>
    <w:rPr>
      <w:rFonts w:ascii="Calibri" w:eastAsia="Times New Roman" w:hAnsi="Calibri" w:cs="Times New Roman"/>
      <w:kern w:val="2"/>
    </w:rPr>
  </w:style>
  <w:style w:type="paragraph" w:styleId="Akapitzlist">
    <w:name w:val="List Paragraph"/>
    <w:basedOn w:val="Normalny"/>
    <w:uiPriority w:val="34"/>
    <w:qFormat/>
    <w:rsid w:val="00AE6B3B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AE6B3B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400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04C2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10</cp:revision>
  <dcterms:created xsi:type="dcterms:W3CDTF">2022-11-09T14:26:00Z</dcterms:created>
  <dcterms:modified xsi:type="dcterms:W3CDTF">2024-10-18T12:46:00Z</dcterms:modified>
</cp:coreProperties>
</file>