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E2937D" w14:textId="77777777" w:rsidR="00F03DFE" w:rsidRPr="00F03DFE" w:rsidRDefault="00F03DFE" w:rsidP="00F03D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DFE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123EBB48" w14:textId="77777777" w:rsidR="006D36A7" w:rsidRDefault="006D36A7" w:rsidP="006D36A7">
      <w:pPr>
        <w:jc w:val="both"/>
        <w:rPr>
          <w:rFonts w:ascii="Times New Roman" w:hAnsi="Times New Roman" w:cs="Times New Roman"/>
        </w:rPr>
      </w:pPr>
    </w:p>
    <w:p w14:paraId="6F6D6CFA" w14:textId="5D1BE576" w:rsidR="00F03DFE" w:rsidRDefault="00F03DFE" w:rsidP="006D36A7">
      <w:pPr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 xml:space="preserve">Przedmiotem zamówienia jest: „Zakup i dostawa energii elektrycznej w </w:t>
      </w:r>
      <w:r>
        <w:rPr>
          <w:rFonts w:ascii="Times New Roman" w:hAnsi="Times New Roman" w:cs="Times New Roman"/>
        </w:rPr>
        <w:t>latach 2025 - 2027</w:t>
      </w:r>
      <w:r w:rsidRPr="00F03DFE">
        <w:rPr>
          <w:rFonts w:ascii="Times New Roman" w:hAnsi="Times New Roman" w:cs="Times New Roman"/>
        </w:rPr>
        <w:t xml:space="preserve"> do obiektów </w:t>
      </w:r>
      <w:r>
        <w:rPr>
          <w:rFonts w:ascii="Times New Roman" w:hAnsi="Times New Roman" w:cs="Times New Roman"/>
        </w:rPr>
        <w:t>administrowanych przez Zarząd Zasobów Mieszkaniowych MSWiA.</w:t>
      </w:r>
    </w:p>
    <w:p w14:paraId="527C4CE5" w14:textId="40F099E4" w:rsidR="00F03DFE" w:rsidRDefault="00F03DFE" w:rsidP="00F03DFE">
      <w:pPr>
        <w:pStyle w:val="Akapitzlis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Punkty odbioru energii elektrycznej zostały zamieszczone w załączniku nr 1.1. do Opisu przedmiotu zamówienia – Wykaz punktów poboru energii.</w:t>
      </w:r>
    </w:p>
    <w:p w14:paraId="061DF26B" w14:textId="77777777" w:rsidR="00F03DFE" w:rsidRPr="00F03DFE" w:rsidRDefault="00F03DFE" w:rsidP="00F03DFE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14:paraId="393954F3" w14:textId="2D3291F1" w:rsidR="00F03DFE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 xml:space="preserve">Planowana szacowana ilość energii elektrycznej dla </w:t>
      </w:r>
      <w:r>
        <w:rPr>
          <w:rFonts w:ascii="Times New Roman" w:hAnsi="Times New Roman" w:cs="Times New Roman"/>
        </w:rPr>
        <w:t>grupy</w:t>
      </w:r>
      <w:r w:rsidRPr="00F03DFE">
        <w:rPr>
          <w:rFonts w:ascii="Times New Roman" w:hAnsi="Times New Roman" w:cs="Times New Roman"/>
        </w:rPr>
        <w:t xml:space="preserve"> taryfow</w:t>
      </w:r>
      <w:r>
        <w:rPr>
          <w:rFonts w:ascii="Times New Roman" w:hAnsi="Times New Roman" w:cs="Times New Roman"/>
        </w:rPr>
        <w:t>ej została</w:t>
      </w:r>
      <w:r w:rsidRPr="00F03DFE">
        <w:rPr>
          <w:rFonts w:ascii="Times New Roman" w:hAnsi="Times New Roman" w:cs="Times New Roman"/>
        </w:rPr>
        <w:t xml:space="preserve"> wskazana w</w:t>
      </w:r>
      <w:r>
        <w:rPr>
          <w:rFonts w:ascii="Times New Roman" w:hAnsi="Times New Roman" w:cs="Times New Roman"/>
        </w:rPr>
        <w:t> </w:t>
      </w:r>
      <w:r w:rsidRPr="00F03DFE">
        <w:rPr>
          <w:rFonts w:ascii="Times New Roman" w:hAnsi="Times New Roman" w:cs="Times New Roman"/>
        </w:rPr>
        <w:t xml:space="preserve">Formularzu </w:t>
      </w:r>
      <w:r>
        <w:rPr>
          <w:rFonts w:ascii="Times New Roman" w:hAnsi="Times New Roman" w:cs="Times New Roman"/>
        </w:rPr>
        <w:t>cenowym</w:t>
      </w:r>
      <w:r w:rsidRPr="00F03DFE">
        <w:rPr>
          <w:rFonts w:ascii="Times New Roman" w:hAnsi="Times New Roman" w:cs="Times New Roman"/>
        </w:rPr>
        <w:t xml:space="preserve"> stanowiącym załącznik nr </w:t>
      </w:r>
      <w:r>
        <w:rPr>
          <w:rFonts w:ascii="Times New Roman" w:hAnsi="Times New Roman" w:cs="Times New Roman"/>
        </w:rPr>
        <w:t>3</w:t>
      </w:r>
      <w:r w:rsidRPr="00F03DFE">
        <w:rPr>
          <w:rFonts w:ascii="Times New Roman" w:hAnsi="Times New Roman" w:cs="Times New Roman"/>
        </w:rPr>
        <w:t xml:space="preserve"> do SWZ i stanowi ona łączną ilość energii dla wszystkich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lokalizacji objętych przedmiotem zamówienia.</w:t>
      </w:r>
    </w:p>
    <w:p w14:paraId="69D5CC7E" w14:textId="77777777" w:rsidR="00F03DFE" w:rsidRPr="00F03DFE" w:rsidRDefault="00F03DFE" w:rsidP="00F03DFE">
      <w:pPr>
        <w:spacing w:after="0"/>
        <w:jc w:val="both"/>
        <w:rPr>
          <w:rFonts w:ascii="Times New Roman" w:hAnsi="Times New Roman" w:cs="Times New Roman"/>
        </w:rPr>
      </w:pPr>
    </w:p>
    <w:p w14:paraId="07595848" w14:textId="51D61FE1" w:rsidR="00F03DFE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Przewidywane zużycie energii elektrycznej w okresie realizacji umowy: 673580,4</w:t>
      </w:r>
      <w:r>
        <w:rPr>
          <w:rFonts w:ascii="Times New Roman" w:hAnsi="Times New Roman" w:cs="Times New Roman"/>
        </w:rPr>
        <w:t xml:space="preserve">0 </w:t>
      </w:r>
      <w:r w:rsidRPr="00F03DFE">
        <w:rPr>
          <w:rFonts w:ascii="Times New Roman" w:hAnsi="Times New Roman" w:cs="Times New Roman"/>
        </w:rPr>
        <w:t>kWh. Wartość ta ma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charakter orientacyjny, służący do porównania ofert i nie stanowi ze strony Zamawiającego zobowiązania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zakupu energii w podanej ilości oraz poszczególnych taryfach.</w:t>
      </w:r>
    </w:p>
    <w:p w14:paraId="5C9D778A" w14:textId="77777777" w:rsidR="00F03DFE" w:rsidRPr="00F03DFE" w:rsidRDefault="00F03DFE" w:rsidP="00F03DFE">
      <w:pPr>
        <w:spacing w:after="0"/>
        <w:jc w:val="both"/>
        <w:rPr>
          <w:rFonts w:ascii="Times New Roman" w:hAnsi="Times New Roman" w:cs="Times New Roman"/>
        </w:rPr>
      </w:pPr>
    </w:p>
    <w:p w14:paraId="7627AA1B" w14:textId="72445B00" w:rsidR="00F03DFE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Przedmiot zamówienia obejmuje także przeprowadzenie przez Wykonawcę wszystkich działań koniecznych do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zmiany sprzedawcy energii elektrycznej, także wypowiedzenia dotychczasowych obowiązujące umowy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kompleksowe zawarte na czas nieokreślony, na podstawie udzielonego przez Zamawiającego pełnomocnictwa.</w:t>
      </w:r>
    </w:p>
    <w:p w14:paraId="66E4436E" w14:textId="77777777" w:rsidR="00F03DFE" w:rsidRPr="00F03DFE" w:rsidRDefault="00F03DFE" w:rsidP="00F03DFE">
      <w:pPr>
        <w:spacing w:after="0"/>
        <w:jc w:val="both"/>
        <w:rPr>
          <w:rFonts w:ascii="Times New Roman" w:hAnsi="Times New Roman" w:cs="Times New Roman"/>
        </w:rPr>
      </w:pPr>
    </w:p>
    <w:p w14:paraId="1E26E3F2" w14:textId="509B343F" w:rsidR="00F03DFE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Zamawiający informuje, że udzieli Wykonawcy wszelkich pełnomocnictw oraz przekaże niezbędne informacje i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dokumenty po wyborze najkorzystniejszej oferty lub zawarciu umowy, w każdym przypadku, jeżeli będzie to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konieczne do prawidłowej realizacji umowy w sprawie zamówienia publicznego. Dostawa energii elektrycznej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odbywać się będzie na podstawie jednej umowy sprzedażowej zawartej przez Zamawiającego z Wykonawcą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 xml:space="preserve">dla wszystkich </w:t>
      </w:r>
      <w:r>
        <w:rPr>
          <w:rFonts w:ascii="Times New Roman" w:hAnsi="Times New Roman" w:cs="Times New Roman"/>
        </w:rPr>
        <w:t>25</w:t>
      </w:r>
      <w:r w:rsidRPr="00F03DFE">
        <w:rPr>
          <w:rFonts w:ascii="Times New Roman" w:hAnsi="Times New Roman" w:cs="Times New Roman"/>
        </w:rPr>
        <w:t xml:space="preserve"> PPE – wymienionych w załączniku nr 1</w:t>
      </w:r>
      <w:r>
        <w:rPr>
          <w:rFonts w:ascii="Times New Roman" w:hAnsi="Times New Roman" w:cs="Times New Roman"/>
        </w:rPr>
        <w:t>.1.</w:t>
      </w:r>
      <w:r w:rsidRPr="00F03DFE">
        <w:rPr>
          <w:rFonts w:ascii="Times New Roman" w:hAnsi="Times New Roman" w:cs="Times New Roman"/>
        </w:rPr>
        <w:t xml:space="preserve"> do O</w:t>
      </w:r>
      <w:r>
        <w:rPr>
          <w:rFonts w:ascii="Times New Roman" w:hAnsi="Times New Roman" w:cs="Times New Roman"/>
        </w:rPr>
        <w:t>pisu przedmiotu zamówienia</w:t>
      </w:r>
      <w:r w:rsidRPr="00F03DFE">
        <w:rPr>
          <w:rFonts w:ascii="Times New Roman" w:hAnsi="Times New Roman" w:cs="Times New Roman"/>
        </w:rPr>
        <w:t>.</w:t>
      </w:r>
    </w:p>
    <w:p w14:paraId="34D2DBBC" w14:textId="77777777" w:rsidR="00F03DFE" w:rsidRPr="00F03DFE" w:rsidRDefault="00F03DFE" w:rsidP="00F03DFE">
      <w:pPr>
        <w:spacing w:after="0"/>
        <w:jc w:val="both"/>
        <w:rPr>
          <w:rFonts w:ascii="Times New Roman" w:hAnsi="Times New Roman" w:cs="Times New Roman"/>
        </w:rPr>
      </w:pPr>
    </w:p>
    <w:p w14:paraId="30BDDFFB" w14:textId="01B0B356" w:rsidR="00F03DFE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Warunkiem rozpoczęcia dostawy energii do poszczególnych punktów poboru energii elektrycznej we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wskazanym terminie jest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>przeprowadzenie przez Wykonawcę pozytywnej procedury zmiany sprzedawcy energii, tj. zawarcie przez Zamawiającego odrębnych umów dystrybucyjnych.</w:t>
      </w:r>
    </w:p>
    <w:p w14:paraId="12874342" w14:textId="0D4DEF3C" w:rsidR="00F03DFE" w:rsidRPr="00F03DFE" w:rsidRDefault="00F03DFE" w:rsidP="00F03DFE">
      <w:pPr>
        <w:spacing w:after="0"/>
        <w:jc w:val="both"/>
        <w:rPr>
          <w:rFonts w:ascii="Times New Roman" w:hAnsi="Times New Roman" w:cs="Times New Roman"/>
        </w:rPr>
      </w:pPr>
    </w:p>
    <w:p w14:paraId="3A917B0A" w14:textId="14AC7894" w:rsidR="00F03DFE" w:rsidRP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Zamawiający zobowiązuje się poinformować Wykonawcę o zmianach wpływających na sposób prowadzenia</w:t>
      </w:r>
      <w:r>
        <w:rPr>
          <w:rFonts w:ascii="Times New Roman" w:hAnsi="Times New Roman" w:cs="Times New Roman"/>
        </w:rPr>
        <w:t xml:space="preserve"> </w:t>
      </w:r>
      <w:r w:rsidRPr="00F03DFE">
        <w:rPr>
          <w:rFonts w:ascii="Times New Roman" w:hAnsi="Times New Roman" w:cs="Times New Roman"/>
        </w:rPr>
        <w:t xml:space="preserve">rozliczeń, w szczególności o utracie statusu Prosumenta, </w:t>
      </w:r>
      <w:r w:rsidRPr="006D36A7">
        <w:rPr>
          <w:rFonts w:ascii="Times New Roman" w:hAnsi="Times New Roman" w:cs="Times New Roman"/>
        </w:rPr>
        <w:t>w terminie do 14 dni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od dnia wystąpienia zmiany.</w:t>
      </w:r>
    </w:p>
    <w:p w14:paraId="2EA6E8FF" w14:textId="379A83E2" w:rsidR="00F03DFE" w:rsidRPr="00F03DFE" w:rsidRDefault="00F03DFE" w:rsidP="006D36A7">
      <w:pPr>
        <w:spacing w:after="0"/>
        <w:jc w:val="both"/>
        <w:rPr>
          <w:rFonts w:ascii="Times New Roman" w:hAnsi="Times New Roman" w:cs="Times New Roman"/>
        </w:rPr>
      </w:pPr>
    </w:p>
    <w:p w14:paraId="20804C87" w14:textId="1B00ACB2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F03DFE">
        <w:rPr>
          <w:rFonts w:ascii="Times New Roman" w:hAnsi="Times New Roman" w:cs="Times New Roman"/>
        </w:rPr>
        <w:t>Zamawiający udzieli Wykonawcy stosownego pełnomocnictwa do zgłoszenia w imieniu Zamawiającego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zawartej umowy sprzedaży energii elektrycznej do OSD oraz wykonania czynności niezbędnych do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przeprowadzenia procesu zmiany sprzedawcy u OSD wg wzoru stosowanego powszechnie przez Wykonawcę,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 xml:space="preserve">chyba że wymagane przez Wykonawcę dane </w:t>
      </w:r>
      <w:r w:rsidRPr="006D36A7">
        <w:rPr>
          <w:rFonts w:ascii="Times New Roman" w:hAnsi="Times New Roman" w:cs="Times New Roman"/>
        </w:rPr>
        <w:lastRenderedPageBreak/>
        <w:t>do pełnomocnictwa Zamawiający uzna za zbyt szczegółowe lub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zbędne. W takiej sytuacji część danych może zostać zastrzeżona lub wprowadzone zostaną modyfikacje do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pełnomocnictwa. Ewentualne zmiany we wzorze pełnomocnictwa będą ściśle ustalane z</w:t>
      </w:r>
      <w:r w:rsidR="006D36A7">
        <w:rPr>
          <w:rFonts w:ascii="Times New Roman" w:hAnsi="Times New Roman" w:cs="Times New Roman"/>
        </w:rPr>
        <w:t> </w:t>
      </w:r>
      <w:r w:rsidRPr="006D36A7">
        <w:rPr>
          <w:rFonts w:ascii="Times New Roman" w:hAnsi="Times New Roman" w:cs="Times New Roman"/>
        </w:rPr>
        <w:t>Wykonawcą w celu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uniknięcia jakichkolwiek utrudnień ze strony OSD.</w:t>
      </w:r>
    </w:p>
    <w:p w14:paraId="75049AC6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556AB596" w14:textId="77777777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Zamówienie realizowane ma być w sposób ciągły przez cały okres obowiązywania umowy.</w:t>
      </w:r>
    </w:p>
    <w:p w14:paraId="79C5157A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72C4DF1E" w14:textId="77777777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Rozliczenie sprzedaży odbywać się będzie w okresie rozliczenia na podstawie faktycznego zużycia energii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elektrycznej, ustalonego w oparciu o bezpośrednie odczyty wskazań układów pomiarowo rozliczeniowych,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według stawek za 1kWh w całym okresie realizacji zamówienia.</w:t>
      </w:r>
    </w:p>
    <w:p w14:paraId="05B08853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3E527C17" w14:textId="77777777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Zamawiający informuje, że nie zawarł żadnych umów w ramach akcji promocyjnych lojalnościowych, które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uniemożliwiają zawarcie nowej umowy sprzedażowej w terminach przewidzianych w SWZ.</w:t>
      </w:r>
    </w:p>
    <w:p w14:paraId="7D6F4FCD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5A2EF9D5" w14:textId="77777777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Niniejsze zamówienie nie obejmuje usług dystrybucyjnych, które powinny być świadczone na podstawie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odrębnych umów o świadczenie usługi dystrybucyjnych zawartych pomiędzy poszczególnymi lokalizacjami, a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operatorami Systemów Dystrybucyjnych (OSD)</w:t>
      </w:r>
      <w:r w:rsidR="006D36A7">
        <w:rPr>
          <w:rFonts w:ascii="Times New Roman" w:hAnsi="Times New Roman" w:cs="Times New Roman"/>
        </w:rPr>
        <w:t>.</w:t>
      </w:r>
    </w:p>
    <w:p w14:paraId="57334DFF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3502CCB8" w14:textId="77777777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>Termin wykonania zamówienia</w:t>
      </w:r>
      <w:r w:rsidR="006D36A7">
        <w:rPr>
          <w:rFonts w:ascii="Times New Roman" w:hAnsi="Times New Roman" w:cs="Times New Roman"/>
        </w:rPr>
        <w:t xml:space="preserve"> – </w:t>
      </w:r>
      <w:r w:rsidR="006D36A7" w:rsidRPr="006D36A7">
        <w:rPr>
          <w:rFonts w:ascii="Times New Roman" w:hAnsi="Times New Roman" w:cs="Times New Roman"/>
          <w:b/>
          <w:bCs/>
        </w:rPr>
        <w:t>36 miesięcy</w:t>
      </w:r>
      <w:r w:rsidR="006D36A7">
        <w:rPr>
          <w:rFonts w:ascii="Times New Roman" w:hAnsi="Times New Roman" w:cs="Times New Roman"/>
        </w:rPr>
        <w:t>.</w:t>
      </w:r>
    </w:p>
    <w:p w14:paraId="477478A6" w14:textId="77777777" w:rsidR="006D36A7" w:rsidRPr="006D36A7" w:rsidRDefault="006D36A7" w:rsidP="006D36A7">
      <w:pPr>
        <w:pStyle w:val="Akapitzlist"/>
        <w:rPr>
          <w:rFonts w:ascii="Times New Roman" w:hAnsi="Times New Roman" w:cs="Times New Roman"/>
        </w:rPr>
      </w:pPr>
    </w:p>
    <w:p w14:paraId="381B513C" w14:textId="337229BA" w:rsidR="006D36A7" w:rsidRDefault="00F03DFE" w:rsidP="00F03DFE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</w:rPr>
      </w:pPr>
      <w:r w:rsidRPr="006D36A7">
        <w:rPr>
          <w:rFonts w:ascii="Times New Roman" w:hAnsi="Times New Roman" w:cs="Times New Roman"/>
        </w:rPr>
        <w:t xml:space="preserve">Przedmiot zamówienia będzie realizowany w okresie od </w:t>
      </w:r>
      <w:r w:rsidRPr="006D36A7">
        <w:rPr>
          <w:rFonts w:ascii="Times New Roman" w:hAnsi="Times New Roman" w:cs="Times New Roman"/>
          <w:b/>
          <w:bCs/>
        </w:rPr>
        <w:t>dnia 1 stycznia 2025 r.</w:t>
      </w:r>
      <w:r w:rsidR="006D36A7">
        <w:rPr>
          <w:rFonts w:ascii="Times New Roman" w:hAnsi="Times New Roman" w:cs="Times New Roman"/>
          <w:b/>
          <w:bCs/>
        </w:rPr>
        <w:t xml:space="preserve">, </w:t>
      </w:r>
      <w:r w:rsidRPr="006D36A7">
        <w:rPr>
          <w:rFonts w:ascii="Times New Roman" w:hAnsi="Times New Roman" w:cs="Times New Roman"/>
        </w:rPr>
        <w:t>do wyczerpania środków finansowych przeznaczonych na realizację zamówienia w</w:t>
      </w:r>
      <w:r w:rsidR="006D36A7">
        <w:rPr>
          <w:rFonts w:ascii="Times New Roman" w:hAnsi="Times New Roman" w:cs="Times New Roman"/>
        </w:rPr>
        <w:t> </w:t>
      </w:r>
      <w:r w:rsidRPr="006D36A7">
        <w:rPr>
          <w:rFonts w:ascii="Times New Roman" w:hAnsi="Times New Roman" w:cs="Times New Roman"/>
        </w:rPr>
        <w:t>zależności od tego</w:t>
      </w:r>
      <w:r w:rsidR="006D36A7">
        <w:rPr>
          <w:rFonts w:ascii="Times New Roman" w:hAnsi="Times New Roman" w:cs="Times New Roman"/>
        </w:rPr>
        <w:t xml:space="preserve"> </w:t>
      </w:r>
      <w:r w:rsidRPr="006D36A7">
        <w:rPr>
          <w:rFonts w:ascii="Times New Roman" w:hAnsi="Times New Roman" w:cs="Times New Roman"/>
        </w:rPr>
        <w:t>które z okoliczności nastąpi jako pierwsze.</w:t>
      </w:r>
    </w:p>
    <w:p w14:paraId="3D6814C5" w14:textId="099F48B3" w:rsidR="00A80631" w:rsidRPr="00F03DFE" w:rsidRDefault="00A80631" w:rsidP="00F03DFE">
      <w:pPr>
        <w:jc w:val="both"/>
        <w:rPr>
          <w:rFonts w:ascii="Times New Roman" w:hAnsi="Times New Roman" w:cs="Times New Roman"/>
        </w:rPr>
      </w:pPr>
    </w:p>
    <w:sectPr w:rsidR="00A80631" w:rsidRPr="00F03DF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D90AA" w14:textId="77777777" w:rsidR="000F4F86" w:rsidRDefault="000F4F86" w:rsidP="00F03DFE">
      <w:pPr>
        <w:spacing w:after="0" w:line="240" w:lineRule="auto"/>
      </w:pPr>
      <w:r>
        <w:separator/>
      </w:r>
    </w:p>
  </w:endnote>
  <w:endnote w:type="continuationSeparator" w:id="0">
    <w:p w14:paraId="36054638" w14:textId="77777777" w:rsidR="000F4F86" w:rsidRDefault="000F4F86" w:rsidP="00F03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62547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EBFE0C0" w14:textId="304F6092" w:rsidR="006D36A7" w:rsidRDefault="006D36A7" w:rsidP="006D36A7">
            <w:pPr>
              <w:pStyle w:val="Stopka"/>
              <w:jc w:val="right"/>
            </w:pPr>
            <w:r w:rsidRPr="006D36A7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D36A7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53E31B" w14:textId="77777777" w:rsidR="000F4F86" w:rsidRDefault="000F4F86" w:rsidP="00F03DFE">
      <w:pPr>
        <w:spacing w:after="0" w:line="240" w:lineRule="auto"/>
      </w:pPr>
      <w:r>
        <w:separator/>
      </w:r>
    </w:p>
  </w:footnote>
  <w:footnote w:type="continuationSeparator" w:id="0">
    <w:p w14:paraId="556538E0" w14:textId="77777777" w:rsidR="000F4F86" w:rsidRDefault="000F4F86" w:rsidP="00F03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AE514" w14:textId="52D01A5D" w:rsidR="00F03DFE" w:rsidRPr="00F03DFE" w:rsidRDefault="00F03DFE" w:rsidP="00F03DFE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91530F"/>
    <w:multiLevelType w:val="hybridMultilevel"/>
    <w:tmpl w:val="7AE0727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7D65B3A"/>
    <w:multiLevelType w:val="hybridMultilevel"/>
    <w:tmpl w:val="3482DB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3052">
    <w:abstractNumId w:val="1"/>
  </w:num>
  <w:num w:numId="2" w16cid:durableId="160396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631"/>
    <w:rsid w:val="000F4F86"/>
    <w:rsid w:val="00317F06"/>
    <w:rsid w:val="006D36A7"/>
    <w:rsid w:val="00956F53"/>
    <w:rsid w:val="00A80631"/>
    <w:rsid w:val="00B1657B"/>
    <w:rsid w:val="00F03DFE"/>
    <w:rsid w:val="00F1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40B47"/>
  <w15:chartTrackingRefBased/>
  <w15:docId w15:val="{82EA9CB3-B44B-4F10-9E3E-DEAEF4FC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806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06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06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806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806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806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806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806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806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806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06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06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806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806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806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806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806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806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806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806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06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806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806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806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806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806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806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806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8063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3DFE"/>
  </w:style>
  <w:style w:type="paragraph" w:styleId="Stopka">
    <w:name w:val="footer"/>
    <w:basedOn w:val="Normalny"/>
    <w:link w:val="StopkaZnak"/>
    <w:uiPriority w:val="99"/>
    <w:unhideWhenUsed/>
    <w:rsid w:val="00F03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540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Kolasa</dc:creator>
  <cp:keywords/>
  <dc:description/>
  <cp:lastModifiedBy>Monika Kolasa</cp:lastModifiedBy>
  <cp:revision>3</cp:revision>
  <dcterms:created xsi:type="dcterms:W3CDTF">2024-11-03T20:29:00Z</dcterms:created>
  <dcterms:modified xsi:type="dcterms:W3CDTF">2024-11-12T19:42:00Z</dcterms:modified>
</cp:coreProperties>
</file>