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D2CB3">
      <w:pPr>
        <w:jc w:val="center"/>
        <w:rPr>
          <w:b/>
          <w:bCs/>
        </w:rPr>
      </w:pPr>
    </w:p>
    <w:p w:rsidR="00000000" w:rsidRDefault="002D2CB3">
      <w:pPr>
        <w:jc w:val="center"/>
      </w:pPr>
      <w:r>
        <w:rPr>
          <w:b/>
          <w:bCs/>
        </w:rPr>
        <w:t>OPIS PRZEDMIOTU ZAMÓWIENIA</w:t>
      </w:r>
    </w:p>
    <w:p w:rsidR="00000000" w:rsidRDefault="002D2CB3">
      <w:pPr>
        <w:spacing w:line="240" w:lineRule="auto"/>
        <w:jc w:val="both"/>
      </w:pPr>
      <w:r>
        <w:t xml:space="preserve">Przedmiotem zamówienia jest zakup i dostawa ciągnika rolniczego wraz z niezbędnym osprzętem </w:t>
      </w:r>
      <w:r>
        <w:br/>
        <w:t>na potrzeby Powiatowego Zarządu Dróg</w:t>
      </w:r>
    </w:p>
    <w:p w:rsidR="00000000" w:rsidRDefault="002D2CB3">
      <w:pPr>
        <w:spacing w:line="240" w:lineRule="auto"/>
        <w:jc w:val="both"/>
      </w:pPr>
    </w:p>
    <w:p w:rsidR="00000000" w:rsidRDefault="002D2CB3">
      <w:pPr>
        <w:spacing w:line="240" w:lineRule="auto"/>
        <w:jc w:val="both"/>
      </w:pPr>
      <w:r>
        <w:rPr>
          <w:b/>
          <w:bCs/>
        </w:rPr>
        <w:t xml:space="preserve">I Ciągnik rolniczy: </w:t>
      </w:r>
    </w:p>
    <w:p w:rsidR="00000000" w:rsidRDefault="002D2CB3">
      <w:pPr>
        <w:spacing w:line="240" w:lineRule="auto"/>
        <w:jc w:val="both"/>
      </w:pPr>
      <w:r>
        <w:t>Wymagania techniczne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Ciągnik rolniczy fabrycznie nowy, nieużywany, kompletny</w:t>
      </w:r>
      <w:r>
        <w:t>, wolny od wad konstrukcyjnych, materiałowych, wykonawczych i prawnych, wyprodukowany w 2024 roku, gotowy do użytku.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Świadectwo homologacji pozwalające na dopuszczenie do ruchu po drogach publicznych zgodnie z Rozporządzeniem Ministra Transportu, Budownict</w:t>
      </w:r>
      <w:r>
        <w:t>wa i Gospodarki Morskiej z dnia 18 czerwca 2013 w sprawie homologacji typu ciągników rolniczych i przyczep oraz typu ich przedmiotów wyposażenia lub części ( Dz. U. z 2015r. poz. 343 z zm.)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Silnik wysokoprężny 4 cylindrowy turbodoładowany, o pojemności z p</w:t>
      </w:r>
      <w:r>
        <w:t>rzedziału 3600 cm</w:t>
      </w:r>
      <w:r>
        <w:rPr>
          <w:vertAlign w:val="superscript"/>
        </w:rPr>
        <w:t>3</w:t>
      </w:r>
      <w:r>
        <w:t xml:space="preserve"> – 4000 cm</w:t>
      </w:r>
      <w:r>
        <w:rPr>
          <w:vertAlign w:val="superscript"/>
        </w:rPr>
        <w:t xml:space="preserve">3 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 xml:space="preserve">Norma emisji spalin </w:t>
      </w:r>
      <w:proofErr w:type="spellStart"/>
      <w:r>
        <w:t>Stage</w:t>
      </w:r>
      <w:proofErr w:type="spellEnd"/>
      <w:r>
        <w:t xml:space="preserve"> V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 xml:space="preserve">moc maksymalna min. 115 KM 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 xml:space="preserve">Rodzaj paliwa: olej napędowy, 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Zbiornik paliwa: min. 100 l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 xml:space="preserve">Zbiornik </w:t>
      </w:r>
      <w:proofErr w:type="spellStart"/>
      <w:r>
        <w:t>AdBlue</w:t>
      </w:r>
      <w:proofErr w:type="spellEnd"/>
      <w:r>
        <w:t>: min. 10 l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Napęd na wszystkie 4 koła 4x4, włączany elektrohydraulicznie przyciskiem oraz włącz</w:t>
      </w:r>
      <w:r>
        <w:t>any automatycznie podczas hamowania,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Hamulce ciągnika tarczowe mokre na wszystkie 4 koła,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Hamulec skrzyni biegów,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Instalacja hamulcowa do przyczep - pneumatyczna jednoprzewodowa i dwuprzewodowa,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Układ przeniesienia napędu: skrzynia z półbiegami pod obciąże</w:t>
      </w:r>
      <w:r>
        <w:t>niem, minimum 30 biegów do przodu i 30 do tyłu, zmiana biegów bez użycia pedału sprzęgła, możliwość zatrzymywania ciągnika bez używania sprzęgła; rewers do zmiany kierunku jazdy - elektrohydrauliczny,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Wspomaganie układu kierowniczego z oddzielną, niezależn</w:t>
      </w:r>
      <w:r>
        <w:t>ą pompą hydrauliczną,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Pamięć obrotów silnika (min. dwa położenia),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Nadbieg (prędkość maksymalna przy obniżonych obrotach silnika),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 xml:space="preserve"> Prędkość jazdy maksymalna: min. 40 km/h,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Sprzęgło wielotarczowe typu mokrego,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Przekładnia główna 6 przełożeń z 1 półbiegiem,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Układ hydrauliczny z pompą o wydatku minimum 55 L/min. Rozdzielacze hydrauliki z tyłu - minimum 2 pary (4 sztuki) gniazd z szybkozłączami i gniazdo wolnego spływu oleju,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 xml:space="preserve">Podnośnik tylny TUZ kategorii 2 z hakami + łącznik górny z hakiem, maksymalny udźwig </w:t>
      </w:r>
      <w:r>
        <w:t xml:space="preserve">tylnego </w:t>
      </w:r>
      <w:proofErr w:type="spellStart"/>
      <w:r>
        <w:t>TUZa</w:t>
      </w:r>
      <w:proofErr w:type="spellEnd"/>
      <w:r>
        <w:t>: minimum 4000 kg,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 xml:space="preserve">Tylny wałek WOM załączany przyciskiem, minimum 2 prędkości: 540 / 540ECO </w:t>
      </w:r>
      <w:proofErr w:type="spellStart"/>
      <w:r>
        <w:t>obr</w:t>
      </w:r>
      <w:proofErr w:type="spellEnd"/>
      <w:r>
        <w:t>./min.,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lastRenderedPageBreak/>
        <w:t>Kabina minimum cztero-słupkowa, wyposażona w ogrzewanie, wentylację oraz klimatyzację, fotel kierowcy z amortyzacją pneumatyczną i z pasem be</w:t>
      </w:r>
      <w:r>
        <w:t>zpieczeństwa oraz z podłokietnikami, 2 drzwi zamykane na kluczyk, wycieraczki na przedniej i tylnej szybie ze spryskiwaczami, światła robocze minimum 6 szt., radio, urządzenie sygnalizacyjne (kogut) na dachu 2 sztuki, lub belka sygnalizacyjna pomarańczowa,</w:t>
      </w:r>
      <w:r>
        <w:t xml:space="preserve"> z opisem „Służba Drogowa”, fotel pomocnika kierowcy z pasem bezpieczeństwa i homologacją. 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Kabina z możliwością rejestracji na minimum 2 osoby,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Koła: ogumienie przód - minimum 360/70 R24, ogumienie tył – minimum 480/70 R34; felgi kół przednich i tylnych p</w:t>
      </w:r>
      <w:r>
        <w:t xml:space="preserve">ełne, spawane; 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Zaczepy tylne: górny automatyczny regulowa</w:t>
      </w:r>
      <w:r>
        <w:t>ny na szynach góra-dół i dolna belka transportowa,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Waga ciągnika z płynami eksploatacyjnymi minimum 3,6 t,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Podnośnik trójpunktowy – TUZ,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Obciążnik do ciągnika min. 750 kg w zestawie,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Komputer pokład</w:t>
      </w:r>
      <w:r>
        <w:t>owy,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Fabryczny zestaw narzędzi,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2 kamizelki odblaskowe,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Gaśnica -zgodna z obowiązującymi przepisami ustawy Prawo o ruchu drogowym – 1 szt.,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 xml:space="preserve">Apteczka pierwszej pomocy minimum </w:t>
      </w:r>
      <w:proofErr w:type="spellStart"/>
      <w:r>
        <w:t>wg</w:t>
      </w:r>
      <w:proofErr w:type="spellEnd"/>
      <w:r>
        <w:t>. DIN 13164 – 1 szt.,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Trójkąt ostrzegawczy – 1 szt.,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Trójkątna tablica wyróżniaj</w:t>
      </w:r>
      <w:r>
        <w:t>ąca – 1 szt.,</w:t>
      </w:r>
    </w:p>
    <w:p w:rsidR="00000000" w:rsidRDefault="002D2CB3">
      <w:pPr>
        <w:pStyle w:val="ListParagraph"/>
        <w:numPr>
          <w:ilvl w:val="0"/>
          <w:numId w:val="1"/>
        </w:numPr>
        <w:spacing w:line="240" w:lineRule="auto"/>
        <w:jc w:val="both"/>
      </w:pPr>
      <w:r>
        <w:t>Komplet zapasowych żarówek wszystkich świateł zewnętrznych.</w:t>
      </w:r>
    </w:p>
    <w:p w:rsidR="00000000" w:rsidRDefault="002D2CB3">
      <w:pPr>
        <w:spacing w:line="240" w:lineRule="auto"/>
        <w:jc w:val="both"/>
      </w:pPr>
    </w:p>
    <w:p w:rsidR="00000000" w:rsidRDefault="002D2CB3">
      <w:pPr>
        <w:spacing w:line="240" w:lineRule="auto"/>
        <w:jc w:val="both"/>
        <w:rPr>
          <w:u w:val="single"/>
        </w:rPr>
      </w:pPr>
      <w:r>
        <w:rPr>
          <w:b/>
          <w:bCs/>
        </w:rPr>
        <w:t>II osprzęt kompatybilny do ciągnika:</w:t>
      </w:r>
    </w:p>
    <w:p w:rsidR="00000000" w:rsidRDefault="002D2CB3">
      <w:pPr>
        <w:spacing w:line="240" w:lineRule="auto"/>
        <w:jc w:val="both"/>
      </w:pPr>
      <w:r>
        <w:rPr>
          <w:u w:val="single"/>
        </w:rPr>
        <w:t xml:space="preserve">1. Kosiarka bijakowa mocowana na wysięgniku wielofunkcyjnym:  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>Kosiarka fabrycznie nowa bez wad prawnych i fizycznych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 xml:space="preserve">Przystosowana do koszenia </w:t>
      </w:r>
      <w:r>
        <w:t>i rozdrabniania chwastów, zarośli i trawy na poboczach i rowach przydrożnych,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>Szerokość koszenia: 1200 mm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 xml:space="preserve">Sposób mocowania na ciągniku: tylny TUZ 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 xml:space="preserve">Liczba noży bijakowych: od 20 </w:t>
      </w:r>
      <w:proofErr w:type="spellStart"/>
      <w:r>
        <w:t>szt</w:t>
      </w:r>
      <w:proofErr w:type="spellEnd"/>
      <w:r>
        <w:t xml:space="preserve"> do 54 szt.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 xml:space="preserve">Obroty WOM: 540 </w:t>
      </w:r>
      <w:proofErr w:type="spellStart"/>
      <w:r>
        <w:t>obr</w:t>
      </w:r>
      <w:proofErr w:type="spellEnd"/>
      <w:r>
        <w:t>/min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>Minimalne zapotrzebowanie mocy ciągnika:</w:t>
      </w:r>
      <w:r>
        <w:t xml:space="preserve"> 38/28 KM/</w:t>
      </w:r>
      <w:proofErr w:type="spellStart"/>
      <w:r>
        <w:t>kW</w:t>
      </w:r>
      <w:proofErr w:type="spellEnd"/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 xml:space="preserve">Napęd hydrauliczny własny, </w:t>
      </w:r>
      <w:proofErr w:type="spellStart"/>
      <w:r>
        <w:t>poj</w:t>
      </w:r>
      <w:proofErr w:type="spellEnd"/>
      <w:r>
        <w:t>. zbiornika: min. 130 l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>Średnica wału roboczego: min. 89 mm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>Średnica wału kopiującego: min. 101,6 mm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>Zasięg pracy wysięgnika z głowicą koszącą: min. 4,81 m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lastRenderedPageBreak/>
        <w:t>Rodzaj noży: Bijakowe typu Y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>Waga: 800 kg (tolerancja wag</w:t>
      </w:r>
      <w:r>
        <w:t xml:space="preserve">i </w:t>
      </w:r>
      <w:r>
        <w:t>±</w:t>
      </w:r>
      <w:r>
        <w:t xml:space="preserve"> 60 kg )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 xml:space="preserve">Sterowanie: elektryczne </w:t>
      </w:r>
      <w:proofErr w:type="spellStart"/>
      <w:r>
        <w:t>On-Off</w:t>
      </w:r>
      <w:proofErr w:type="spellEnd"/>
      <w:r>
        <w:t xml:space="preserve"> 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>Kąt obrotu głowicy: min. 190°</w:t>
      </w:r>
    </w:p>
    <w:p w:rsidR="00000000" w:rsidRDefault="002D2CB3">
      <w:pPr>
        <w:pStyle w:val="ListParagraph"/>
        <w:numPr>
          <w:ilvl w:val="0"/>
          <w:numId w:val="4"/>
        </w:numPr>
        <w:spacing w:line="240" w:lineRule="auto"/>
        <w:jc w:val="both"/>
      </w:pPr>
      <w:r>
        <w:t>Położenie wysięgnika względem nośnika: prawe</w:t>
      </w:r>
    </w:p>
    <w:p w:rsidR="00000000" w:rsidRDefault="002D2CB3">
      <w:pPr>
        <w:pStyle w:val="ListParagraph"/>
        <w:spacing w:line="240" w:lineRule="auto"/>
        <w:ind w:left="0"/>
        <w:jc w:val="both"/>
      </w:pPr>
    </w:p>
    <w:p w:rsidR="00000000" w:rsidRDefault="002D2CB3">
      <w:pPr>
        <w:pStyle w:val="ListParagraph"/>
        <w:widowControl w:val="0"/>
        <w:spacing w:after="0" w:line="240" w:lineRule="auto"/>
        <w:ind w:left="284"/>
        <w:jc w:val="both"/>
        <w:rPr>
          <w:rFonts w:eastAsia="Times New Roman"/>
          <w:bCs/>
        </w:rPr>
      </w:pPr>
      <w:r>
        <w:rPr>
          <w:rFonts w:eastAsia="Times New Roman"/>
          <w:b/>
        </w:rPr>
        <w:t>Dodatkowe wymagania:</w:t>
      </w:r>
    </w:p>
    <w:p w:rsidR="00000000" w:rsidRDefault="002D2CB3">
      <w:pPr>
        <w:pStyle w:val="ListParagraph"/>
        <w:widowControl w:val="0"/>
        <w:numPr>
          <w:ilvl w:val="0"/>
          <w:numId w:val="6"/>
        </w:numPr>
        <w:spacing w:after="0" w:line="240" w:lineRule="auto"/>
        <w:ind w:left="284" w:firstLine="0"/>
        <w:jc w:val="both"/>
        <w:rPr>
          <w:rFonts w:eastAsia="Times New Roman"/>
        </w:rPr>
      </w:pPr>
      <w:r>
        <w:rPr>
          <w:rFonts w:eastAsia="Times New Roman"/>
          <w:bCs/>
        </w:rPr>
        <w:t>Zamawiający wymaga, aby Wykonawca w ofercie złożył m.in.: dokumenty potwierdzające, że oferowane produkty spełniają</w:t>
      </w:r>
      <w:r>
        <w:rPr>
          <w:rFonts w:eastAsia="Times New Roman"/>
          <w:bCs/>
        </w:rPr>
        <w:t xml:space="preserve"> parametry zawarte w OPZ np.: karty katalogowe, certyfikaty, atesty lub inne dokumenty, z których będzie można ustalić zgodność z wymaganiami Zamawiającego, określonymi w Załączniku - Opisie przedmiotu zamówienia. Dokumenty lub oświadczenia sporządzone w j</w:t>
      </w:r>
      <w:r>
        <w:rPr>
          <w:rFonts w:eastAsia="Times New Roman"/>
          <w:bCs/>
        </w:rPr>
        <w:t>ęzyku obcym, należy składać wraz z tłumaczeniem na język polski.</w:t>
      </w:r>
    </w:p>
    <w:p w:rsidR="00000000" w:rsidRDefault="002D2CB3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568" w:hanging="284"/>
        <w:jc w:val="both"/>
        <w:rPr>
          <w:rFonts w:eastAsia="Times New Roman"/>
        </w:rPr>
      </w:pPr>
      <w:r>
        <w:rPr>
          <w:rFonts w:eastAsia="Times New Roman"/>
        </w:rPr>
        <w:t>gwarancja min. 12 miesiące (gwarancja stanowi kryterium oceny ofert).</w:t>
      </w:r>
    </w:p>
    <w:p w:rsidR="00000000" w:rsidRDefault="002D2CB3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568" w:hanging="284"/>
        <w:jc w:val="both"/>
        <w:rPr>
          <w:rFonts w:eastAsia="Times New Roman"/>
        </w:rPr>
      </w:pPr>
      <w:r>
        <w:rPr>
          <w:rFonts w:eastAsia="Times New Roman"/>
        </w:rPr>
        <w:t>w pełni udokumentowane, legalne pochodzenie</w:t>
      </w:r>
    </w:p>
    <w:p w:rsidR="00000000" w:rsidRDefault="002D2CB3">
      <w:pPr>
        <w:pStyle w:val="ListParagraph"/>
        <w:widowControl w:val="0"/>
        <w:numPr>
          <w:ilvl w:val="0"/>
          <w:numId w:val="2"/>
        </w:numPr>
        <w:spacing w:after="0" w:line="240" w:lineRule="auto"/>
        <w:ind w:left="568" w:hanging="284"/>
        <w:jc w:val="both"/>
        <w:rPr>
          <w:rFonts w:eastAsia="Times New Roman"/>
        </w:rPr>
      </w:pPr>
      <w:r>
        <w:rPr>
          <w:rFonts w:eastAsia="Times New Roman"/>
        </w:rPr>
        <w:t>serwis gwarancyjny (odległość do punktu serwisowego stanowi kryterium oceny o</w:t>
      </w:r>
      <w:r>
        <w:rPr>
          <w:rFonts w:eastAsia="Times New Roman"/>
        </w:rPr>
        <w:t>fert).</w:t>
      </w:r>
    </w:p>
    <w:p w:rsidR="00000000" w:rsidRDefault="002D2CB3">
      <w:pPr>
        <w:pStyle w:val="ListParagraph"/>
        <w:widowControl w:val="0"/>
        <w:numPr>
          <w:ilvl w:val="0"/>
          <w:numId w:val="2"/>
        </w:numPr>
        <w:spacing w:after="0" w:line="240" w:lineRule="auto"/>
        <w:ind w:left="568" w:hanging="284"/>
        <w:jc w:val="both"/>
        <w:rPr>
          <w:rFonts w:eastAsia="Times New Roman"/>
        </w:rPr>
      </w:pPr>
      <w:r>
        <w:rPr>
          <w:rFonts w:eastAsia="Times New Roman"/>
        </w:rPr>
        <w:t xml:space="preserve">instrukcja obsługi i napraw w języku polskim </w:t>
      </w:r>
    </w:p>
    <w:p w:rsidR="00000000" w:rsidRDefault="002D2CB3">
      <w:pPr>
        <w:pStyle w:val="ListParagraph"/>
        <w:widowControl w:val="0"/>
        <w:numPr>
          <w:ilvl w:val="0"/>
          <w:numId w:val="2"/>
        </w:numPr>
        <w:spacing w:after="0" w:line="240" w:lineRule="auto"/>
        <w:ind w:left="568" w:hanging="284"/>
        <w:jc w:val="both"/>
      </w:pPr>
      <w:r>
        <w:rPr>
          <w:rFonts w:eastAsia="Times New Roman"/>
        </w:rPr>
        <w:t xml:space="preserve">deklaracja zgodności z normami europejskimi </w:t>
      </w:r>
    </w:p>
    <w:p w:rsidR="00000000" w:rsidRDefault="002D2CB3">
      <w:pPr>
        <w:pStyle w:val="ListParagraph"/>
        <w:widowControl w:val="0"/>
        <w:numPr>
          <w:ilvl w:val="0"/>
          <w:numId w:val="2"/>
        </w:numPr>
        <w:spacing w:after="0" w:line="240" w:lineRule="auto"/>
        <w:ind w:left="568" w:hanging="284"/>
        <w:jc w:val="both"/>
        <w:rPr>
          <w:rFonts w:eastAsia="Times New Roman"/>
        </w:rPr>
      </w:pPr>
      <w:r>
        <w:t>szkolenie z obsługi i konserwacji urządzeń</w:t>
      </w:r>
    </w:p>
    <w:p w:rsidR="00000000" w:rsidRDefault="002D2CB3">
      <w:pPr>
        <w:spacing w:line="240" w:lineRule="auto"/>
        <w:jc w:val="both"/>
        <w:rPr>
          <w:rFonts w:eastAsia="Times New Roman"/>
        </w:rPr>
      </w:pPr>
    </w:p>
    <w:p w:rsidR="00000000" w:rsidRDefault="002D2CB3">
      <w:pPr>
        <w:spacing w:before="120" w:after="120" w:line="240" w:lineRule="auto"/>
        <w:jc w:val="both"/>
        <w:rPr>
          <w:b/>
          <w:u w:val="single"/>
        </w:rPr>
      </w:pPr>
      <w:r>
        <w:rPr>
          <w:b/>
        </w:rPr>
        <w:t>Dostawa, gwarancja, serwis, szkolenie</w:t>
      </w:r>
    </w:p>
    <w:p w:rsidR="00000000" w:rsidRDefault="002D2CB3">
      <w:pPr>
        <w:spacing w:before="40" w:line="240" w:lineRule="auto"/>
        <w:ind w:left="284"/>
        <w:jc w:val="both"/>
      </w:pPr>
      <w:r>
        <w:rPr>
          <w:b/>
          <w:u w:val="single"/>
        </w:rPr>
        <w:t>Dostawa</w:t>
      </w:r>
    </w:p>
    <w:p w:rsidR="00000000" w:rsidRDefault="002D2CB3">
      <w:pPr>
        <w:spacing w:after="40" w:line="240" w:lineRule="auto"/>
        <w:ind w:left="284"/>
        <w:jc w:val="both"/>
      </w:pPr>
      <w:r>
        <w:t>Sprzęt powinien być dostarczony i rozładowany na własny koszt i ryzy</w:t>
      </w:r>
      <w:r>
        <w:t xml:space="preserve">ko na koszt Wykonawcy </w:t>
      </w:r>
      <w:r>
        <w:br/>
        <w:t xml:space="preserve">do następującej lokalizacji: </w:t>
      </w:r>
      <w:r>
        <w:rPr>
          <w:rFonts w:eastAsia="Times New Roman"/>
          <w:b/>
          <w:bCs/>
          <w:color w:val="000000"/>
        </w:rPr>
        <w:t>Powiatowy Zarząd Dróg, Al. Reymonta 32, 62 – 200 Gniezno</w:t>
      </w:r>
      <w:r>
        <w:rPr>
          <w:rFonts w:eastAsia="Times New Roman"/>
          <w:color w:val="000000"/>
        </w:rPr>
        <w:t xml:space="preserve">. </w:t>
      </w:r>
    </w:p>
    <w:p w:rsidR="00000000" w:rsidRDefault="002D2CB3">
      <w:pPr>
        <w:spacing w:after="40" w:line="240" w:lineRule="auto"/>
        <w:jc w:val="both"/>
      </w:pPr>
    </w:p>
    <w:p w:rsidR="00000000" w:rsidRDefault="002D2CB3">
      <w:pPr>
        <w:pStyle w:val="ListParagraph"/>
        <w:spacing w:line="240" w:lineRule="auto"/>
        <w:ind w:left="568" w:hanging="284"/>
        <w:jc w:val="both"/>
        <w:rPr>
          <w:rFonts w:eastAsia="Times New Roman"/>
          <w:color w:val="000000"/>
        </w:rPr>
      </w:pPr>
      <w:r>
        <w:rPr>
          <w:rFonts w:eastAsia="Times New Roman"/>
          <w:b/>
          <w:bCs/>
        </w:rPr>
        <w:t xml:space="preserve">TERMIN DOSTAWY: do </w:t>
      </w:r>
      <w:r w:rsidR="00E95672">
        <w:rPr>
          <w:rFonts w:eastAsia="Times New Roman"/>
          <w:b/>
          <w:bCs/>
        </w:rPr>
        <w:t>23</w:t>
      </w:r>
      <w:r>
        <w:rPr>
          <w:rFonts w:eastAsia="Times New Roman"/>
          <w:b/>
          <w:bCs/>
        </w:rPr>
        <w:t>-12-2024 r.</w:t>
      </w:r>
    </w:p>
    <w:p w:rsidR="00000000" w:rsidRDefault="002D2CB3">
      <w:pPr>
        <w:pStyle w:val="ListParagraph"/>
        <w:spacing w:line="240" w:lineRule="auto"/>
        <w:ind w:left="568"/>
        <w:jc w:val="both"/>
        <w:rPr>
          <w:rFonts w:eastAsia="Times New Roman"/>
          <w:color w:val="000000"/>
        </w:rPr>
      </w:pPr>
    </w:p>
    <w:p w:rsidR="00000000" w:rsidRDefault="002D2CB3">
      <w:pPr>
        <w:pStyle w:val="ListParagraph"/>
        <w:spacing w:line="240" w:lineRule="auto"/>
        <w:ind w:left="284"/>
        <w:jc w:val="both"/>
      </w:pPr>
      <w:r>
        <w:t xml:space="preserve">Dostarczenie urządzeń przez Wykonawcę możliwe będzie jedynie w dni robocze - od poniedziałku </w:t>
      </w:r>
      <w:r>
        <w:br/>
        <w:t>do piątku w godz</w:t>
      </w:r>
      <w:r>
        <w:t xml:space="preserve">inach od 8:00 do 15:00 przy zachowaniu ostatecznego terminu dostawy określonego w umowie. </w:t>
      </w:r>
    </w:p>
    <w:p w:rsidR="00000000" w:rsidRDefault="002D2CB3">
      <w:pPr>
        <w:spacing w:after="40" w:line="240" w:lineRule="auto"/>
        <w:ind w:left="284"/>
        <w:jc w:val="both"/>
      </w:pPr>
      <w:r>
        <w:t>Dostarczony sprzęt powinien być w pełni sprawny i powinien odpowiadać standardom jakościowym i technicznym wynikającym z funkcji i przeznaczenia, zgodnie ze specyfik</w:t>
      </w:r>
      <w:r>
        <w:t>acją warunków zamówienia oraz powinien być wolny od wad prawnych i fizycznych.</w:t>
      </w:r>
    </w:p>
    <w:p w:rsidR="00000000" w:rsidRDefault="002D2CB3">
      <w:pPr>
        <w:spacing w:after="40" w:line="240" w:lineRule="auto"/>
        <w:ind w:left="284"/>
        <w:jc w:val="both"/>
      </w:pPr>
      <w:r>
        <w:t>Dostarczony sprzęt musi być wyposażony w dokumenty gwarancyjne, certyfikat CE, fabryczną instrukcję obsługi w języku polskim, książkę serwisową w języku polskim. Zamawiający zas</w:t>
      </w:r>
      <w:r>
        <w:t>trzega sobie prawo do przeprowadzenia oględzin zaoferowanego przez Wykonawcę sprzętu.</w:t>
      </w:r>
    </w:p>
    <w:p w:rsidR="00000000" w:rsidRDefault="002D2CB3">
      <w:pPr>
        <w:spacing w:after="40" w:line="240" w:lineRule="auto"/>
        <w:ind w:left="284"/>
        <w:jc w:val="both"/>
      </w:pPr>
      <w:r>
        <w:t>W przypadku stwierdzenia podczas odbioru:</w:t>
      </w:r>
    </w:p>
    <w:p w:rsidR="00000000" w:rsidRDefault="002D2CB3">
      <w:pPr>
        <w:pStyle w:val="ListParagraph"/>
        <w:widowControl w:val="0"/>
        <w:numPr>
          <w:ilvl w:val="0"/>
          <w:numId w:val="5"/>
        </w:numPr>
        <w:spacing w:after="40" w:line="240" w:lineRule="auto"/>
        <w:jc w:val="both"/>
      </w:pPr>
      <w:r>
        <w:t>widocznych wad,</w:t>
      </w:r>
    </w:p>
    <w:p w:rsidR="00000000" w:rsidRDefault="002D2CB3">
      <w:pPr>
        <w:pStyle w:val="ListParagraph"/>
        <w:widowControl w:val="0"/>
        <w:numPr>
          <w:ilvl w:val="0"/>
          <w:numId w:val="5"/>
        </w:numPr>
        <w:spacing w:after="40" w:line="240" w:lineRule="auto"/>
        <w:jc w:val="both"/>
      </w:pPr>
      <w:r>
        <w:t>niezgodności dostawy pod względem wymaganych parametrów, braku wymaganych dokumentów technicznych,</w:t>
      </w:r>
    </w:p>
    <w:p w:rsidR="00000000" w:rsidRDefault="002D2CB3">
      <w:pPr>
        <w:spacing w:after="40" w:line="240" w:lineRule="auto"/>
        <w:ind w:left="284"/>
        <w:jc w:val="both"/>
      </w:pPr>
      <w:r>
        <w:t>Wykonawca zob</w:t>
      </w:r>
      <w:r>
        <w:t xml:space="preserve">owiązany jest do wymiany towaru na wolny od wad, uzupełnienia braków towaru </w:t>
      </w:r>
      <w:r>
        <w:br/>
        <w:t>lub wymiany dostarczonego towaru na zgodny z Umową, najpóźniej w ciągu 2 dni roboczych.</w:t>
      </w:r>
    </w:p>
    <w:p w:rsidR="00000000" w:rsidRDefault="002D2CB3">
      <w:pPr>
        <w:spacing w:after="40" w:line="240" w:lineRule="auto"/>
        <w:jc w:val="both"/>
      </w:pPr>
    </w:p>
    <w:p w:rsidR="00000000" w:rsidRDefault="002D2CB3">
      <w:pPr>
        <w:spacing w:before="40" w:line="240" w:lineRule="auto"/>
        <w:ind w:left="284"/>
        <w:jc w:val="both"/>
      </w:pPr>
      <w:r>
        <w:rPr>
          <w:b/>
          <w:u w:val="single"/>
        </w:rPr>
        <w:t>Gwarancja</w:t>
      </w:r>
    </w:p>
    <w:p w:rsidR="00000000" w:rsidRDefault="002D2CB3">
      <w:pPr>
        <w:spacing w:after="40" w:line="240" w:lineRule="auto"/>
        <w:ind w:left="284"/>
        <w:jc w:val="both"/>
        <w:rPr>
          <w:b/>
        </w:rPr>
      </w:pPr>
      <w:r>
        <w:t xml:space="preserve">Zamawiający wymaga, aby Wykonawca udzielił pełnej gwarancji i zapewnił serwis </w:t>
      </w:r>
      <w:r>
        <w:rPr>
          <w:rFonts w:eastAsia="Times New Roman"/>
        </w:rPr>
        <w:t xml:space="preserve">w </w:t>
      </w:r>
      <w:r>
        <w:rPr>
          <w:rFonts w:eastAsia="Times New Roman"/>
        </w:rPr>
        <w:t>miejscu garażowania</w:t>
      </w:r>
      <w:r>
        <w:t xml:space="preserve"> przez zadeklarowany okres gwarancji liczony od daty odbioru końcowego dostawy</w:t>
      </w:r>
      <w:r>
        <w:rPr>
          <w:b/>
        </w:rPr>
        <w:t xml:space="preserve">. </w:t>
      </w:r>
      <w:r>
        <w:rPr>
          <w:rFonts w:eastAsia="Calibri"/>
        </w:rPr>
        <w:t xml:space="preserve">Zamawiający zastrzega, że przedmiot Umowy objęty gwarancją i rękojmią za wady może </w:t>
      </w:r>
      <w:r>
        <w:rPr>
          <w:rFonts w:eastAsia="Calibri"/>
        </w:rPr>
        <w:lastRenderedPageBreak/>
        <w:t>znajdować się poza siedzibą Zamawiającego, w związku z czym Wykonawca zobo</w:t>
      </w:r>
      <w:r>
        <w:rPr>
          <w:rFonts w:eastAsia="Calibri"/>
        </w:rPr>
        <w:t>wiązany będzie do usuwania wad przedmiotu Umowy w miejscach wskazanych przez Zamawiającego w przypadku zgłoszenia wady.</w:t>
      </w:r>
    </w:p>
    <w:p w:rsidR="00000000" w:rsidRDefault="002D2CB3">
      <w:pPr>
        <w:spacing w:after="40" w:line="240" w:lineRule="auto"/>
        <w:ind w:left="284"/>
        <w:jc w:val="both"/>
        <w:rPr>
          <w:b/>
        </w:rPr>
      </w:pPr>
    </w:p>
    <w:p w:rsidR="00000000" w:rsidRDefault="002D2CB3">
      <w:pPr>
        <w:spacing w:line="240" w:lineRule="auto"/>
        <w:ind w:left="284"/>
        <w:jc w:val="both"/>
      </w:pPr>
      <w:r>
        <w:rPr>
          <w:b/>
          <w:u w:val="single"/>
        </w:rPr>
        <w:t>Serwis gwarancyjny</w:t>
      </w:r>
      <w:r>
        <w:rPr>
          <w:b/>
          <w:u w:val="single"/>
        </w:rPr>
        <w:tab/>
      </w:r>
    </w:p>
    <w:p w:rsidR="00000000" w:rsidRDefault="002D2CB3">
      <w:pPr>
        <w:spacing w:line="240" w:lineRule="auto"/>
        <w:ind w:left="284"/>
        <w:jc w:val="both"/>
      </w:pPr>
      <w:r>
        <w:t xml:space="preserve">Wykonawca w okresie gwarancji zobowiązany jest wykonywać przeglądy okresowe </w:t>
      </w:r>
      <w:r>
        <w:br/>
        <w:t>i gwarancyjne sprzętu w terminach wska</w:t>
      </w:r>
      <w:r>
        <w:t xml:space="preserve">zanych w instrukcji obsługi, książce eksploatacji lub warunkach gwarancji producenta. Rozpoczęcie napraw gwarancyjnych powinno rozpocząć się do 3 dni roboczych od chwili przyjęcia zgłoszenia usterki lub awarii, ewentualnie pierwszego dnia roboczego, o ile </w:t>
      </w:r>
      <w:r>
        <w:t>zgłoszenie nastąpi w dniu poprzedzającym dzień ustawowo wolny od pracy. Naprawa powinno nastąpić w terminie do 14 dni od daty przyjęcia zgłoszenia o usterce lub awarii sprzętu.</w:t>
      </w:r>
    </w:p>
    <w:p w:rsidR="00000000" w:rsidRDefault="002D2CB3">
      <w:pPr>
        <w:spacing w:line="240" w:lineRule="auto"/>
        <w:jc w:val="both"/>
      </w:pPr>
    </w:p>
    <w:p w:rsidR="00000000" w:rsidRDefault="002D2CB3">
      <w:pPr>
        <w:spacing w:before="40" w:line="240" w:lineRule="auto"/>
        <w:ind w:left="284"/>
        <w:jc w:val="both"/>
      </w:pPr>
      <w:r>
        <w:rPr>
          <w:b/>
          <w:u w:val="single"/>
        </w:rPr>
        <w:t>Serwis pogwarancyjny</w:t>
      </w:r>
    </w:p>
    <w:p w:rsidR="00000000" w:rsidRDefault="002D2CB3">
      <w:pPr>
        <w:spacing w:after="40" w:line="240" w:lineRule="auto"/>
        <w:ind w:left="284"/>
        <w:jc w:val="both"/>
        <w:rPr>
          <w:b/>
        </w:rPr>
      </w:pPr>
      <w:r>
        <w:t>Należy podać dane punktu serwisowego lub firmy zajmującej</w:t>
      </w:r>
      <w:r>
        <w:t xml:space="preserve"> się serwisem dostarczonego sprzętu.</w:t>
      </w:r>
    </w:p>
    <w:p w:rsidR="00000000" w:rsidRDefault="002D2CB3">
      <w:pPr>
        <w:spacing w:before="40" w:line="240" w:lineRule="auto"/>
        <w:ind w:left="284"/>
        <w:jc w:val="both"/>
        <w:rPr>
          <w:b/>
        </w:rPr>
      </w:pPr>
    </w:p>
    <w:p w:rsidR="00000000" w:rsidRDefault="002D2CB3">
      <w:pPr>
        <w:spacing w:before="40" w:line="240" w:lineRule="auto"/>
        <w:ind w:left="284"/>
        <w:jc w:val="both"/>
      </w:pPr>
      <w:r>
        <w:rPr>
          <w:b/>
          <w:u w:val="single"/>
        </w:rPr>
        <w:t xml:space="preserve">Szkolenie </w:t>
      </w:r>
    </w:p>
    <w:p w:rsidR="00000000" w:rsidRDefault="002D2CB3">
      <w:pPr>
        <w:spacing w:after="40" w:line="240" w:lineRule="auto"/>
        <w:ind w:left="284"/>
        <w:jc w:val="both"/>
      </w:pPr>
      <w:r>
        <w:t>Wykonawca zobowiązany jest bezpłatnie wykonać szkolenie z obsługi ciągnika z osprzętem dla pracowników obsługi w miejscu dostawy. Termin szkolenia zostanie ustalony przy odbiorze dostawy.</w:t>
      </w:r>
    </w:p>
    <w:p w:rsidR="00000000" w:rsidRDefault="002D2CB3">
      <w:pPr>
        <w:spacing w:after="40" w:line="240" w:lineRule="auto"/>
        <w:ind w:left="284"/>
        <w:jc w:val="both"/>
      </w:pPr>
      <w:r>
        <w:t>W ramach i w trakci</w:t>
      </w:r>
      <w:r>
        <w:t>e gwarancji Wykonawca zobowiązuje się zrealizować maksymalnie dwa dodatkowe szkolenia dla wskazanych pracowników Zamawiającego. Szkolenia powinny być zorganizowane nie później niż w terminie 14 dni od zgłoszenia potrzeby odbycia szkoleń, w miejscu na teren</w:t>
      </w:r>
      <w:r>
        <w:t>ie Polski przewidzianym i zapewnionym przez Zamawiającego.</w:t>
      </w:r>
    </w:p>
    <w:p w:rsidR="002D2CB3" w:rsidRDefault="002D2CB3">
      <w:pPr>
        <w:spacing w:line="240" w:lineRule="auto"/>
        <w:jc w:val="both"/>
      </w:pPr>
    </w:p>
    <w:sectPr w:rsidR="002D2CB3">
      <w:pgSz w:w="11906" w:h="16838"/>
      <w:pgMar w:top="567" w:right="1417" w:bottom="1135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vertAlign w:val="superscrip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vertAlign w:val="superscrip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vertAlign w:val="superscrip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95672"/>
    <w:rsid w:val="002D2CB3"/>
    <w:rsid w:val="00493B9A"/>
    <w:rsid w:val="00E95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vertAlign w:val="superscript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ascii="Symbol" w:eastAsia="Times New Roman" w:hAnsi="Symbol" w:cs="Symbol"/>
      <w:b w:val="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Symbol" w:eastAsia="Times New Roman" w:hAnsi="Symbol" w:cs="Symbol"/>
      <w:b w:val="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  <w:b w:val="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  <w:b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DefaultParagraphFont">
    <w:name w:val="Default Paragraph Font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eastAsia="Andale Sans UI"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ListParagraph">
    <w:name w:val="List Paragraph"/>
    <w:basedOn w:val="Normalny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1142</Words>
  <Characters>6854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Wojciech Jasiński (RZGW Kraków)</dc:creator>
  <cp:lastModifiedBy>Monika Nawrocka</cp:lastModifiedBy>
  <cp:revision>2</cp:revision>
  <cp:lastPrinted>2024-10-25T07:58:00Z</cp:lastPrinted>
  <dcterms:created xsi:type="dcterms:W3CDTF">2024-11-14T09:36:00Z</dcterms:created>
  <dcterms:modified xsi:type="dcterms:W3CDTF">2024-11-14T09:36:00Z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