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B5116" w14:textId="77777777" w:rsidR="00381113" w:rsidRDefault="00381113">
      <w:pPr>
        <w:spacing w:before="120" w:after="120" w:line="276" w:lineRule="auto"/>
        <w:rPr>
          <w:rFonts w:ascii="Arial" w:eastAsia="Arial" w:hAnsi="Arial" w:cs="Arial"/>
          <w:b/>
        </w:rPr>
      </w:pPr>
    </w:p>
    <w:p w14:paraId="465281BF" w14:textId="2668E22F" w:rsidR="00381113" w:rsidRDefault="007C7778">
      <w:pPr>
        <w:spacing w:before="120" w:after="120" w:line="276" w:lineRule="auto"/>
        <w:ind w:left="357"/>
        <w:jc w:val="center"/>
        <w:rPr>
          <w:rFonts w:ascii="Arial" w:eastAsia="Arial" w:hAnsi="Arial" w:cs="Arial"/>
          <w:b/>
        </w:rPr>
      </w:pPr>
      <w:r>
        <w:rPr>
          <w:rFonts w:ascii="Arial" w:eastAsia="Arial" w:hAnsi="Arial" w:cs="Arial"/>
          <w:b/>
        </w:rPr>
        <w:t xml:space="preserve">Załącznik nr 7 - </w:t>
      </w:r>
      <w:r w:rsidR="0045053A">
        <w:rPr>
          <w:rFonts w:ascii="Arial" w:eastAsia="Arial" w:hAnsi="Arial" w:cs="Arial"/>
          <w:b/>
        </w:rPr>
        <w:t>Opis Przedmiotu Zamówienia</w:t>
      </w:r>
      <w:r w:rsidR="0045053A">
        <w:rPr>
          <w:rFonts w:ascii="Arial" w:eastAsia="Arial" w:hAnsi="Arial" w:cs="Arial"/>
          <w:b/>
        </w:rPr>
        <w:br/>
        <w:t>Inkubator kwalifikacji z 1 i 2 poziomem PRK</w:t>
      </w:r>
      <w:r>
        <w:rPr>
          <w:rFonts w:ascii="Arial" w:eastAsia="Arial" w:hAnsi="Arial" w:cs="Arial"/>
          <w:b/>
        </w:rPr>
        <w:t xml:space="preserve"> – I</w:t>
      </w:r>
      <w:r w:rsidR="000721BA">
        <w:rPr>
          <w:rFonts w:ascii="Arial" w:eastAsia="Arial" w:hAnsi="Arial" w:cs="Arial"/>
          <w:b/>
        </w:rPr>
        <w:t>I</w:t>
      </w:r>
      <w:r>
        <w:rPr>
          <w:rFonts w:ascii="Arial" w:eastAsia="Arial" w:hAnsi="Arial" w:cs="Arial"/>
          <w:b/>
        </w:rPr>
        <w:t>I postępowanie</w:t>
      </w:r>
    </w:p>
    <w:p w14:paraId="66486489" w14:textId="77777777" w:rsidR="00381113" w:rsidRDefault="00381113">
      <w:pPr>
        <w:spacing w:before="120" w:after="120" w:line="276" w:lineRule="auto"/>
        <w:ind w:left="357"/>
        <w:jc w:val="both"/>
        <w:rPr>
          <w:rFonts w:ascii="Arial" w:eastAsia="Arial" w:hAnsi="Arial" w:cs="Arial"/>
          <w:b/>
        </w:rPr>
      </w:pPr>
    </w:p>
    <w:p w14:paraId="0245C80C" w14:textId="77777777" w:rsidR="00381113" w:rsidRDefault="0045053A">
      <w:pPr>
        <w:widowControl w:val="0"/>
        <w:pBdr>
          <w:top w:val="nil"/>
          <w:left w:val="nil"/>
          <w:bottom w:val="nil"/>
          <w:right w:val="nil"/>
          <w:between w:val="nil"/>
        </w:pBdr>
        <w:spacing w:after="0" w:line="240" w:lineRule="auto"/>
        <w:jc w:val="both"/>
      </w:pPr>
      <w:r>
        <w:rPr>
          <w:rFonts w:ascii="Arial" w:eastAsia="Arial" w:hAnsi="Arial" w:cs="Arial"/>
        </w:rPr>
        <w:t>Zamówienie jest przeprowadzane  przez Instytut Badań Edukacyjnych w ramach projektu  Wspieranie dalszego rozwoju Zintegrowanego Systemu Kwalifikacji w Polsce (ZSK 6) realizowanego z programu Fundusze Europejskie dla Rozwoju Społecznego 2021 – 2027 (FERS), współfinansowanego ze środków Unii Europejskiej.</w:t>
      </w:r>
    </w:p>
    <w:p w14:paraId="4A181387" w14:textId="77777777" w:rsidR="00381113" w:rsidRDefault="0045053A">
      <w:pPr>
        <w:spacing w:after="0" w:line="276" w:lineRule="auto"/>
        <w:rPr>
          <w:rFonts w:ascii="Arial" w:eastAsia="Arial" w:hAnsi="Arial" w:cs="Arial"/>
          <w:highlight w:val="yellow"/>
        </w:rPr>
      </w:pPr>
      <w:r>
        <w:rPr>
          <w:rFonts w:ascii="Arial" w:eastAsia="Arial" w:hAnsi="Arial" w:cs="Arial"/>
        </w:rPr>
        <w:t>Zadanie 3: “Wspieranie rozwoju oferty kwalifikacji funkcjonujących w ZSK, w tym kwalifikacji z zakresu edukacji pozaformalnej</w:t>
      </w:r>
      <w:r>
        <w:rPr>
          <w:rFonts w:ascii="Arial" w:eastAsia="Arial" w:hAnsi="Arial" w:cs="Arial"/>
          <w:color w:val="222222"/>
        </w:rPr>
        <w:t>”.</w:t>
      </w:r>
    </w:p>
    <w:p w14:paraId="18B21177" w14:textId="77777777" w:rsidR="00381113" w:rsidRDefault="00381113">
      <w:pPr>
        <w:rPr>
          <w:rFonts w:ascii="Arial" w:eastAsia="Arial" w:hAnsi="Arial" w:cs="Arial"/>
          <w:b/>
        </w:rPr>
      </w:pPr>
    </w:p>
    <w:p w14:paraId="0254D089" w14:textId="77777777" w:rsidR="00381113" w:rsidRDefault="0045053A">
      <w:pPr>
        <w:numPr>
          <w:ilvl w:val="0"/>
          <w:numId w:val="6"/>
        </w:numPr>
        <w:rPr>
          <w:rFonts w:ascii="Arial" w:eastAsia="Arial" w:hAnsi="Arial" w:cs="Arial"/>
          <w:b/>
        </w:rPr>
      </w:pPr>
      <w:r>
        <w:rPr>
          <w:rFonts w:ascii="Arial" w:eastAsia="Arial" w:hAnsi="Arial" w:cs="Arial"/>
          <w:b/>
          <w:u w:val="single"/>
        </w:rPr>
        <w:t>Przedmiot zamówienia</w:t>
      </w:r>
    </w:p>
    <w:p w14:paraId="0AD0C421" w14:textId="77777777" w:rsidR="00381113" w:rsidRDefault="0045053A">
      <w:pPr>
        <w:spacing w:before="120" w:after="120" w:line="276" w:lineRule="auto"/>
        <w:jc w:val="both"/>
        <w:rPr>
          <w:rFonts w:ascii="Arial" w:eastAsia="Arial" w:hAnsi="Arial" w:cs="Arial"/>
        </w:rPr>
      </w:pPr>
      <w:r>
        <w:rPr>
          <w:rFonts w:ascii="Arial" w:eastAsia="Arial" w:hAnsi="Arial" w:cs="Arial"/>
        </w:rPr>
        <w:t>Przedmiotem zamówienia jest uruchomienie “</w:t>
      </w:r>
      <w:r>
        <w:rPr>
          <w:rFonts w:ascii="Arial" w:eastAsia="Arial" w:hAnsi="Arial" w:cs="Arial"/>
          <w:b/>
        </w:rPr>
        <w:t>Inkubatora kwalifikacji z 1 i 2 poziomem PRK”</w:t>
      </w:r>
      <w:r>
        <w:rPr>
          <w:rFonts w:ascii="Arial" w:eastAsia="Arial" w:hAnsi="Arial" w:cs="Arial"/>
        </w:rPr>
        <w:t>. W ramach inkubatora zespoły eksperckie, przy wsparciu metodycznym Zamawiającego, opracują łącznie 6 opisów kwalifikacji wolnorynkowych lub sektorowych z 1 i 2 poziomem PRK oraz 6 tabel zgodności (dla tych kwalifikacji) w oparciu o charakterystyki Polskiej Ramy Kwalifikacji. Przygotowanie dwóch opisów kwalifikacji wolnorynkowej/sektorowej oraz dwóch tabel zgodności stanowi komplet produktów wymaganych do przygotowania w ramach jednej części zamówienia.</w:t>
      </w:r>
    </w:p>
    <w:p w14:paraId="0600EDDA" w14:textId="77777777" w:rsidR="00381113" w:rsidRDefault="0045053A">
      <w:pPr>
        <w:spacing w:before="120" w:after="120" w:line="276" w:lineRule="auto"/>
        <w:jc w:val="both"/>
        <w:rPr>
          <w:rFonts w:ascii="Arial" w:eastAsia="Arial" w:hAnsi="Arial" w:cs="Arial"/>
        </w:rPr>
      </w:pPr>
      <w:r>
        <w:rPr>
          <w:rFonts w:ascii="Arial" w:eastAsia="Arial" w:hAnsi="Arial" w:cs="Arial"/>
        </w:rPr>
        <w:t>Zamówienie składa się z 3 części (obszarów):</w:t>
      </w:r>
    </w:p>
    <w:p w14:paraId="6CB16FB8" w14:textId="77777777" w:rsidR="00381113" w:rsidRDefault="0045053A">
      <w:pPr>
        <w:numPr>
          <w:ilvl w:val="0"/>
          <w:numId w:val="12"/>
        </w:numPr>
      </w:pPr>
      <w:r>
        <w:rPr>
          <w:rFonts w:ascii="Arial" w:eastAsia="Arial" w:hAnsi="Arial" w:cs="Arial"/>
        </w:rPr>
        <w:t>handel</w:t>
      </w:r>
    </w:p>
    <w:p w14:paraId="6E17C4E1" w14:textId="77777777" w:rsidR="00381113" w:rsidRDefault="0045053A">
      <w:pPr>
        <w:numPr>
          <w:ilvl w:val="0"/>
          <w:numId w:val="12"/>
        </w:numPr>
      </w:pPr>
      <w:r>
        <w:rPr>
          <w:rFonts w:ascii="Arial" w:eastAsia="Arial" w:hAnsi="Arial" w:cs="Arial"/>
        </w:rPr>
        <w:t>budownictwo</w:t>
      </w:r>
    </w:p>
    <w:p w14:paraId="20E8D95C" w14:textId="77777777" w:rsidR="00381113" w:rsidRDefault="0045053A">
      <w:pPr>
        <w:numPr>
          <w:ilvl w:val="0"/>
          <w:numId w:val="12"/>
        </w:numPr>
      </w:pPr>
      <w:r>
        <w:rPr>
          <w:rFonts w:ascii="Arial" w:eastAsia="Arial" w:hAnsi="Arial" w:cs="Arial"/>
        </w:rPr>
        <w:t>gospodarowanie odpadami</w:t>
      </w:r>
    </w:p>
    <w:p w14:paraId="1FE76E5F" w14:textId="77777777" w:rsidR="00381113" w:rsidRDefault="0045053A">
      <w:pPr>
        <w:spacing w:before="120" w:after="120" w:line="276" w:lineRule="auto"/>
        <w:jc w:val="both"/>
        <w:rPr>
          <w:rFonts w:ascii="Arial" w:eastAsia="Arial" w:hAnsi="Arial" w:cs="Arial"/>
        </w:rPr>
      </w:pPr>
      <w:r>
        <w:rPr>
          <w:rFonts w:ascii="Arial" w:eastAsia="Arial" w:hAnsi="Arial" w:cs="Arial"/>
        </w:rPr>
        <w:t>Wymienione części (obszary) zostały wskazane przez Zamawiającego na podstawie analizy Sektorowych Ram Kwalifikacji, w których zostały opisane 1 i 2 poziom SRK. Szczegółowa analiza deskryptorów pozwoliła na identyfikację czynności, które wykonują osoby posiadające kwalifikację z 1 i 2 PRK (szczegółowy wykaz czynności w dalszej części OPZ – Tabela 3).</w:t>
      </w:r>
    </w:p>
    <w:p w14:paraId="0C820516" w14:textId="77777777" w:rsidR="00381113" w:rsidRDefault="0045053A">
      <w:pPr>
        <w:spacing w:before="120" w:after="120" w:line="276" w:lineRule="auto"/>
        <w:jc w:val="both"/>
        <w:rPr>
          <w:rFonts w:ascii="Arial" w:eastAsia="Arial" w:hAnsi="Arial" w:cs="Arial"/>
          <w:shd w:val="clear" w:color="auto" w:fill="FF9900"/>
        </w:rPr>
      </w:pPr>
      <w:r>
        <w:rPr>
          <w:rFonts w:ascii="Arial" w:eastAsia="Arial" w:hAnsi="Arial" w:cs="Arial"/>
        </w:rPr>
        <w:t>Zespoły eksperckie wskazane i powołane przez Wykonawców (oddzielne dla każdej z dwóch kwalifikacji opisanych w ramach jednego obszaru) przygotują łącznie dwa komplety dokumentów w każdym obszarze.</w:t>
      </w:r>
    </w:p>
    <w:p w14:paraId="7309D6E9" w14:textId="77777777" w:rsidR="00381113" w:rsidRDefault="0045053A">
      <w:pPr>
        <w:spacing w:before="120" w:after="120" w:line="276" w:lineRule="auto"/>
        <w:jc w:val="both"/>
        <w:rPr>
          <w:rFonts w:ascii="Arial" w:eastAsia="Arial" w:hAnsi="Arial" w:cs="Arial"/>
        </w:rPr>
      </w:pPr>
      <w:r>
        <w:rPr>
          <w:rFonts w:ascii="Arial" w:eastAsia="Arial" w:hAnsi="Arial" w:cs="Arial"/>
        </w:rPr>
        <w:t xml:space="preserve">Wykonawca (samodzielnie lub jako członek konsorcjum) może złożyć ofertę maksymalnie na dwie części. W ramach każdej części zaproponuje dwie koncepcje kwalifikacji wolnorynkowych lub sektorowych, odnosząc się bezpośrednio do czynności wskazanych przez Zamawiającego w Tabeli 3. Koncepcje zostaną wyrażone w nazwach sformułowanych zgodnie z zasadami przyjętymi dla kwalifikacji wolnorynkowych lub sektorowych oraz opisie zapotrzebowania na kwalifikację wolnorynkową lub sektorową. </w:t>
      </w:r>
    </w:p>
    <w:p w14:paraId="5B869224" w14:textId="77777777" w:rsidR="00381113" w:rsidRDefault="0045053A">
      <w:pPr>
        <w:spacing w:before="120" w:after="120" w:line="276" w:lineRule="auto"/>
        <w:jc w:val="both"/>
        <w:rPr>
          <w:rFonts w:ascii="Arial" w:eastAsia="Arial" w:hAnsi="Arial" w:cs="Arial"/>
        </w:rPr>
      </w:pPr>
      <w:r>
        <w:rPr>
          <w:rFonts w:ascii="Arial" w:eastAsia="Arial" w:hAnsi="Arial" w:cs="Arial"/>
        </w:rPr>
        <w:t xml:space="preserve">Zaproponowane przez Oferenta nazwy kwalifikacji mogą ulec zmianie (doprecyzowanie, zawężenie lub rozszerzenie zakresu merytorycznego) w trakcie realizacji zamówienia, jednak ich meritum musi pozostać bez zmiany (wyjątek stanowi sytuacja, w której wniosek o włączenie kwalifikacji o takiej samej nazwie lub zakresie zostanie złożony do Zintegrowanego Rejestru Kwalifikacji w trakcie realizacji zamówienia lub na wniosek Zamawiającego). Efektem realizacji </w:t>
      </w:r>
      <w:r>
        <w:rPr>
          <w:rFonts w:ascii="Arial" w:eastAsia="Arial" w:hAnsi="Arial" w:cs="Arial"/>
        </w:rPr>
        <w:lastRenderedPageBreak/>
        <w:t xml:space="preserve">zamówienia będą produkty w postaci 2 kompletów dokumentów w ramach każdej z trzech części (łącznie 6 kompletów dokumentów): </w:t>
      </w:r>
    </w:p>
    <w:p w14:paraId="54A165B0" w14:textId="77777777" w:rsidR="00381113" w:rsidRDefault="0045053A">
      <w:pPr>
        <w:numPr>
          <w:ilvl w:val="0"/>
          <w:numId w:val="5"/>
        </w:numPr>
        <w:spacing w:before="120" w:after="0" w:line="276" w:lineRule="auto"/>
        <w:jc w:val="both"/>
        <w:rPr>
          <w:rFonts w:ascii="Arial" w:eastAsia="Arial" w:hAnsi="Arial" w:cs="Arial"/>
        </w:rPr>
      </w:pPr>
      <w:r>
        <w:rPr>
          <w:rFonts w:ascii="Arial" w:eastAsia="Arial" w:hAnsi="Arial" w:cs="Arial"/>
        </w:rPr>
        <w:t>wypełniony formularz opisu kwalifikacji wolnorynkowej lub sektorowej, przygotowany zgodnie z Ustawą z dnia 22 grudnia 2015 r. o Zintegrowanym Systemie Kwalifikacji (Ustawa o ZSK) (Załącznik nr 1);</w:t>
      </w:r>
    </w:p>
    <w:p w14:paraId="4EC6FF62" w14:textId="77777777" w:rsidR="00381113" w:rsidRDefault="0045053A">
      <w:pPr>
        <w:numPr>
          <w:ilvl w:val="0"/>
          <w:numId w:val="5"/>
        </w:numPr>
        <w:spacing w:after="0" w:line="276" w:lineRule="auto"/>
        <w:jc w:val="both"/>
        <w:rPr>
          <w:rFonts w:ascii="Arial" w:eastAsia="Arial" w:hAnsi="Arial" w:cs="Arial"/>
        </w:rPr>
      </w:pPr>
      <w:r>
        <w:rPr>
          <w:rFonts w:ascii="Arial" w:eastAsia="Arial" w:hAnsi="Arial" w:cs="Arial"/>
        </w:rPr>
        <w:t>wypełniony formularz tabeli zgodności (Załącznik nr 2).</w:t>
      </w:r>
    </w:p>
    <w:p w14:paraId="43402266" w14:textId="77777777" w:rsidR="00381113" w:rsidRDefault="0045053A">
      <w:pPr>
        <w:spacing w:before="120" w:after="120" w:line="276" w:lineRule="auto"/>
        <w:jc w:val="both"/>
        <w:rPr>
          <w:rFonts w:ascii="Arial" w:eastAsia="Arial" w:hAnsi="Arial" w:cs="Arial"/>
        </w:rPr>
      </w:pPr>
      <w:r>
        <w:rPr>
          <w:rFonts w:ascii="Arial" w:eastAsia="Arial" w:hAnsi="Arial" w:cs="Arial"/>
        </w:rPr>
        <w:t>Wszystkie dokumenty muszą zostać przygotowane na formularzach stanowiących załączniki do OPZ.</w:t>
      </w:r>
    </w:p>
    <w:p w14:paraId="0E748E0E" w14:textId="77777777" w:rsidR="00381113" w:rsidRDefault="0045053A">
      <w:pPr>
        <w:spacing w:before="120" w:after="120" w:line="276" w:lineRule="auto"/>
        <w:jc w:val="both"/>
        <w:rPr>
          <w:rFonts w:ascii="Arial" w:eastAsia="Arial" w:hAnsi="Arial" w:cs="Arial"/>
        </w:rPr>
      </w:pPr>
      <w:r>
        <w:rPr>
          <w:rFonts w:ascii="Arial" w:eastAsia="Arial" w:hAnsi="Arial" w:cs="Arial"/>
        </w:rPr>
        <w:t xml:space="preserve">Dokumenty będą opracowywane w odniesieniu do zaleceń opisanych w publikacjach: </w:t>
      </w:r>
    </w:p>
    <w:p w14:paraId="287A7140" w14:textId="77777777" w:rsidR="00381113" w:rsidRDefault="0045053A">
      <w:pPr>
        <w:numPr>
          <w:ilvl w:val="0"/>
          <w:numId w:val="8"/>
        </w:numPr>
        <w:spacing w:before="120" w:after="0" w:line="276" w:lineRule="auto"/>
        <w:jc w:val="both"/>
        <w:rPr>
          <w:rFonts w:ascii="Arial" w:eastAsia="Arial" w:hAnsi="Arial" w:cs="Arial"/>
        </w:rPr>
      </w:pPr>
      <w:r>
        <w:rPr>
          <w:rFonts w:ascii="Arial" w:eastAsia="Arial" w:hAnsi="Arial" w:cs="Arial"/>
        </w:rPr>
        <w:t xml:space="preserve">Ziewiec-Skokowska, G., Danowska-Florczyk, E., Stęchły, W. (red.). (2016). </w:t>
      </w:r>
      <w:r>
        <w:rPr>
          <w:rFonts w:ascii="Arial" w:eastAsia="Arial" w:hAnsi="Arial" w:cs="Arial"/>
          <w:i/>
        </w:rPr>
        <w:t>Opisywanie kwalifikacji nadawanych poza systemami oświaty i szkolnictwa wyższego. Poradnik</w:t>
      </w:r>
      <w:r>
        <w:rPr>
          <w:rFonts w:ascii="Arial" w:eastAsia="Arial" w:hAnsi="Arial" w:cs="Arial"/>
        </w:rPr>
        <w:t>. Warszawa: Instytut Badań Edukacyjnych</w:t>
      </w:r>
      <w:hyperlink r:id="rId8">
        <w:r>
          <w:rPr>
            <w:rFonts w:ascii="Arial" w:eastAsia="Arial" w:hAnsi="Arial" w:cs="Arial"/>
          </w:rPr>
          <w:t xml:space="preserve"> </w:t>
        </w:r>
      </w:hyperlink>
      <w:r>
        <w:rPr>
          <w:rFonts w:ascii="Arial" w:eastAsia="Arial" w:hAnsi="Arial" w:cs="Arial"/>
        </w:rPr>
        <w:t>[</w:t>
      </w:r>
      <w:hyperlink r:id="rId9">
        <w:r>
          <w:rPr>
            <w:rFonts w:ascii="Arial" w:eastAsia="Arial" w:hAnsi="Arial" w:cs="Arial"/>
            <w:color w:val="1155CC"/>
            <w:u w:val="single"/>
          </w:rPr>
          <w:t>https://www.kwalifikacje.gov.pl/download/Opisywanie_kwalifikacji.pdf</w:t>
        </w:r>
      </w:hyperlink>
      <w:r>
        <w:rPr>
          <w:rFonts w:ascii="Arial" w:eastAsia="Arial" w:hAnsi="Arial" w:cs="Arial"/>
        </w:rPr>
        <w:t xml:space="preserve">]; </w:t>
      </w:r>
    </w:p>
    <w:p w14:paraId="7C5766A2" w14:textId="77777777" w:rsidR="00381113" w:rsidRDefault="0045053A">
      <w:pPr>
        <w:numPr>
          <w:ilvl w:val="0"/>
          <w:numId w:val="8"/>
        </w:numPr>
        <w:spacing w:before="120" w:after="0" w:line="276" w:lineRule="auto"/>
        <w:jc w:val="both"/>
        <w:rPr>
          <w:rFonts w:ascii="Arial" w:eastAsia="Arial" w:hAnsi="Arial" w:cs="Arial"/>
        </w:rPr>
      </w:pPr>
      <w:r>
        <w:rPr>
          <w:rFonts w:ascii="Arial" w:eastAsia="Arial" w:hAnsi="Arial" w:cs="Arial"/>
        </w:rPr>
        <w:t xml:space="preserve">Strzemieczna, E. (red.). (2022). </w:t>
      </w:r>
      <w:r>
        <w:rPr>
          <w:rFonts w:ascii="Arial" w:eastAsia="Arial" w:hAnsi="Arial" w:cs="Arial"/>
          <w:i/>
        </w:rPr>
        <w:t>Jak opisać kwalifikację rynkową i zaprojektować dla niej walidację? Przewodnik.</w:t>
      </w:r>
      <w:r>
        <w:rPr>
          <w:rFonts w:ascii="Arial" w:eastAsia="Arial" w:hAnsi="Arial" w:cs="Arial"/>
        </w:rPr>
        <w:t xml:space="preserve"> Warszawa: Instytut Badań Edukacyjnych [</w:t>
      </w:r>
      <w:hyperlink r:id="rId10">
        <w:r>
          <w:rPr>
            <w:rFonts w:ascii="Arial" w:eastAsia="Arial" w:hAnsi="Arial" w:cs="Arial"/>
            <w:color w:val="1155CC"/>
            <w:u w:val="single"/>
          </w:rPr>
          <w:t>https://kwalifikacje.edu.pl/wp-content/uploads/Jak-opisac-kwalifikacje-rynkowa-i-zaprojektowac-dla-niej-walidacje-Przewodnik.pdf</w:t>
        </w:r>
      </w:hyperlink>
      <w:r>
        <w:rPr>
          <w:rFonts w:ascii="Arial" w:eastAsia="Arial" w:hAnsi="Arial" w:cs="Arial"/>
        </w:rPr>
        <w:t>];</w:t>
      </w:r>
    </w:p>
    <w:p w14:paraId="40095282" w14:textId="77777777" w:rsidR="00381113" w:rsidRDefault="0045053A">
      <w:pPr>
        <w:numPr>
          <w:ilvl w:val="0"/>
          <w:numId w:val="8"/>
        </w:numPr>
        <w:spacing w:after="0" w:line="276" w:lineRule="auto"/>
        <w:jc w:val="both"/>
        <w:rPr>
          <w:rFonts w:ascii="Arial" w:eastAsia="Arial" w:hAnsi="Arial" w:cs="Arial"/>
        </w:rPr>
      </w:pPr>
      <w:r>
        <w:rPr>
          <w:rFonts w:ascii="Arial" w:eastAsia="Arial" w:hAnsi="Arial" w:cs="Arial"/>
        </w:rPr>
        <w:t xml:space="preserve">Sławiński, S., (red.). (2020). </w:t>
      </w:r>
      <w:r>
        <w:rPr>
          <w:rFonts w:ascii="Arial" w:eastAsia="Arial" w:hAnsi="Arial" w:cs="Arial"/>
          <w:i/>
        </w:rPr>
        <w:t>Polska Rama Kwalifikacji. Poradnik użytkownika</w:t>
      </w:r>
      <w:r>
        <w:rPr>
          <w:rFonts w:ascii="Arial" w:eastAsia="Arial" w:hAnsi="Arial" w:cs="Arial"/>
        </w:rPr>
        <w:t xml:space="preserve">. Warszawa: Instytut Badań Edukacyjnych [https://kwalifikacje.gov.pl/images/Publikacje/Polska_Rama_Kwalifikacji_-_poradnik_u%C5%BCytkownika_wydanie_II_1.pdf]; </w:t>
      </w:r>
    </w:p>
    <w:p w14:paraId="40AF103B" w14:textId="77777777" w:rsidR="00381113" w:rsidRDefault="0045053A">
      <w:pPr>
        <w:numPr>
          <w:ilvl w:val="0"/>
          <w:numId w:val="8"/>
        </w:numPr>
        <w:spacing w:after="120" w:line="276" w:lineRule="auto"/>
        <w:jc w:val="both"/>
        <w:rPr>
          <w:rFonts w:ascii="Arial" w:eastAsia="Arial" w:hAnsi="Arial" w:cs="Arial"/>
        </w:rPr>
      </w:pPr>
      <w:r>
        <w:rPr>
          <w:rFonts w:ascii="Arial" w:eastAsia="Arial" w:hAnsi="Arial" w:cs="Arial"/>
        </w:rPr>
        <w:t xml:space="preserve">Ziewiec-Skokowska, G., Stęchły, W. i in., (2020), </w:t>
      </w:r>
      <w:r>
        <w:rPr>
          <w:rFonts w:ascii="Arial" w:eastAsia="Arial" w:hAnsi="Arial" w:cs="Arial"/>
          <w:i/>
        </w:rPr>
        <w:t>Przypisywanie poziomu PRK do kwalifikacji nadawanych poza systemami oświaty i szkolnictwa wyższego</w:t>
      </w:r>
      <w:r>
        <w:rPr>
          <w:rFonts w:ascii="Arial" w:eastAsia="Arial" w:hAnsi="Arial" w:cs="Arial"/>
        </w:rPr>
        <w:t xml:space="preserve">. Warszawa: Instytut Badań Edukacyjnych </w:t>
      </w:r>
      <w:hyperlink r:id="rId11">
        <w:r>
          <w:rPr>
            <w:rFonts w:ascii="Arial" w:eastAsia="Arial" w:hAnsi="Arial" w:cs="Arial"/>
          </w:rPr>
          <w:t>[https://kwalifikacje.gov.pl/images/Publikacje/Przypisywanie-poziomu-PRK-do-kwalifikacji-2020.pdf]</w:t>
        </w:r>
      </w:hyperlink>
      <w:r>
        <w:rPr>
          <w:rFonts w:ascii="Arial" w:eastAsia="Arial" w:hAnsi="Arial" w:cs="Arial"/>
        </w:rPr>
        <w:t xml:space="preserve">. </w:t>
      </w:r>
    </w:p>
    <w:p w14:paraId="170E7A75" w14:textId="77777777" w:rsidR="00381113" w:rsidRDefault="0045053A">
      <w:pPr>
        <w:spacing w:after="120" w:line="276" w:lineRule="auto"/>
        <w:jc w:val="both"/>
        <w:rPr>
          <w:rFonts w:ascii="Arial" w:eastAsia="Arial" w:hAnsi="Arial" w:cs="Arial"/>
        </w:rPr>
      </w:pPr>
      <w:r>
        <w:fldChar w:fldCharType="begin"/>
      </w:r>
      <w:r>
        <w:instrText xml:space="preserve"> HYPERLINK "http://www.kwalifikacje.edu.pl/pl/publikacje/1153-przypisywanie-poziomu-prk-do-kwalifikacji-nadawanych-poza-systemami-oswiaty-i-szkolnictwa-wyzszego" </w:instrText>
      </w:r>
      <w:r>
        <w:fldChar w:fldCharType="separate"/>
      </w:r>
    </w:p>
    <w:p w14:paraId="217C97DF" w14:textId="77777777" w:rsidR="00381113" w:rsidRDefault="0045053A">
      <w:pPr>
        <w:spacing w:before="280" w:after="120" w:line="240" w:lineRule="auto"/>
        <w:jc w:val="both"/>
        <w:rPr>
          <w:rFonts w:ascii="Arial" w:eastAsia="Arial" w:hAnsi="Arial" w:cs="Arial"/>
        </w:rPr>
      </w:pPr>
      <w:r>
        <w:fldChar w:fldCharType="end"/>
      </w:r>
      <w:r>
        <w:rPr>
          <w:rFonts w:ascii="Arial" w:eastAsia="Arial" w:hAnsi="Arial" w:cs="Arial"/>
        </w:rPr>
        <w:t xml:space="preserve">Przykładowe opisy kwalifikacji rynkowych (obecnie wolnorynkowych) są dostępne na stronie Inkubatora Kwalifikacji: </w:t>
      </w:r>
      <w:hyperlink r:id="rId12">
        <w:r>
          <w:rPr>
            <w:rFonts w:ascii="Arial" w:eastAsia="Arial" w:hAnsi="Arial" w:cs="Arial"/>
            <w:color w:val="1155CC"/>
            <w:u w:val="single"/>
          </w:rPr>
          <w:t>https://kwalifikacje.edu.pl/inkubator-kwalifikacji/</w:t>
        </w:r>
      </w:hyperlink>
    </w:p>
    <w:p w14:paraId="43DB16C9" w14:textId="77777777" w:rsidR="00381113" w:rsidRDefault="0045053A">
      <w:pPr>
        <w:spacing w:before="280" w:after="120" w:line="240" w:lineRule="auto"/>
        <w:jc w:val="both"/>
        <w:rPr>
          <w:rFonts w:ascii="Arial" w:eastAsia="Arial" w:hAnsi="Arial" w:cs="Arial"/>
        </w:rPr>
      </w:pPr>
      <w:r>
        <w:rPr>
          <w:rFonts w:ascii="Arial" w:eastAsia="Arial" w:hAnsi="Arial" w:cs="Arial"/>
        </w:rPr>
        <w:t>Opisy te zostały przygotowane przed przed wejściem w życie Ustawa z dnia 30 sierpnia 2023 r. o zmianie ustawy - Prawo oświatowe oraz niektórych innych ustaw (Dz.U. 2023 poz. 2005), która wprowadziła zmiany we wniosku o włączenie kwalifikacji do ZSK.</w:t>
      </w:r>
    </w:p>
    <w:p w14:paraId="4705EF84" w14:textId="77777777" w:rsidR="00381113" w:rsidRDefault="0045053A">
      <w:pPr>
        <w:spacing w:before="280" w:after="120" w:line="240" w:lineRule="auto"/>
        <w:jc w:val="both"/>
        <w:rPr>
          <w:rFonts w:ascii="Arial" w:eastAsia="Arial" w:hAnsi="Arial" w:cs="Arial"/>
        </w:rPr>
      </w:pPr>
      <w:r>
        <w:rPr>
          <w:rFonts w:ascii="Arial" w:eastAsia="Arial" w:hAnsi="Arial" w:cs="Arial"/>
        </w:rPr>
        <w:t>Wykonawca będzie mógł złożyć opracowane przez siebie w ramach realizacji zamówienia wnioski o włączenie kwalifikacji wolnorynkowej lub sektorowej do ZSK, jednak nie wcześniej niż 2 miesiące po ich upublicznieniu. Zamawiający zakłada, że efekty zrealizowanych działań będą pełnić rolę dobrych praktyk. Wypracowane rozwiązania stanowić będą wsparcie dla podmiotów zainteresowanych włączeniem kwalifikacji wolnorynkowych lub  lub sektorowych do ZSK oraz planujących zostać instytucjami certyfikującymi.</w:t>
      </w:r>
    </w:p>
    <w:p w14:paraId="49C27444" w14:textId="77777777" w:rsidR="00381113" w:rsidRDefault="0045053A">
      <w:pPr>
        <w:spacing w:before="280" w:after="120" w:line="240" w:lineRule="auto"/>
        <w:ind w:left="1155"/>
        <w:jc w:val="both"/>
        <w:rPr>
          <w:rFonts w:ascii="Arial" w:eastAsia="Arial" w:hAnsi="Arial" w:cs="Arial"/>
          <w:b/>
          <w:u w:val="single"/>
        </w:rPr>
      </w:pPr>
      <w:r>
        <w:rPr>
          <w:rFonts w:ascii="Arial" w:eastAsia="Arial" w:hAnsi="Arial" w:cs="Arial"/>
          <w:b/>
        </w:rPr>
        <w:t xml:space="preserve">II. </w:t>
      </w:r>
      <w:r>
        <w:rPr>
          <w:rFonts w:ascii="Arial" w:eastAsia="Arial" w:hAnsi="Arial" w:cs="Arial"/>
          <w:b/>
          <w:u w:val="single"/>
        </w:rPr>
        <w:t>Sposób realizacji zamówienia</w:t>
      </w:r>
    </w:p>
    <w:p w14:paraId="43F34253" w14:textId="77777777" w:rsidR="00381113" w:rsidRDefault="0045053A">
      <w:pPr>
        <w:spacing w:before="280" w:after="120" w:line="240" w:lineRule="auto"/>
        <w:jc w:val="both"/>
        <w:rPr>
          <w:rFonts w:ascii="Arial" w:eastAsia="Arial" w:hAnsi="Arial" w:cs="Arial"/>
        </w:rPr>
      </w:pPr>
      <w:r>
        <w:rPr>
          <w:rFonts w:ascii="Arial" w:eastAsia="Arial" w:hAnsi="Arial" w:cs="Arial"/>
        </w:rPr>
        <w:t>Zamówienie będzie realizowane przez zespoły eksperckie opisane w pkt IV zgodnie z harmonogramem z pkt V. Każdy zespół ekspercki otrzyma wsparcie metodyczne realizowane przez pracowników IBE. Wsparcie obejmie:</w:t>
      </w:r>
    </w:p>
    <w:p w14:paraId="66443A06" w14:textId="3BD7C88D" w:rsidR="00381113" w:rsidRDefault="0045053A">
      <w:pPr>
        <w:numPr>
          <w:ilvl w:val="0"/>
          <w:numId w:val="9"/>
        </w:numPr>
        <w:spacing w:before="280" w:after="0" w:line="240" w:lineRule="auto"/>
        <w:jc w:val="both"/>
        <w:rPr>
          <w:rFonts w:ascii="Arial" w:eastAsia="Arial" w:hAnsi="Arial" w:cs="Arial"/>
        </w:rPr>
      </w:pPr>
      <w:r>
        <w:rPr>
          <w:rFonts w:ascii="Arial" w:eastAsia="Arial" w:hAnsi="Arial" w:cs="Arial"/>
        </w:rPr>
        <w:lastRenderedPageBreak/>
        <w:t>przeszkolenie ekspertów z zakresu Zintegrowanego Systemu Kwalifikacji oraz opisywania kwalifikacji wolnorynkowych lub  sektorowych (stacjonarnie lub online),</w:t>
      </w:r>
    </w:p>
    <w:p w14:paraId="6272EA25" w14:textId="77777777" w:rsidR="00381113" w:rsidRDefault="0045053A">
      <w:pPr>
        <w:numPr>
          <w:ilvl w:val="0"/>
          <w:numId w:val="9"/>
        </w:numPr>
        <w:spacing w:after="120" w:line="240" w:lineRule="auto"/>
        <w:jc w:val="both"/>
        <w:rPr>
          <w:rFonts w:ascii="Arial" w:eastAsia="Arial" w:hAnsi="Arial" w:cs="Arial"/>
        </w:rPr>
      </w:pPr>
      <w:r>
        <w:rPr>
          <w:rFonts w:ascii="Arial" w:eastAsia="Arial" w:hAnsi="Arial" w:cs="Arial"/>
        </w:rPr>
        <w:t>uczestnictwo minimum jednego eksperta metodycznego z IBE w każdym spotkaniu roboczym mającym na celu wypracowanie dokumentów (załącznik 1 i 2),</w:t>
      </w:r>
    </w:p>
    <w:p w14:paraId="6D8D71D8" w14:textId="77777777" w:rsidR="00381113" w:rsidRDefault="0045053A">
      <w:pPr>
        <w:numPr>
          <w:ilvl w:val="0"/>
          <w:numId w:val="9"/>
        </w:numPr>
        <w:spacing w:after="120" w:line="240" w:lineRule="auto"/>
        <w:jc w:val="both"/>
        <w:rPr>
          <w:rFonts w:ascii="Arial" w:eastAsia="Arial" w:hAnsi="Arial" w:cs="Arial"/>
        </w:rPr>
      </w:pPr>
      <w:r>
        <w:rPr>
          <w:rFonts w:ascii="Arial" w:eastAsia="Arial" w:hAnsi="Arial" w:cs="Arial"/>
        </w:rPr>
        <w:t xml:space="preserve">nadzór metodyczny nad przygotowaniem określonego w zamówieniu kompletu produktów. </w:t>
      </w:r>
    </w:p>
    <w:p w14:paraId="66555497" w14:textId="77777777" w:rsidR="00381113" w:rsidRDefault="0045053A">
      <w:pPr>
        <w:spacing w:before="280" w:after="120" w:line="240" w:lineRule="auto"/>
        <w:jc w:val="both"/>
        <w:rPr>
          <w:rFonts w:ascii="Arial" w:eastAsia="Arial" w:hAnsi="Arial" w:cs="Arial"/>
        </w:rPr>
      </w:pPr>
      <w:r>
        <w:rPr>
          <w:rFonts w:ascii="Arial" w:eastAsia="Arial" w:hAnsi="Arial" w:cs="Arial"/>
        </w:rPr>
        <w:t xml:space="preserve">Koszty organizacji spotkań z udziałem metodyków z IBE ponosi Zamawiający. W przypadku spotkań stacjonarnych koszty obejmują: wynajem sali, catering, zwrot kosztów dojazdów i ewentualnych noclegów ekspertów. W przypadku spotkań w formule online Zamawiający zapewnia platformę komunikacyjną. </w:t>
      </w:r>
    </w:p>
    <w:p w14:paraId="729B1F10" w14:textId="77777777" w:rsidR="00381113" w:rsidRDefault="0045053A">
      <w:pPr>
        <w:spacing w:before="280" w:after="120" w:line="240" w:lineRule="auto"/>
        <w:jc w:val="both"/>
        <w:rPr>
          <w:rFonts w:ascii="Arial" w:eastAsia="Arial" w:hAnsi="Arial" w:cs="Arial"/>
        </w:rPr>
      </w:pPr>
      <w:r>
        <w:rPr>
          <w:rFonts w:ascii="Arial" w:eastAsia="Arial" w:hAnsi="Arial" w:cs="Arial"/>
        </w:rPr>
        <w:t>Współpraca przy realizacji zamówienia między Zamawiającym a Wykonawcą będzie przebiegać według następujących zasad:</w:t>
      </w:r>
    </w:p>
    <w:p w14:paraId="44038C78" w14:textId="77777777" w:rsidR="00381113" w:rsidRDefault="0045053A">
      <w:pPr>
        <w:numPr>
          <w:ilvl w:val="0"/>
          <w:numId w:val="7"/>
        </w:numPr>
        <w:spacing w:after="0" w:line="240" w:lineRule="auto"/>
        <w:jc w:val="both"/>
        <w:rPr>
          <w:rFonts w:ascii="Arial" w:eastAsia="Arial" w:hAnsi="Arial" w:cs="Arial"/>
        </w:rPr>
      </w:pPr>
      <w:r>
        <w:rPr>
          <w:rFonts w:ascii="Arial" w:eastAsia="Arial" w:hAnsi="Arial" w:cs="Arial"/>
        </w:rPr>
        <w:t>Zamawiający przewiduje średnio 3-4 spotkania robocze dla każdej kwalifikacji (stacjonarne lub online) w celu opracowania dokumentów.</w:t>
      </w:r>
    </w:p>
    <w:p w14:paraId="5730A18C" w14:textId="77777777" w:rsidR="00381113" w:rsidRDefault="0045053A">
      <w:pPr>
        <w:numPr>
          <w:ilvl w:val="0"/>
          <w:numId w:val="7"/>
        </w:numPr>
        <w:spacing w:after="0" w:line="240" w:lineRule="auto"/>
        <w:jc w:val="both"/>
        <w:rPr>
          <w:rFonts w:ascii="Arial" w:eastAsia="Arial" w:hAnsi="Arial" w:cs="Arial"/>
        </w:rPr>
      </w:pPr>
      <w:r>
        <w:rPr>
          <w:rFonts w:ascii="Arial" w:eastAsia="Arial" w:hAnsi="Arial" w:cs="Arial"/>
        </w:rPr>
        <w:t xml:space="preserve">Do pracy na spotkaniach będzie wykorzystywana platforma online (Google), do której każdy z ekspertów będzie mieć dostęp. Na platformie zamieszczone zostaną pliki z roboczymi formularzami: opisu kwalifikacji, tabeli zgodności oraz inne materiały niezbędne do wytworzenia produktów. </w:t>
      </w:r>
    </w:p>
    <w:p w14:paraId="7FB25C69" w14:textId="77777777" w:rsidR="00381113" w:rsidRDefault="0045053A">
      <w:pPr>
        <w:numPr>
          <w:ilvl w:val="0"/>
          <w:numId w:val="7"/>
        </w:numPr>
        <w:spacing w:after="0" w:line="240" w:lineRule="auto"/>
        <w:jc w:val="both"/>
        <w:rPr>
          <w:rFonts w:ascii="Arial" w:eastAsia="Arial" w:hAnsi="Arial" w:cs="Arial"/>
        </w:rPr>
      </w:pPr>
      <w:r>
        <w:rPr>
          <w:rFonts w:ascii="Arial" w:eastAsia="Arial" w:hAnsi="Arial" w:cs="Arial"/>
        </w:rPr>
        <w:t xml:space="preserve">Zamawiający zastrzega sobie możliwość nagrywania spotkań. </w:t>
      </w:r>
    </w:p>
    <w:p w14:paraId="78901F34" w14:textId="77777777" w:rsidR="00381113" w:rsidRDefault="0045053A">
      <w:pPr>
        <w:numPr>
          <w:ilvl w:val="0"/>
          <w:numId w:val="7"/>
        </w:numPr>
        <w:spacing w:after="0" w:line="240" w:lineRule="auto"/>
        <w:jc w:val="both"/>
        <w:rPr>
          <w:rFonts w:ascii="Arial" w:eastAsia="Arial" w:hAnsi="Arial" w:cs="Arial"/>
        </w:rPr>
      </w:pPr>
      <w:r>
        <w:rPr>
          <w:rFonts w:ascii="Arial" w:eastAsia="Arial" w:hAnsi="Arial" w:cs="Arial"/>
        </w:rPr>
        <w:t>Aktywna obecność wszystkich ekspertów biorących udział w realizacji zamówienia, na każdym ze spotkań, jest obowiązkowa. Ewentualna nieobecność jest możliwa tylko po uprzednim poinformowaniu eksperta metodycznego z IBE i jego zgodzie. W przypadku nieuzgodnionej nieobecności Zamawiający zastrzega sobie prawo do naliczenia kary umownej w wysokości 1000 PLN brutto.</w:t>
      </w:r>
    </w:p>
    <w:p w14:paraId="4C09FFDB" w14:textId="77777777" w:rsidR="00381113" w:rsidRDefault="0045053A">
      <w:pPr>
        <w:numPr>
          <w:ilvl w:val="0"/>
          <w:numId w:val="7"/>
        </w:numPr>
        <w:spacing w:after="0" w:line="240" w:lineRule="auto"/>
        <w:jc w:val="both"/>
        <w:rPr>
          <w:rFonts w:ascii="Arial" w:eastAsia="Arial" w:hAnsi="Arial" w:cs="Arial"/>
          <w:b/>
        </w:rPr>
      </w:pPr>
      <w:r>
        <w:rPr>
          <w:rFonts w:ascii="Arial" w:eastAsia="Arial" w:hAnsi="Arial" w:cs="Arial"/>
          <w:b/>
        </w:rPr>
        <w:t>W spotkaniach roboczych z udziałem ekspertów metodycznych z IBE mogą brać udział tylko eksperci merytoryczni wymienieni w ofercie (pkt IV).</w:t>
      </w:r>
    </w:p>
    <w:p w14:paraId="36A9590A" w14:textId="77777777" w:rsidR="00381113" w:rsidRDefault="0045053A">
      <w:pPr>
        <w:numPr>
          <w:ilvl w:val="0"/>
          <w:numId w:val="7"/>
        </w:numPr>
        <w:spacing w:after="0" w:line="240" w:lineRule="auto"/>
        <w:jc w:val="both"/>
        <w:rPr>
          <w:rFonts w:ascii="Arial" w:eastAsia="Arial" w:hAnsi="Arial" w:cs="Arial"/>
        </w:rPr>
      </w:pPr>
      <w:r>
        <w:rPr>
          <w:rFonts w:ascii="Arial" w:eastAsia="Arial" w:hAnsi="Arial" w:cs="Arial"/>
        </w:rPr>
        <w:t>Niewywiązywanie się przez ekspertów z powierzonych im zadań może skutkować wnioskiem ze strony Zamawiającego o powołanie innego eksperta, którego kompetencje będą tożsame z kryteriami określonymi w zamówieniu. Kandydatury ekspertów zastępczych będą wymagały akceptacji Zamawiającego. Jeżeli Zamawiający uzna, że nie uda się osiągnąć zamierzonego efektu, może podjąć decyzję o potrzebie zwiększenia liczby członków zespołu ekspertów. Zwiększenie liczby członków zespołu ekspertów nie pociąga za sobą dodatkowych kosztów ze strony Zamawiającego.</w:t>
      </w:r>
    </w:p>
    <w:p w14:paraId="19C99E5D" w14:textId="77777777" w:rsidR="00381113" w:rsidRDefault="0045053A">
      <w:pPr>
        <w:numPr>
          <w:ilvl w:val="0"/>
          <w:numId w:val="7"/>
        </w:numPr>
        <w:spacing w:after="120" w:line="240" w:lineRule="auto"/>
        <w:jc w:val="both"/>
        <w:rPr>
          <w:rFonts w:ascii="Arial" w:eastAsia="Arial" w:hAnsi="Arial" w:cs="Arial"/>
        </w:rPr>
      </w:pPr>
      <w:r>
        <w:rPr>
          <w:rFonts w:ascii="Arial" w:eastAsia="Arial" w:hAnsi="Arial" w:cs="Arial"/>
        </w:rPr>
        <w:t>Uzasadnieniem dla negatywnej oceny pracy danego eksperta lub zespołu ekspertów, skutkującym zwiększeniem zaangażowania dodatkowych ekspertów lub zmianę eksperta może być w szczególności: brak wymaganych kwalifikacji, brak zaangażowania w prace zespołu lub sabotowanie prac zespołu, niewywiązywanie się z obowiązku pracy własnej między spotkaniami roboczymi z Zamawiającym.</w:t>
      </w:r>
    </w:p>
    <w:p w14:paraId="66CD256F" w14:textId="77777777" w:rsidR="00381113" w:rsidRDefault="0045053A">
      <w:pPr>
        <w:spacing w:before="280" w:after="120" w:line="240" w:lineRule="auto"/>
        <w:ind w:left="1155"/>
        <w:jc w:val="both"/>
        <w:rPr>
          <w:rFonts w:ascii="Arial" w:eastAsia="Arial" w:hAnsi="Arial" w:cs="Arial"/>
          <w:b/>
          <w:u w:val="single"/>
        </w:rPr>
      </w:pPr>
      <w:r>
        <w:rPr>
          <w:rFonts w:ascii="Arial" w:eastAsia="Arial" w:hAnsi="Arial" w:cs="Arial"/>
          <w:b/>
        </w:rPr>
        <w:t xml:space="preserve">III. </w:t>
      </w:r>
      <w:r>
        <w:rPr>
          <w:rFonts w:ascii="Arial" w:eastAsia="Arial" w:hAnsi="Arial" w:cs="Arial"/>
          <w:b/>
          <w:u w:val="single"/>
        </w:rPr>
        <w:t xml:space="preserve">Produkty </w:t>
      </w:r>
    </w:p>
    <w:p w14:paraId="6721F062" w14:textId="77777777" w:rsidR="00381113" w:rsidRDefault="0045053A">
      <w:pPr>
        <w:spacing w:after="120" w:line="240" w:lineRule="auto"/>
        <w:jc w:val="both"/>
        <w:rPr>
          <w:rFonts w:ascii="Arial" w:eastAsia="Arial" w:hAnsi="Arial" w:cs="Arial"/>
        </w:rPr>
      </w:pPr>
      <w:r>
        <w:rPr>
          <w:rFonts w:ascii="Arial" w:eastAsia="Arial" w:hAnsi="Arial" w:cs="Arial"/>
        </w:rPr>
        <w:t>W wyniku realizacji zamówienia powstanie: 6 opisów kwalifikacji wolnorynkowych lub sektorowych oraz 6 tabel zgodności (patrz a) i b) w pkt I), tzn. na każdy komplet dokumentów będą składać się:</w:t>
      </w:r>
    </w:p>
    <w:p w14:paraId="1C0FD05F" w14:textId="77777777" w:rsidR="00381113" w:rsidRDefault="0045053A">
      <w:pPr>
        <w:numPr>
          <w:ilvl w:val="0"/>
          <w:numId w:val="10"/>
        </w:numPr>
        <w:spacing w:after="120" w:line="240" w:lineRule="auto"/>
        <w:jc w:val="both"/>
        <w:rPr>
          <w:rFonts w:ascii="Arial" w:eastAsia="Arial" w:hAnsi="Arial" w:cs="Arial"/>
        </w:rPr>
      </w:pPr>
      <w:r>
        <w:rPr>
          <w:rFonts w:ascii="Arial" w:eastAsia="Arial" w:hAnsi="Arial" w:cs="Arial"/>
          <w:u w:val="single"/>
        </w:rPr>
        <w:t>wypełniony formularz opisu kwalifikacji wolnorynkowej lub  lub sektorowej</w:t>
      </w:r>
    </w:p>
    <w:p w14:paraId="25B98E27" w14:textId="77777777" w:rsidR="00381113" w:rsidRDefault="0045053A">
      <w:pPr>
        <w:spacing w:line="240" w:lineRule="auto"/>
        <w:jc w:val="both"/>
        <w:rPr>
          <w:rFonts w:ascii="Arial" w:eastAsia="Arial" w:hAnsi="Arial" w:cs="Arial"/>
        </w:rPr>
      </w:pPr>
      <w:r>
        <w:rPr>
          <w:rFonts w:ascii="Arial" w:eastAsia="Arial" w:hAnsi="Arial" w:cs="Arial"/>
        </w:rPr>
        <w:t xml:space="preserve">Przez „Wypełniony formularz opisu kwalifikacji wolnorynkowej lub sektorowej” Zamawiający rozumie dokument stworzony zgodnie z zaleceniami zawartymi w komentarzach do pól formularza (Załącznik 1). Opis musi wynikać z aktualnej wiedzy z obszaru, którego dotyczy kwalifikacja, oraz spełniać wymagania Ustawy o ZSK i uwzględniać zalecenia zawarte w </w:t>
      </w:r>
      <w:r>
        <w:rPr>
          <w:rFonts w:ascii="Arial" w:eastAsia="Arial" w:hAnsi="Arial" w:cs="Arial"/>
        </w:rPr>
        <w:lastRenderedPageBreak/>
        <w:t>publikacjach IBE dotyczących ZSK wymienionych w pkt I, a także powinien zostać poddany profesjonalnej redakcji i korekcie językowej.</w:t>
      </w:r>
    </w:p>
    <w:p w14:paraId="5A8F2623" w14:textId="77777777" w:rsidR="00381113" w:rsidRDefault="0045053A">
      <w:pPr>
        <w:numPr>
          <w:ilvl w:val="0"/>
          <w:numId w:val="10"/>
        </w:numPr>
        <w:spacing w:before="120" w:after="120" w:line="276" w:lineRule="auto"/>
        <w:jc w:val="both"/>
        <w:rPr>
          <w:rFonts w:ascii="Arial" w:eastAsia="Arial" w:hAnsi="Arial" w:cs="Arial"/>
        </w:rPr>
      </w:pPr>
      <w:r>
        <w:rPr>
          <w:rFonts w:ascii="Arial" w:eastAsia="Arial" w:hAnsi="Arial" w:cs="Arial"/>
          <w:u w:val="single"/>
        </w:rPr>
        <w:t xml:space="preserve">tabela zgodności </w:t>
      </w:r>
    </w:p>
    <w:p w14:paraId="40B700DB" w14:textId="77777777" w:rsidR="00381113" w:rsidRDefault="0045053A">
      <w:pPr>
        <w:spacing w:after="120" w:line="240" w:lineRule="auto"/>
        <w:jc w:val="both"/>
        <w:rPr>
          <w:rFonts w:ascii="Arial" w:eastAsia="Arial" w:hAnsi="Arial" w:cs="Arial"/>
          <w:color w:val="505050"/>
        </w:rPr>
      </w:pPr>
      <w:r>
        <w:rPr>
          <w:rFonts w:ascii="Arial" w:eastAsia="Arial" w:hAnsi="Arial" w:cs="Arial"/>
        </w:rPr>
        <w:t>Przez “Tabelę zgodności” (Załącznik 2) Zamawiający rozumie wynik porównania opisanych w kwalifikacji wolnorynkowej lub sektorowej efektów uczenia się wraz z kryteriami weryfikacji z charakterystykami drugiego stopnia Polskiej Ramy Kwalifikacji (typowymi dla kwalifikacji o charakterze zawodowym) oraz  charakterystykami odpowiedniej sektorowej ramy kwalifikacji (jeśli do ZSK została włączona rama w danym sektorze), wypełnioną zgodnie z zaleceniami zawartymi w publikacjach IBE wymienionych w pkt I. Tabela zgodności musi zostać poddana profesjonalnej redakcji i korekcie językowej</w:t>
      </w:r>
      <w:r>
        <w:rPr>
          <w:rFonts w:ascii="Arial" w:eastAsia="Arial" w:hAnsi="Arial" w:cs="Arial"/>
          <w:color w:val="505050"/>
        </w:rPr>
        <w:t>.</w:t>
      </w:r>
    </w:p>
    <w:p w14:paraId="47A899DD" w14:textId="77777777" w:rsidR="00381113" w:rsidRDefault="00381113">
      <w:pPr>
        <w:spacing w:after="120" w:line="276" w:lineRule="auto"/>
        <w:jc w:val="both"/>
        <w:rPr>
          <w:rFonts w:ascii="Arial" w:eastAsia="Arial" w:hAnsi="Arial" w:cs="Arial"/>
          <w:u w:val="single"/>
        </w:rPr>
      </w:pPr>
    </w:p>
    <w:p w14:paraId="2A2397FE" w14:textId="77777777" w:rsidR="00381113" w:rsidRDefault="0045053A">
      <w:pPr>
        <w:spacing w:before="280" w:after="120" w:line="240" w:lineRule="auto"/>
        <w:ind w:firstLine="720"/>
        <w:jc w:val="both"/>
        <w:rPr>
          <w:rFonts w:ascii="Arial" w:eastAsia="Arial" w:hAnsi="Arial" w:cs="Arial"/>
          <w:b/>
          <w:u w:val="single"/>
        </w:rPr>
      </w:pPr>
      <w:r>
        <w:rPr>
          <w:rFonts w:ascii="Arial" w:eastAsia="Arial" w:hAnsi="Arial" w:cs="Arial"/>
          <w:b/>
        </w:rPr>
        <w:t xml:space="preserve">IV. </w:t>
      </w:r>
      <w:r>
        <w:rPr>
          <w:rFonts w:ascii="Arial" w:eastAsia="Arial" w:hAnsi="Arial" w:cs="Arial"/>
          <w:b/>
          <w:u w:val="single"/>
        </w:rPr>
        <w:t>Zespół ekspercki</w:t>
      </w:r>
    </w:p>
    <w:p w14:paraId="328AA38C" w14:textId="77777777" w:rsidR="00381113" w:rsidRDefault="0045053A">
      <w:pPr>
        <w:spacing w:before="280" w:after="120" w:line="240" w:lineRule="auto"/>
        <w:jc w:val="both"/>
        <w:rPr>
          <w:rFonts w:ascii="Arial" w:eastAsia="Arial" w:hAnsi="Arial" w:cs="Arial"/>
        </w:rPr>
      </w:pPr>
      <w:r>
        <w:rPr>
          <w:rFonts w:ascii="Arial" w:eastAsia="Arial" w:hAnsi="Arial" w:cs="Arial"/>
        </w:rPr>
        <w:t>Do przygotowania produktów opisanych w pkt III Wykonawca powoła 2 zespoły eksperckie, a każdy z nich składać się będzie z przynajmniej 3 osób, z których:</w:t>
      </w:r>
    </w:p>
    <w:p w14:paraId="0BB0F526" w14:textId="77777777" w:rsidR="00381113" w:rsidRDefault="0045053A">
      <w:pPr>
        <w:numPr>
          <w:ilvl w:val="0"/>
          <w:numId w:val="11"/>
        </w:numPr>
        <w:spacing w:before="280" w:after="0" w:line="240" w:lineRule="auto"/>
        <w:jc w:val="both"/>
        <w:rPr>
          <w:rFonts w:ascii="Arial" w:eastAsia="Arial" w:hAnsi="Arial" w:cs="Arial"/>
        </w:rPr>
      </w:pPr>
      <w:r>
        <w:rPr>
          <w:rFonts w:ascii="Arial" w:eastAsia="Arial" w:hAnsi="Arial" w:cs="Arial"/>
        </w:rPr>
        <w:t>przynajmniej jedna osoba posiada doświadczenie zawodowe na stanowisku kierowniczym w obszarze, którego dotyczy proponowana kwalifikacja;</w:t>
      </w:r>
    </w:p>
    <w:p w14:paraId="1EB96AA1" w14:textId="77777777" w:rsidR="00381113" w:rsidRDefault="0045053A">
      <w:pPr>
        <w:numPr>
          <w:ilvl w:val="0"/>
          <w:numId w:val="11"/>
        </w:numPr>
        <w:spacing w:after="0" w:line="240" w:lineRule="auto"/>
        <w:jc w:val="both"/>
        <w:rPr>
          <w:rFonts w:ascii="Arial" w:eastAsia="Arial" w:hAnsi="Arial" w:cs="Arial"/>
        </w:rPr>
      </w:pPr>
      <w:r>
        <w:rPr>
          <w:rFonts w:ascii="Arial" w:eastAsia="Arial" w:hAnsi="Arial" w:cs="Arial"/>
        </w:rPr>
        <w:t>przynajmniej jedna osoba posiada doświadczenie dydaktyczne w obszarze, którego dotyczy proponowana kwalifikacja;</w:t>
      </w:r>
    </w:p>
    <w:p w14:paraId="4A3C6254" w14:textId="77777777" w:rsidR="00381113" w:rsidRDefault="0045053A">
      <w:pPr>
        <w:numPr>
          <w:ilvl w:val="0"/>
          <w:numId w:val="11"/>
        </w:numPr>
        <w:spacing w:after="120" w:line="240" w:lineRule="auto"/>
        <w:jc w:val="both"/>
        <w:rPr>
          <w:rFonts w:ascii="Arial" w:eastAsia="Arial" w:hAnsi="Arial" w:cs="Arial"/>
        </w:rPr>
      </w:pPr>
      <w:r>
        <w:rPr>
          <w:rFonts w:ascii="Arial" w:eastAsia="Arial" w:hAnsi="Arial" w:cs="Arial"/>
        </w:rPr>
        <w:t>przynajmniej jedna osoba posiada doświadczenie zawodowe w pracy związanej z proponowaną kwalifikacją.</w:t>
      </w:r>
    </w:p>
    <w:p w14:paraId="09950111" w14:textId="77777777" w:rsidR="00381113" w:rsidRDefault="0045053A">
      <w:pPr>
        <w:spacing w:before="280" w:after="120" w:line="240" w:lineRule="auto"/>
        <w:jc w:val="both"/>
        <w:rPr>
          <w:rFonts w:ascii="Arial" w:eastAsia="Arial" w:hAnsi="Arial" w:cs="Arial"/>
        </w:rPr>
      </w:pPr>
      <w:r>
        <w:rPr>
          <w:rFonts w:ascii="Arial" w:eastAsia="Arial" w:hAnsi="Arial" w:cs="Arial"/>
        </w:rPr>
        <w:t>Do przygotowania każdego kompletu dokumentów musi zostać powołany odrębny zespół ekspercki. Wykonawca wskazuje koordynatora prac, którego rolą będzie utrzymywanie kontaktu z Zamawiającym, koordynacja prac zespołu/zespołów ekspertów (tj. ustalanie terminów spotkań i bieżący kontakt), przekazywanie finalnych wersji produktów. Zamówienie może być realizowane wyłącznie przez ekspertów merytorycznych wskazanych w ofercie. Zmiana eksperta może nastąpić jedynie w wyjątkowych przypadkach za zgodą Zamawiającego.</w:t>
      </w:r>
    </w:p>
    <w:p w14:paraId="3456A6C5" w14:textId="77777777" w:rsidR="00381113" w:rsidRDefault="0045053A">
      <w:pPr>
        <w:spacing w:before="280" w:after="120" w:line="240" w:lineRule="auto"/>
        <w:ind w:firstLine="720"/>
        <w:jc w:val="both"/>
        <w:rPr>
          <w:rFonts w:ascii="Arial" w:eastAsia="Arial" w:hAnsi="Arial" w:cs="Arial"/>
          <w:b/>
          <w:u w:val="single"/>
        </w:rPr>
      </w:pPr>
      <w:r>
        <w:rPr>
          <w:rFonts w:ascii="Arial" w:eastAsia="Arial" w:hAnsi="Arial" w:cs="Arial"/>
          <w:b/>
        </w:rPr>
        <w:t xml:space="preserve">V. </w:t>
      </w:r>
      <w:r>
        <w:rPr>
          <w:rFonts w:ascii="Arial" w:eastAsia="Arial" w:hAnsi="Arial" w:cs="Arial"/>
          <w:b/>
          <w:u w:val="single"/>
        </w:rPr>
        <w:t>Harmonogram realizacji prac</w:t>
      </w:r>
    </w:p>
    <w:p w14:paraId="7B4892E1" w14:textId="77777777" w:rsidR="00381113" w:rsidRDefault="0045053A">
      <w:pPr>
        <w:spacing w:before="280" w:after="120" w:line="240" w:lineRule="auto"/>
        <w:jc w:val="both"/>
        <w:rPr>
          <w:rFonts w:ascii="Arial" w:eastAsia="Arial" w:hAnsi="Arial" w:cs="Arial"/>
        </w:rPr>
      </w:pPr>
      <w:r>
        <w:rPr>
          <w:rFonts w:ascii="Arial" w:eastAsia="Arial" w:hAnsi="Arial" w:cs="Arial"/>
        </w:rPr>
        <w:t xml:space="preserve">Zamówienie musi zostać zrealizowane do 28 lutego 2025 r. </w:t>
      </w:r>
    </w:p>
    <w:p w14:paraId="2A37AE3C" w14:textId="77777777" w:rsidR="00381113" w:rsidRDefault="0045053A">
      <w:pPr>
        <w:spacing w:before="280" w:after="120" w:line="240" w:lineRule="auto"/>
        <w:jc w:val="both"/>
        <w:rPr>
          <w:rFonts w:ascii="Arial" w:eastAsia="Arial" w:hAnsi="Arial" w:cs="Arial"/>
        </w:rPr>
      </w:pPr>
      <w:r>
        <w:rPr>
          <w:rFonts w:ascii="Arial" w:eastAsia="Arial" w:hAnsi="Arial" w:cs="Arial"/>
        </w:rPr>
        <w:t>W tym czasie Wykonawca zrealizuje następujące zadania w podanych terminach:</w:t>
      </w:r>
    </w:p>
    <w:p w14:paraId="35240E3C" w14:textId="77777777" w:rsidR="00381113" w:rsidRDefault="0045053A">
      <w:pPr>
        <w:spacing w:before="280" w:after="120" w:line="240" w:lineRule="auto"/>
        <w:jc w:val="both"/>
        <w:rPr>
          <w:rFonts w:ascii="Arial" w:eastAsia="Arial" w:hAnsi="Arial" w:cs="Arial"/>
        </w:rPr>
      </w:pPr>
      <w:r>
        <w:rPr>
          <w:rFonts w:ascii="Arial" w:eastAsia="Arial" w:hAnsi="Arial" w:cs="Arial"/>
        </w:rPr>
        <w:t>Tabela 1. Harmonogram realizacji prac</w:t>
      </w:r>
    </w:p>
    <w:tbl>
      <w:tblPr>
        <w:tblStyle w:val="a8"/>
        <w:tblW w:w="8595" w:type="dxa"/>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600"/>
        <w:gridCol w:w="3570"/>
        <w:gridCol w:w="1875"/>
        <w:gridCol w:w="2550"/>
      </w:tblGrid>
      <w:tr w:rsidR="00381113" w14:paraId="74BC6028" w14:textId="77777777">
        <w:tc>
          <w:tcPr>
            <w:tcW w:w="600" w:type="dxa"/>
            <w:tcMar>
              <w:top w:w="100" w:type="dxa"/>
              <w:left w:w="100" w:type="dxa"/>
              <w:bottom w:w="100" w:type="dxa"/>
              <w:right w:w="100" w:type="dxa"/>
            </w:tcMar>
          </w:tcPr>
          <w:p w14:paraId="4342F6DA" w14:textId="77777777" w:rsidR="00381113" w:rsidRDefault="0045053A">
            <w:pPr>
              <w:widowControl w:val="0"/>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Lp.</w:t>
            </w:r>
          </w:p>
        </w:tc>
        <w:tc>
          <w:tcPr>
            <w:tcW w:w="3570" w:type="dxa"/>
            <w:tcMar>
              <w:top w:w="100" w:type="dxa"/>
              <w:left w:w="100" w:type="dxa"/>
              <w:bottom w:w="100" w:type="dxa"/>
              <w:right w:w="100" w:type="dxa"/>
            </w:tcMar>
          </w:tcPr>
          <w:p w14:paraId="7B04E7FA" w14:textId="77777777" w:rsidR="00381113" w:rsidRDefault="0045053A">
            <w:pPr>
              <w:widowControl w:val="0"/>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Zadanie</w:t>
            </w:r>
          </w:p>
        </w:tc>
        <w:tc>
          <w:tcPr>
            <w:tcW w:w="1875" w:type="dxa"/>
            <w:tcMar>
              <w:top w:w="100" w:type="dxa"/>
              <w:left w:w="100" w:type="dxa"/>
              <w:bottom w:w="100" w:type="dxa"/>
              <w:right w:w="100" w:type="dxa"/>
            </w:tcMar>
          </w:tcPr>
          <w:p w14:paraId="06445969" w14:textId="77777777" w:rsidR="00381113" w:rsidRDefault="0045053A">
            <w:pPr>
              <w:widowControl w:val="0"/>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Termin wykonania</w:t>
            </w:r>
          </w:p>
        </w:tc>
        <w:tc>
          <w:tcPr>
            <w:tcW w:w="2550" w:type="dxa"/>
          </w:tcPr>
          <w:p w14:paraId="0726C0BA" w14:textId="77777777" w:rsidR="00381113" w:rsidRDefault="0045053A">
            <w:pPr>
              <w:widowControl w:val="0"/>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Produkt i forma przekazania (wersja robocza/wersja finalna)</w:t>
            </w:r>
          </w:p>
        </w:tc>
      </w:tr>
      <w:tr w:rsidR="00381113" w14:paraId="2A541DD7" w14:textId="77777777">
        <w:trPr>
          <w:trHeight w:val="420"/>
        </w:trPr>
        <w:tc>
          <w:tcPr>
            <w:tcW w:w="600" w:type="dxa"/>
            <w:tcMar>
              <w:top w:w="100" w:type="dxa"/>
              <w:left w:w="100" w:type="dxa"/>
              <w:bottom w:w="100" w:type="dxa"/>
              <w:right w:w="100" w:type="dxa"/>
            </w:tcMar>
          </w:tcPr>
          <w:p w14:paraId="79C1CE65" w14:textId="77777777" w:rsidR="00381113" w:rsidRDefault="0045053A">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rPr>
              <w:t>1</w:t>
            </w:r>
            <w:r>
              <w:rPr>
                <w:rFonts w:ascii="Arial" w:eastAsia="Arial" w:hAnsi="Arial" w:cs="Arial"/>
                <w:color w:val="000000"/>
              </w:rPr>
              <w:t>.</w:t>
            </w:r>
          </w:p>
        </w:tc>
        <w:tc>
          <w:tcPr>
            <w:tcW w:w="3570" w:type="dxa"/>
            <w:tcMar>
              <w:top w:w="100" w:type="dxa"/>
              <w:left w:w="100" w:type="dxa"/>
              <w:bottom w:w="100" w:type="dxa"/>
              <w:right w:w="100" w:type="dxa"/>
            </w:tcMar>
          </w:tcPr>
          <w:p w14:paraId="1B18003D" w14:textId="77777777" w:rsidR="00381113" w:rsidRDefault="0045053A">
            <w:pPr>
              <w:widowControl w:val="0"/>
              <w:spacing w:after="0" w:line="240" w:lineRule="auto"/>
              <w:rPr>
                <w:rFonts w:ascii="Arial" w:eastAsia="Arial" w:hAnsi="Arial" w:cs="Arial"/>
              </w:rPr>
            </w:pPr>
            <w:r>
              <w:rPr>
                <w:rFonts w:ascii="Arial" w:eastAsia="Arial" w:hAnsi="Arial" w:cs="Arial"/>
              </w:rPr>
              <w:t>Ustalenie harmonogramu realizacji zamówienia, w tym kalendarza spotkań, zaakceptowanego przez Zamawiającego</w:t>
            </w:r>
          </w:p>
        </w:tc>
        <w:tc>
          <w:tcPr>
            <w:tcW w:w="1875" w:type="dxa"/>
            <w:tcMar>
              <w:top w:w="100" w:type="dxa"/>
              <w:left w:w="100" w:type="dxa"/>
              <w:bottom w:w="100" w:type="dxa"/>
              <w:right w:w="100" w:type="dxa"/>
            </w:tcMar>
          </w:tcPr>
          <w:p w14:paraId="02CDEE45" w14:textId="77777777" w:rsidR="00381113" w:rsidRDefault="0045053A">
            <w:pPr>
              <w:widowControl w:val="0"/>
              <w:spacing w:after="0" w:line="240" w:lineRule="auto"/>
              <w:rPr>
                <w:rFonts w:ascii="Arial" w:eastAsia="Arial" w:hAnsi="Arial" w:cs="Arial"/>
              </w:rPr>
            </w:pPr>
            <w:r>
              <w:rPr>
                <w:rFonts w:ascii="Arial" w:eastAsia="Arial" w:hAnsi="Arial" w:cs="Arial"/>
              </w:rPr>
              <w:t>w ciągu 7 dni od podpisania umowy</w:t>
            </w:r>
          </w:p>
        </w:tc>
        <w:tc>
          <w:tcPr>
            <w:tcW w:w="2550" w:type="dxa"/>
          </w:tcPr>
          <w:p w14:paraId="313A72D5" w14:textId="77777777" w:rsidR="00381113" w:rsidRDefault="0045053A">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rPr>
              <w:t>Harmonogram spotkań zaakceptowany przez Zamawiającego</w:t>
            </w:r>
          </w:p>
        </w:tc>
      </w:tr>
      <w:tr w:rsidR="00381113" w14:paraId="063E6FD7" w14:textId="77777777">
        <w:trPr>
          <w:trHeight w:val="420"/>
        </w:trPr>
        <w:tc>
          <w:tcPr>
            <w:tcW w:w="600" w:type="dxa"/>
            <w:tcMar>
              <w:top w:w="100" w:type="dxa"/>
              <w:left w:w="100" w:type="dxa"/>
              <w:bottom w:w="100" w:type="dxa"/>
              <w:right w:w="100" w:type="dxa"/>
            </w:tcMar>
          </w:tcPr>
          <w:p w14:paraId="78097E05" w14:textId="77777777" w:rsidR="00381113" w:rsidRDefault="0045053A">
            <w:pPr>
              <w:widowControl w:val="0"/>
              <w:pBdr>
                <w:top w:val="nil"/>
                <w:left w:val="nil"/>
                <w:bottom w:val="nil"/>
                <w:right w:val="nil"/>
                <w:between w:val="nil"/>
              </w:pBdr>
              <w:spacing w:after="0" w:line="240" w:lineRule="auto"/>
              <w:rPr>
                <w:rFonts w:ascii="Arial" w:eastAsia="Arial" w:hAnsi="Arial" w:cs="Arial"/>
              </w:rPr>
            </w:pPr>
            <w:r>
              <w:rPr>
                <w:rFonts w:ascii="Arial" w:eastAsia="Arial" w:hAnsi="Arial" w:cs="Arial"/>
              </w:rPr>
              <w:lastRenderedPageBreak/>
              <w:t>2.</w:t>
            </w:r>
          </w:p>
        </w:tc>
        <w:tc>
          <w:tcPr>
            <w:tcW w:w="3570" w:type="dxa"/>
            <w:tcMar>
              <w:top w:w="100" w:type="dxa"/>
              <w:left w:w="100" w:type="dxa"/>
              <w:bottom w:w="100" w:type="dxa"/>
              <w:right w:w="100" w:type="dxa"/>
            </w:tcMar>
          </w:tcPr>
          <w:p w14:paraId="1F347982" w14:textId="77777777" w:rsidR="00381113" w:rsidRDefault="0045053A">
            <w:pPr>
              <w:widowControl w:val="0"/>
              <w:spacing w:after="0" w:line="240" w:lineRule="auto"/>
              <w:rPr>
                <w:rFonts w:ascii="Arial" w:eastAsia="Arial" w:hAnsi="Arial" w:cs="Arial"/>
              </w:rPr>
            </w:pPr>
            <w:r>
              <w:rPr>
                <w:rFonts w:ascii="Arial" w:eastAsia="Arial" w:hAnsi="Arial" w:cs="Arial"/>
              </w:rPr>
              <w:t>Szkolenie z zakresu ZSK i opisu kwalifikacji</w:t>
            </w:r>
          </w:p>
        </w:tc>
        <w:tc>
          <w:tcPr>
            <w:tcW w:w="1875" w:type="dxa"/>
            <w:tcMar>
              <w:top w:w="100" w:type="dxa"/>
              <w:left w:w="100" w:type="dxa"/>
              <w:bottom w:w="100" w:type="dxa"/>
              <w:right w:w="100" w:type="dxa"/>
            </w:tcMar>
          </w:tcPr>
          <w:p w14:paraId="3B263516" w14:textId="77777777" w:rsidR="00381113" w:rsidRDefault="0045053A">
            <w:pPr>
              <w:widowControl w:val="0"/>
              <w:spacing w:after="0" w:line="240" w:lineRule="auto"/>
              <w:rPr>
                <w:rFonts w:ascii="Arial" w:eastAsia="Arial" w:hAnsi="Arial" w:cs="Arial"/>
              </w:rPr>
            </w:pPr>
            <w:r>
              <w:rPr>
                <w:rFonts w:ascii="Arial" w:eastAsia="Arial" w:hAnsi="Arial" w:cs="Arial"/>
              </w:rPr>
              <w:t>do 30.11.2024 r.</w:t>
            </w:r>
          </w:p>
        </w:tc>
        <w:tc>
          <w:tcPr>
            <w:tcW w:w="2550" w:type="dxa"/>
          </w:tcPr>
          <w:p w14:paraId="43CF640F" w14:textId="77777777" w:rsidR="00381113" w:rsidRDefault="0045053A">
            <w:pPr>
              <w:widowControl w:val="0"/>
              <w:pBdr>
                <w:top w:val="nil"/>
                <w:left w:val="nil"/>
                <w:bottom w:val="nil"/>
                <w:right w:val="nil"/>
                <w:between w:val="nil"/>
              </w:pBdr>
              <w:spacing w:after="0" w:line="240" w:lineRule="auto"/>
              <w:rPr>
                <w:rFonts w:ascii="Arial" w:eastAsia="Arial" w:hAnsi="Arial" w:cs="Arial"/>
              </w:rPr>
            </w:pPr>
            <w:r>
              <w:rPr>
                <w:rFonts w:ascii="Arial" w:eastAsia="Arial" w:hAnsi="Arial" w:cs="Arial"/>
              </w:rPr>
              <w:t>Listy obecności lub zrzuty ekranów z listą uczestników (w przypadku spotkań w trybie online)</w:t>
            </w:r>
          </w:p>
        </w:tc>
      </w:tr>
      <w:tr w:rsidR="00381113" w14:paraId="75782DA7" w14:textId="77777777">
        <w:trPr>
          <w:trHeight w:val="420"/>
        </w:trPr>
        <w:tc>
          <w:tcPr>
            <w:tcW w:w="600" w:type="dxa"/>
            <w:tcMar>
              <w:top w:w="100" w:type="dxa"/>
              <w:left w:w="100" w:type="dxa"/>
              <w:bottom w:w="100" w:type="dxa"/>
              <w:right w:w="100" w:type="dxa"/>
            </w:tcMar>
          </w:tcPr>
          <w:p w14:paraId="24553D29" w14:textId="77777777" w:rsidR="00381113" w:rsidRDefault="0045053A">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rPr>
              <w:t>3</w:t>
            </w:r>
            <w:r>
              <w:rPr>
                <w:rFonts w:ascii="Arial" w:eastAsia="Arial" w:hAnsi="Arial" w:cs="Arial"/>
                <w:color w:val="000000"/>
              </w:rPr>
              <w:t>.</w:t>
            </w:r>
          </w:p>
        </w:tc>
        <w:tc>
          <w:tcPr>
            <w:tcW w:w="3570" w:type="dxa"/>
            <w:tcMar>
              <w:top w:w="100" w:type="dxa"/>
              <w:left w:w="100" w:type="dxa"/>
              <w:bottom w:w="100" w:type="dxa"/>
              <w:right w:w="100" w:type="dxa"/>
            </w:tcMar>
          </w:tcPr>
          <w:p w14:paraId="75180E41" w14:textId="77777777" w:rsidR="00381113" w:rsidRDefault="0045053A">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rPr>
              <w:t>Spotkania robocze (3-4) z ekspertami metodycznymi z IBE (zgodnie z indywidualnymi ustaleniami pomiędzy Wykonawcą a Zamawiającym)</w:t>
            </w:r>
          </w:p>
        </w:tc>
        <w:tc>
          <w:tcPr>
            <w:tcW w:w="1875" w:type="dxa"/>
            <w:tcMar>
              <w:top w:w="100" w:type="dxa"/>
              <w:left w:w="100" w:type="dxa"/>
              <w:bottom w:w="100" w:type="dxa"/>
              <w:right w:w="100" w:type="dxa"/>
            </w:tcMar>
          </w:tcPr>
          <w:p w14:paraId="36E7D4F1" w14:textId="77777777" w:rsidR="00381113" w:rsidRDefault="0045053A">
            <w:pPr>
              <w:widowControl w:val="0"/>
              <w:pBdr>
                <w:top w:val="nil"/>
                <w:left w:val="nil"/>
                <w:bottom w:val="nil"/>
                <w:right w:val="nil"/>
                <w:between w:val="nil"/>
              </w:pBdr>
              <w:spacing w:after="0" w:line="240" w:lineRule="auto"/>
              <w:rPr>
                <w:rFonts w:ascii="Arial" w:eastAsia="Arial" w:hAnsi="Arial" w:cs="Arial"/>
              </w:rPr>
            </w:pPr>
            <w:r>
              <w:rPr>
                <w:rFonts w:ascii="Arial" w:eastAsia="Arial" w:hAnsi="Arial" w:cs="Arial"/>
              </w:rPr>
              <w:t>do 31.01.2025 r.</w:t>
            </w:r>
          </w:p>
          <w:p w14:paraId="76E0E8CE" w14:textId="77777777" w:rsidR="00381113" w:rsidRDefault="00381113">
            <w:pPr>
              <w:widowControl w:val="0"/>
              <w:pBdr>
                <w:top w:val="nil"/>
                <w:left w:val="nil"/>
                <w:bottom w:val="nil"/>
                <w:right w:val="nil"/>
                <w:between w:val="nil"/>
              </w:pBdr>
              <w:spacing w:after="0" w:line="240" w:lineRule="auto"/>
              <w:rPr>
                <w:rFonts w:ascii="Arial" w:eastAsia="Arial" w:hAnsi="Arial" w:cs="Arial"/>
              </w:rPr>
            </w:pPr>
          </w:p>
        </w:tc>
        <w:tc>
          <w:tcPr>
            <w:tcW w:w="2550" w:type="dxa"/>
          </w:tcPr>
          <w:p w14:paraId="2D501D13" w14:textId="77777777" w:rsidR="00381113" w:rsidRDefault="0045053A">
            <w:pPr>
              <w:widowControl w:val="0"/>
              <w:pBdr>
                <w:top w:val="nil"/>
                <w:left w:val="nil"/>
                <w:bottom w:val="nil"/>
                <w:right w:val="nil"/>
                <w:between w:val="nil"/>
              </w:pBdr>
              <w:spacing w:after="0" w:line="240" w:lineRule="auto"/>
              <w:rPr>
                <w:rFonts w:ascii="Arial" w:eastAsia="Arial" w:hAnsi="Arial" w:cs="Arial"/>
              </w:rPr>
            </w:pPr>
            <w:r>
              <w:rPr>
                <w:rFonts w:ascii="Arial" w:eastAsia="Arial" w:hAnsi="Arial" w:cs="Arial"/>
              </w:rPr>
              <w:t>Listy obecności z każdego spotkania lub zrzuty ekranów z listą uczestników (w przypadku spotkań w trybie online)</w:t>
            </w:r>
          </w:p>
        </w:tc>
      </w:tr>
      <w:tr w:rsidR="00381113" w14:paraId="70D5CF7F" w14:textId="77777777">
        <w:trPr>
          <w:trHeight w:val="420"/>
        </w:trPr>
        <w:tc>
          <w:tcPr>
            <w:tcW w:w="600" w:type="dxa"/>
            <w:tcMar>
              <w:top w:w="100" w:type="dxa"/>
              <w:left w:w="100" w:type="dxa"/>
              <w:bottom w:w="100" w:type="dxa"/>
              <w:right w:w="100" w:type="dxa"/>
            </w:tcMar>
          </w:tcPr>
          <w:p w14:paraId="1E7C5203" w14:textId="77777777" w:rsidR="00381113" w:rsidRDefault="0045053A">
            <w:pPr>
              <w:widowControl w:val="0"/>
              <w:pBdr>
                <w:top w:val="nil"/>
                <w:left w:val="nil"/>
                <w:bottom w:val="nil"/>
                <w:right w:val="nil"/>
                <w:between w:val="nil"/>
              </w:pBdr>
              <w:spacing w:after="0" w:line="240" w:lineRule="auto"/>
              <w:rPr>
                <w:rFonts w:ascii="Arial" w:eastAsia="Arial" w:hAnsi="Arial" w:cs="Arial"/>
              </w:rPr>
            </w:pPr>
            <w:r>
              <w:rPr>
                <w:rFonts w:ascii="Arial" w:eastAsia="Arial" w:hAnsi="Arial" w:cs="Arial"/>
              </w:rPr>
              <w:t>4.</w:t>
            </w:r>
          </w:p>
        </w:tc>
        <w:tc>
          <w:tcPr>
            <w:tcW w:w="3570" w:type="dxa"/>
            <w:tcMar>
              <w:top w:w="100" w:type="dxa"/>
              <w:left w:w="100" w:type="dxa"/>
              <w:bottom w:w="100" w:type="dxa"/>
              <w:right w:w="100" w:type="dxa"/>
            </w:tcMar>
          </w:tcPr>
          <w:p w14:paraId="2262F7C3" w14:textId="77777777" w:rsidR="00381113" w:rsidRDefault="0045053A">
            <w:pPr>
              <w:widowControl w:val="0"/>
              <w:spacing w:after="0" w:line="240" w:lineRule="auto"/>
              <w:rPr>
                <w:rFonts w:ascii="Arial" w:eastAsia="Arial" w:hAnsi="Arial" w:cs="Arial"/>
              </w:rPr>
            </w:pPr>
            <w:r>
              <w:rPr>
                <w:rFonts w:ascii="Arial" w:eastAsia="Arial" w:hAnsi="Arial" w:cs="Arial"/>
              </w:rPr>
              <w:t>Przekazanie finalnej wersji wszystkich produktów.</w:t>
            </w:r>
          </w:p>
        </w:tc>
        <w:tc>
          <w:tcPr>
            <w:tcW w:w="1875" w:type="dxa"/>
            <w:tcMar>
              <w:top w:w="100" w:type="dxa"/>
              <w:left w:w="100" w:type="dxa"/>
              <w:bottom w:w="100" w:type="dxa"/>
              <w:right w:w="100" w:type="dxa"/>
            </w:tcMar>
          </w:tcPr>
          <w:p w14:paraId="49C7AFEF" w14:textId="77777777" w:rsidR="00381113" w:rsidRDefault="0045053A">
            <w:pPr>
              <w:widowControl w:val="0"/>
              <w:spacing w:after="0" w:line="240" w:lineRule="auto"/>
              <w:rPr>
                <w:rFonts w:ascii="Arial" w:eastAsia="Arial" w:hAnsi="Arial" w:cs="Arial"/>
                <w:highlight w:val="yellow"/>
              </w:rPr>
            </w:pPr>
            <w:r>
              <w:rPr>
                <w:rFonts w:ascii="Arial" w:eastAsia="Arial" w:hAnsi="Arial" w:cs="Arial"/>
              </w:rPr>
              <w:t>do 28.02.2025 r.</w:t>
            </w:r>
          </w:p>
          <w:p w14:paraId="0CB5313B" w14:textId="77777777" w:rsidR="00381113" w:rsidRDefault="00381113">
            <w:pPr>
              <w:widowControl w:val="0"/>
              <w:spacing w:after="0" w:line="240" w:lineRule="auto"/>
              <w:rPr>
                <w:rFonts w:ascii="Arial" w:eastAsia="Arial" w:hAnsi="Arial" w:cs="Arial"/>
              </w:rPr>
            </w:pPr>
          </w:p>
        </w:tc>
        <w:tc>
          <w:tcPr>
            <w:tcW w:w="2550" w:type="dxa"/>
          </w:tcPr>
          <w:p w14:paraId="1E2E49E6" w14:textId="77777777" w:rsidR="00381113" w:rsidRDefault="0045053A">
            <w:pPr>
              <w:widowControl w:val="0"/>
              <w:spacing w:after="0" w:line="240" w:lineRule="auto"/>
              <w:rPr>
                <w:rFonts w:ascii="Arial" w:eastAsia="Arial" w:hAnsi="Arial" w:cs="Arial"/>
              </w:rPr>
            </w:pPr>
            <w:r>
              <w:rPr>
                <w:rFonts w:ascii="Arial" w:eastAsia="Arial" w:hAnsi="Arial" w:cs="Arial"/>
              </w:rPr>
              <w:t xml:space="preserve">Opis kwalifikacji oraz tabela zgodności. </w:t>
            </w:r>
          </w:p>
        </w:tc>
      </w:tr>
    </w:tbl>
    <w:p w14:paraId="55863E43" w14:textId="77777777" w:rsidR="00381113" w:rsidRDefault="00381113">
      <w:pPr>
        <w:widowControl w:val="0"/>
        <w:pBdr>
          <w:top w:val="nil"/>
          <w:left w:val="nil"/>
          <w:bottom w:val="nil"/>
          <w:right w:val="nil"/>
          <w:between w:val="nil"/>
        </w:pBdr>
        <w:spacing w:after="0" w:line="240" w:lineRule="auto"/>
        <w:jc w:val="both"/>
        <w:rPr>
          <w:rFonts w:ascii="Arial" w:eastAsia="Arial" w:hAnsi="Arial" w:cs="Arial"/>
        </w:rPr>
      </w:pPr>
    </w:p>
    <w:p w14:paraId="1A0F6563" w14:textId="77777777" w:rsidR="00381113" w:rsidRDefault="00381113">
      <w:pPr>
        <w:spacing w:after="0"/>
        <w:rPr>
          <w:rFonts w:ascii="Arial" w:eastAsia="Arial" w:hAnsi="Arial" w:cs="Arial"/>
        </w:rPr>
      </w:pPr>
    </w:p>
    <w:p w14:paraId="5BB140A9" w14:textId="77777777" w:rsidR="00381113" w:rsidRDefault="00381113">
      <w:pPr>
        <w:spacing w:after="0"/>
        <w:rPr>
          <w:rFonts w:ascii="Arial" w:eastAsia="Arial" w:hAnsi="Arial" w:cs="Arial"/>
        </w:rPr>
      </w:pPr>
    </w:p>
    <w:p w14:paraId="3A0A67FD" w14:textId="77777777" w:rsidR="00381113" w:rsidRDefault="0045053A">
      <w:pPr>
        <w:widowControl w:val="0"/>
        <w:pBdr>
          <w:top w:val="nil"/>
          <w:left w:val="nil"/>
          <w:bottom w:val="nil"/>
          <w:right w:val="nil"/>
          <w:between w:val="nil"/>
        </w:pBdr>
        <w:spacing w:after="200" w:line="240" w:lineRule="auto"/>
        <w:ind w:firstLine="720"/>
        <w:jc w:val="both"/>
        <w:rPr>
          <w:rFonts w:ascii="Arial" w:eastAsia="Arial" w:hAnsi="Arial" w:cs="Arial"/>
          <w:b/>
          <w:u w:val="single"/>
        </w:rPr>
      </w:pPr>
      <w:r>
        <w:rPr>
          <w:rFonts w:ascii="Arial" w:eastAsia="Arial" w:hAnsi="Arial" w:cs="Arial"/>
          <w:b/>
        </w:rPr>
        <w:t xml:space="preserve">VI. </w:t>
      </w:r>
      <w:r>
        <w:rPr>
          <w:rFonts w:ascii="Arial" w:eastAsia="Arial" w:hAnsi="Arial" w:cs="Arial"/>
          <w:b/>
          <w:u w:val="single"/>
        </w:rPr>
        <w:t>Składanie ofert</w:t>
      </w:r>
    </w:p>
    <w:p w14:paraId="3C443186" w14:textId="77777777" w:rsidR="00381113" w:rsidRDefault="0045053A">
      <w:pPr>
        <w:widowControl w:val="0"/>
        <w:spacing w:after="200" w:line="240" w:lineRule="auto"/>
        <w:jc w:val="both"/>
        <w:rPr>
          <w:rFonts w:ascii="Arial" w:eastAsia="Arial" w:hAnsi="Arial" w:cs="Arial"/>
        </w:rPr>
      </w:pPr>
      <w:r>
        <w:rPr>
          <w:rFonts w:ascii="Arial" w:eastAsia="Arial" w:hAnsi="Arial" w:cs="Arial"/>
        </w:rPr>
        <w:t xml:space="preserve">Ofertę należy składać osobno dla każdej części. Oferta musi obejmować propozycje dwóch kwalifikacji A i B (zgodnych z czynnościami wskazanymi przez Zamawiającego w Tabeli 3) ze wskazanej części (obszaru) wraz z zapotrzebowaniem na każdą z kwalifikacji. </w:t>
      </w:r>
    </w:p>
    <w:p w14:paraId="700CDA19" w14:textId="2664742E" w:rsidR="00381113" w:rsidRPr="007C7778" w:rsidRDefault="0045053A" w:rsidP="00D22C78">
      <w:pPr>
        <w:widowControl w:val="0"/>
        <w:spacing w:after="200" w:line="240" w:lineRule="auto"/>
        <w:jc w:val="both"/>
        <w:rPr>
          <w:rFonts w:ascii="Arial" w:eastAsia="Arial" w:hAnsi="Arial" w:cs="Arial"/>
          <w:color w:val="31849B" w:themeColor="accent5" w:themeShade="BF"/>
        </w:rPr>
      </w:pPr>
      <w:r>
        <w:rPr>
          <w:rFonts w:ascii="Arial" w:eastAsia="Arial" w:hAnsi="Arial" w:cs="Arial"/>
        </w:rPr>
        <w:t xml:space="preserve">Ofertę na realizację zamówienia może złożyć zarówno podmiot posiadający osobowość prawną, jak i zespół składający się z osób fizycznych. </w:t>
      </w:r>
    </w:p>
    <w:p w14:paraId="6934D729" w14:textId="77777777" w:rsidR="00381113" w:rsidRPr="00D22C78" w:rsidRDefault="0045053A">
      <w:pPr>
        <w:widowControl w:val="0"/>
        <w:spacing w:after="200" w:line="240" w:lineRule="auto"/>
        <w:jc w:val="both"/>
        <w:rPr>
          <w:rFonts w:ascii="Arial" w:eastAsia="Arial" w:hAnsi="Arial" w:cs="Arial"/>
        </w:rPr>
      </w:pPr>
      <w:r w:rsidRPr="00D22C78">
        <w:rPr>
          <w:rFonts w:ascii="Arial" w:eastAsia="Arial" w:hAnsi="Arial" w:cs="Arial"/>
        </w:rPr>
        <w:t>Tabela 3. Obszary i wskazane czynności, w których będą zgłaszane kwalifikacje.</w:t>
      </w:r>
    </w:p>
    <w:tbl>
      <w:tblPr>
        <w:tblStyle w:val="aa"/>
        <w:tblW w:w="904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33"/>
        <w:gridCol w:w="2126"/>
        <w:gridCol w:w="5086"/>
      </w:tblGrid>
      <w:tr w:rsidR="00D22C78" w:rsidRPr="00D22C78" w14:paraId="027D433F" w14:textId="77777777" w:rsidTr="00D22C78">
        <w:tc>
          <w:tcPr>
            <w:tcW w:w="1833" w:type="dxa"/>
            <w:shd w:val="clear" w:color="auto" w:fill="auto"/>
            <w:tcMar>
              <w:top w:w="100" w:type="dxa"/>
              <w:left w:w="100" w:type="dxa"/>
              <w:bottom w:w="100" w:type="dxa"/>
              <w:right w:w="100" w:type="dxa"/>
            </w:tcMar>
          </w:tcPr>
          <w:p w14:paraId="2B2F33F6" w14:textId="77777777" w:rsidR="00381113" w:rsidRPr="00D22C78" w:rsidRDefault="0045053A">
            <w:pPr>
              <w:widowControl w:val="0"/>
              <w:spacing w:after="0" w:line="240" w:lineRule="auto"/>
              <w:rPr>
                <w:rFonts w:ascii="Arial" w:eastAsia="Arial" w:hAnsi="Arial" w:cs="Arial"/>
              </w:rPr>
            </w:pPr>
            <w:r w:rsidRPr="00D22C78">
              <w:rPr>
                <w:rFonts w:ascii="Arial" w:eastAsia="Arial" w:hAnsi="Arial" w:cs="Arial"/>
              </w:rPr>
              <w:t>Obszar kwalifikacji</w:t>
            </w:r>
          </w:p>
        </w:tc>
        <w:tc>
          <w:tcPr>
            <w:tcW w:w="2126" w:type="dxa"/>
            <w:shd w:val="clear" w:color="auto" w:fill="auto"/>
            <w:tcMar>
              <w:top w:w="100" w:type="dxa"/>
              <w:left w:w="100" w:type="dxa"/>
              <w:bottom w:w="100" w:type="dxa"/>
              <w:right w:w="100" w:type="dxa"/>
            </w:tcMar>
          </w:tcPr>
          <w:p w14:paraId="4CE925B4" w14:textId="77777777" w:rsidR="00381113" w:rsidRPr="00D22C78" w:rsidRDefault="0045053A">
            <w:pPr>
              <w:widowControl w:val="0"/>
              <w:spacing w:after="0" w:line="240" w:lineRule="auto"/>
              <w:rPr>
                <w:rFonts w:ascii="Arial" w:eastAsia="Arial" w:hAnsi="Arial" w:cs="Arial"/>
              </w:rPr>
            </w:pPr>
            <w:r w:rsidRPr="00D22C78">
              <w:rPr>
                <w:rFonts w:ascii="Arial" w:eastAsia="Arial" w:hAnsi="Arial" w:cs="Arial"/>
              </w:rPr>
              <w:t>Liczba kwalifikacji w danym obszarze</w:t>
            </w:r>
          </w:p>
        </w:tc>
        <w:tc>
          <w:tcPr>
            <w:tcW w:w="5086" w:type="dxa"/>
            <w:shd w:val="clear" w:color="auto" w:fill="auto"/>
            <w:tcMar>
              <w:top w:w="100" w:type="dxa"/>
              <w:left w:w="100" w:type="dxa"/>
              <w:bottom w:w="100" w:type="dxa"/>
              <w:right w:w="100" w:type="dxa"/>
            </w:tcMar>
          </w:tcPr>
          <w:p w14:paraId="27585338" w14:textId="77777777" w:rsidR="00381113" w:rsidRPr="00D22C78" w:rsidRDefault="0045053A">
            <w:pPr>
              <w:widowControl w:val="0"/>
              <w:spacing w:after="0" w:line="240" w:lineRule="auto"/>
              <w:rPr>
                <w:rFonts w:ascii="Arial" w:eastAsia="Arial" w:hAnsi="Arial" w:cs="Arial"/>
              </w:rPr>
            </w:pPr>
            <w:r w:rsidRPr="00D22C78">
              <w:rPr>
                <w:rFonts w:ascii="Arial" w:eastAsia="Arial" w:hAnsi="Arial" w:cs="Arial"/>
              </w:rPr>
              <w:t>Wskazane czynności:</w:t>
            </w:r>
          </w:p>
        </w:tc>
      </w:tr>
      <w:tr w:rsidR="00D22C78" w:rsidRPr="00D22C78" w14:paraId="7F184360" w14:textId="77777777" w:rsidTr="00D22C78">
        <w:trPr>
          <w:trHeight w:val="1449"/>
        </w:trPr>
        <w:tc>
          <w:tcPr>
            <w:tcW w:w="1833" w:type="dxa"/>
            <w:shd w:val="clear" w:color="auto" w:fill="auto"/>
            <w:tcMar>
              <w:top w:w="100" w:type="dxa"/>
              <w:left w:w="100" w:type="dxa"/>
              <w:bottom w:w="100" w:type="dxa"/>
              <w:right w:w="100" w:type="dxa"/>
            </w:tcMar>
          </w:tcPr>
          <w:p w14:paraId="1A896855" w14:textId="77777777" w:rsidR="00381113" w:rsidRPr="00D22C78" w:rsidRDefault="0045053A">
            <w:r w:rsidRPr="00D22C78">
              <w:rPr>
                <w:rFonts w:ascii="Arial" w:eastAsia="Arial" w:hAnsi="Arial" w:cs="Arial"/>
              </w:rPr>
              <w:t>handel</w:t>
            </w:r>
          </w:p>
          <w:p w14:paraId="2474514F" w14:textId="77777777" w:rsidR="00381113" w:rsidRPr="00D22C78" w:rsidRDefault="00381113">
            <w:pPr>
              <w:rPr>
                <w:rFonts w:ascii="Arial" w:eastAsia="Arial" w:hAnsi="Arial" w:cs="Arial"/>
              </w:rPr>
            </w:pPr>
          </w:p>
          <w:p w14:paraId="1D6018AC" w14:textId="77777777" w:rsidR="00381113" w:rsidRPr="00D22C78" w:rsidRDefault="00381113">
            <w:pPr>
              <w:widowControl w:val="0"/>
              <w:spacing w:after="0" w:line="240" w:lineRule="auto"/>
              <w:rPr>
                <w:rFonts w:ascii="Arial" w:eastAsia="Arial" w:hAnsi="Arial" w:cs="Arial"/>
              </w:rPr>
            </w:pPr>
          </w:p>
        </w:tc>
        <w:tc>
          <w:tcPr>
            <w:tcW w:w="2126" w:type="dxa"/>
            <w:shd w:val="clear" w:color="auto" w:fill="auto"/>
            <w:tcMar>
              <w:top w:w="100" w:type="dxa"/>
              <w:left w:w="100" w:type="dxa"/>
              <w:bottom w:w="100" w:type="dxa"/>
              <w:right w:w="100" w:type="dxa"/>
            </w:tcMar>
          </w:tcPr>
          <w:p w14:paraId="0A9F3137" w14:textId="77777777" w:rsidR="00381113" w:rsidRPr="00D22C78" w:rsidRDefault="0045053A">
            <w:pPr>
              <w:widowControl w:val="0"/>
              <w:spacing w:after="0" w:line="240" w:lineRule="auto"/>
              <w:rPr>
                <w:rFonts w:ascii="Arial" w:eastAsia="Arial" w:hAnsi="Arial" w:cs="Arial"/>
              </w:rPr>
            </w:pPr>
            <w:r w:rsidRPr="00D22C78">
              <w:rPr>
                <w:rFonts w:ascii="Arial" w:eastAsia="Arial" w:hAnsi="Arial" w:cs="Arial"/>
              </w:rPr>
              <w:t>2</w:t>
            </w:r>
          </w:p>
        </w:tc>
        <w:tc>
          <w:tcPr>
            <w:tcW w:w="5086" w:type="dxa"/>
            <w:shd w:val="clear" w:color="auto" w:fill="auto"/>
            <w:tcMar>
              <w:top w:w="100" w:type="dxa"/>
              <w:left w:w="100" w:type="dxa"/>
              <w:bottom w:w="100" w:type="dxa"/>
              <w:right w:w="100" w:type="dxa"/>
            </w:tcMar>
          </w:tcPr>
          <w:p w14:paraId="182FBD56" w14:textId="77777777" w:rsidR="00381113" w:rsidRPr="00D22C78" w:rsidRDefault="0045053A">
            <w:pPr>
              <w:numPr>
                <w:ilvl w:val="0"/>
                <w:numId w:val="15"/>
              </w:numPr>
              <w:spacing w:after="0" w:line="276" w:lineRule="auto"/>
              <w:rPr>
                <w:rFonts w:ascii="Arial" w:eastAsia="Arial" w:hAnsi="Arial" w:cs="Arial"/>
              </w:rPr>
            </w:pPr>
            <w:r w:rsidRPr="00D22C78">
              <w:rPr>
                <w:rFonts w:ascii="Arial" w:eastAsia="Arial" w:hAnsi="Arial" w:cs="Arial"/>
              </w:rPr>
              <w:t>osoba wykonująca czynności związane z przygotowaniem  towaru do zwrotu</w:t>
            </w:r>
          </w:p>
          <w:p w14:paraId="7A7F421D" w14:textId="77777777" w:rsidR="00381113" w:rsidRPr="00D22C78" w:rsidRDefault="0045053A">
            <w:pPr>
              <w:numPr>
                <w:ilvl w:val="0"/>
                <w:numId w:val="15"/>
              </w:numPr>
              <w:spacing w:after="0" w:line="276" w:lineRule="auto"/>
              <w:rPr>
                <w:rFonts w:ascii="Arial" w:eastAsia="Arial" w:hAnsi="Arial" w:cs="Arial"/>
              </w:rPr>
            </w:pPr>
            <w:r w:rsidRPr="00D22C78">
              <w:rPr>
                <w:rFonts w:ascii="Arial" w:eastAsia="Arial" w:hAnsi="Arial" w:cs="Arial"/>
              </w:rPr>
              <w:t>osoba wykonująca czynności związane ze znakowaniem towaru</w:t>
            </w:r>
          </w:p>
        </w:tc>
      </w:tr>
      <w:tr w:rsidR="00D22C78" w:rsidRPr="00D22C78" w14:paraId="786D2A38" w14:textId="77777777" w:rsidTr="00D22C78">
        <w:trPr>
          <w:trHeight w:val="1615"/>
        </w:trPr>
        <w:tc>
          <w:tcPr>
            <w:tcW w:w="1833" w:type="dxa"/>
            <w:shd w:val="clear" w:color="auto" w:fill="auto"/>
            <w:tcMar>
              <w:top w:w="100" w:type="dxa"/>
              <w:left w:w="100" w:type="dxa"/>
              <w:bottom w:w="100" w:type="dxa"/>
              <w:right w:w="100" w:type="dxa"/>
            </w:tcMar>
          </w:tcPr>
          <w:p w14:paraId="60DDA8FE" w14:textId="77777777" w:rsidR="00381113" w:rsidRPr="00D22C78" w:rsidRDefault="0045053A">
            <w:r w:rsidRPr="00D22C78">
              <w:rPr>
                <w:rFonts w:ascii="Arial" w:eastAsia="Arial" w:hAnsi="Arial" w:cs="Arial"/>
              </w:rPr>
              <w:t>budownictwo</w:t>
            </w:r>
          </w:p>
          <w:p w14:paraId="32A90080" w14:textId="77777777" w:rsidR="00381113" w:rsidRPr="00D22C78" w:rsidRDefault="00381113">
            <w:pPr>
              <w:widowControl w:val="0"/>
              <w:shd w:val="clear" w:color="auto" w:fill="FFFFFF"/>
              <w:spacing w:after="460" w:line="240" w:lineRule="auto"/>
              <w:rPr>
                <w:rFonts w:ascii="Arial" w:eastAsia="Arial" w:hAnsi="Arial" w:cs="Arial"/>
              </w:rPr>
            </w:pPr>
          </w:p>
        </w:tc>
        <w:tc>
          <w:tcPr>
            <w:tcW w:w="2126" w:type="dxa"/>
            <w:shd w:val="clear" w:color="auto" w:fill="auto"/>
            <w:tcMar>
              <w:top w:w="100" w:type="dxa"/>
              <w:left w:w="100" w:type="dxa"/>
              <w:bottom w:w="100" w:type="dxa"/>
              <w:right w:w="100" w:type="dxa"/>
            </w:tcMar>
          </w:tcPr>
          <w:p w14:paraId="1884FB61" w14:textId="77777777" w:rsidR="00381113" w:rsidRPr="00D22C78" w:rsidRDefault="0045053A">
            <w:pPr>
              <w:widowControl w:val="0"/>
              <w:spacing w:after="0" w:line="240" w:lineRule="auto"/>
              <w:rPr>
                <w:rFonts w:ascii="Arial" w:eastAsia="Arial" w:hAnsi="Arial" w:cs="Arial"/>
              </w:rPr>
            </w:pPr>
            <w:r w:rsidRPr="00D22C78">
              <w:rPr>
                <w:rFonts w:ascii="Arial" w:eastAsia="Arial" w:hAnsi="Arial" w:cs="Arial"/>
              </w:rPr>
              <w:t>2</w:t>
            </w:r>
          </w:p>
        </w:tc>
        <w:tc>
          <w:tcPr>
            <w:tcW w:w="5086" w:type="dxa"/>
            <w:shd w:val="clear" w:color="auto" w:fill="auto"/>
            <w:tcMar>
              <w:top w:w="100" w:type="dxa"/>
              <w:left w:w="100" w:type="dxa"/>
              <w:bottom w:w="100" w:type="dxa"/>
              <w:right w:w="100" w:type="dxa"/>
            </w:tcMar>
          </w:tcPr>
          <w:p w14:paraId="40AC79A7" w14:textId="77777777" w:rsidR="00381113" w:rsidRPr="00D22C78" w:rsidRDefault="0045053A">
            <w:pPr>
              <w:numPr>
                <w:ilvl w:val="0"/>
                <w:numId w:val="1"/>
              </w:numPr>
              <w:spacing w:after="0" w:line="276" w:lineRule="auto"/>
              <w:rPr>
                <w:rFonts w:ascii="Arial" w:eastAsia="Arial" w:hAnsi="Arial" w:cs="Arial"/>
              </w:rPr>
            </w:pPr>
            <w:r w:rsidRPr="00D22C78">
              <w:rPr>
                <w:rFonts w:ascii="Arial" w:eastAsia="Arial" w:hAnsi="Arial" w:cs="Arial"/>
              </w:rPr>
              <w:t>osoba wykonująca czynności związane z wykonywaniem prac rozbiórkowych przy użyciu prostych narzędzi</w:t>
            </w:r>
          </w:p>
          <w:p w14:paraId="33C3C519" w14:textId="77777777" w:rsidR="00381113" w:rsidRPr="00D22C78" w:rsidRDefault="0045053A">
            <w:pPr>
              <w:numPr>
                <w:ilvl w:val="0"/>
                <w:numId w:val="1"/>
              </w:numPr>
              <w:spacing w:after="0" w:line="276" w:lineRule="auto"/>
              <w:rPr>
                <w:rFonts w:ascii="Arial" w:eastAsia="Arial" w:hAnsi="Arial" w:cs="Arial"/>
              </w:rPr>
            </w:pPr>
            <w:r w:rsidRPr="00D22C78">
              <w:rPr>
                <w:rFonts w:ascii="Arial" w:eastAsia="Arial" w:hAnsi="Arial" w:cs="Arial"/>
              </w:rPr>
              <w:t>osoba wykonująca czynności związane ze sprzątaniem placu budowy</w:t>
            </w:r>
          </w:p>
        </w:tc>
      </w:tr>
      <w:tr w:rsidR="00D22C78" w:rsidRPr="00D22C78" w14:paraId="17CEC086" w14:textId="77777777" w:rsidTr="00D22C78">
        <w:tc>
          <w:tcPr>
            <w:tcW w:w="1833" w:type="dxa"/>
            <w:shd w:val="clear" w:color="auto" w:fill="auto"/>
            <w:tcMar>
              <w:top w:w="100" w:type="dxa"/>
              <w:left w:w="100" w:type="dxa"/>
              <w:bottom w:w="100" w:type="dxa"/>
              <w:right w:w="100" w:type="dxa"/>
            </w:tcMar>
          </w:tcPr>
          <w:p w14:paraId="0EF993E4" w14:textId="77777777" w:rsidR="00381113" w:rsidRPr="00D22C78" w:rsidRDefault="0045053A">
            <w:pPr>
              <w:rPr>
                <w:rFonts w:ascii="Arial" w:eastAsia="Arial" w:hAnsi="Arial" w:cs="Arial"/>
              </w:rPr>
            </w:pPr>
            <w:r w:rsidRPr="00D22C78">
              <w:rPr>
                <w:rFonts w:ascii="Arial" w:eastAsia="Arial" w:hAnsi="Arial" w:cs="Arial"/>
              </w:rPr>
              <w:t>gospodarowanie odpadami</w:t>
            </w:r>
          </w:p>
        </w:tc>
        <w:tc>
          <w:tcPr>
            <w:tcW w:w="2126" w:type="dxa"/>
            <w:shd w:val="clear" w:color="auto" w:fill="auto"/>
            <w:tcMar>
              <w:top w:w="100" w:type="dxa"/>
              <w:left w:w="100" w:type="dxa"/>
              <w:bottom w:w="100" w:type="dxa"/>
              <w:right w:w="100" w:type="dxa"/>
            </w:tcMar>
          </w:tcPr>
          <w:p w14:paraId="17AB5AE3" w14:textId="77777777" w:rsidR="00381113" w:rsidRPr="00D22C78" w:rsidRDefault="0045053A">
            <w:pPr>
              <w:widowControl w:val="0"/>
              <w:spacing w:after="0" w:line="240" w:lineRule="auto"/>
              <w:rPr>
                <w:rFonts w:ascii="Arial" w:eastAsia="Arial" w:hAnsi="Arial" w:cs="Arial"/>
              </w:rPr>
            </w:pPr>
            <w:r w:rsidRPr="00D22C78">
              <w:rPr>
                <w:rFonts w:ascii="Arial" w:eastAsia="Arial" w:hAnsi="Arial" w:cs="Arial"/>
              </w:rPr>
              <w:t>2</w:t>
            </w:r>
          </w:p>
        </w:tc>
        <w:tc>
          <w:tcPr>
            <w:tcW w:w="5086" w:type="dxa"/>
            <w:shd w:val="clear" w:color="auto" w:fill="auto"/>
            <w:tcMar>
              <w:top w:w="100" w:type="dxa"/>
              <w:left w:w="100" w:type="dxa"/>
              <w:bottom w:w="100" w:type="dxa"/>
              <w:right w:w="100" w:type="dxa"/>
            </w:tcMar>
          </w:tcPr>
          <w:p w14:paraId="23CA6DC4" w14:textId="77777777" w:rsidR="00381113" w:rsidRPr="00D22C78" w:rsidRDefault="0045053A">
            <w:pPr>
              <w:numPr>
                <w:ilvl w:val="0"/>
                <w:numId w:val="2"/>
              </w:numPr>
              <w:spacing w:after="0" w:line="276" w:lineRule="auto"/>
              <w:rPr>
                <w:rFonts w:ascii="Arial" w:eastAsia="Arial" w:hAnsi="Arial" w:cs="Arial"/>
              </w:rPr>
            </w:pPr>
            <w:r w:rsidRPr="00D22C78">
              <w:rPr>
                <w:rFonts w:ascii="Arial" w:eastAsia="Arial" w:hAnsi="Arial" w:cs="Arial"/>
              </w:rPr>
              <w:t>osoba wykonująca czynności związane z segregacją odpadów na linii sortowniczej</w:t>
            </w:r>
          </w:p>
          <w:p w14:paraId="27E1ADA1" w14:textId="77777777" w:rsidR="00381113" w:rsidRPr="00D22C78" w:rsidRDefault="0045053A">
            <w:pPr>
              <w:numPr>
                <w:ilvl w:val="0"/>
                <w:numId w:val="2"/>
              </w:numPr>
              <w:spacing w:after="0" w:line="276" w:lineRule="auto"/>
              <w:rPr>
                <w:rFonts w:ascii="Arial" w:eastAsia="Arial" w:hAnsi="Arial" w:cs="Arial"/>
              </w:rPr>
            </w:pPr>
            <w:r w:rsidRPr="00D22C78">
              <w:rPr>
                <w:rFonts w:ascii="Arial" w:eastAsia="Arial" w:hAnsi="Arial" w:cs="Arial"/>
              </w:rPr>
              <w:t>osoba wykonująca czynności związane z myciem maszyn i urządzeń do segregacji odpadów</w:t>
            </w:r>
          </w:p>
        </w:tc>
      </w:tr>
    </w:tbl>
    <w:p w14:paraId="71BC8FA5" w14:textId="77777777" w:rsidR="00381113" w:rsidRPr="007C7778" w:rsidRDefault="00381113">
      <w:pPr>
        <w:widowControl w:val="0"/>
        <w:pBdr>
          <w:top w:val="nil"/>
          <w:left w:val="nil"/>
          <w:bottom w:val="nil"/>
          <w:right w:val="nil"/>
          <w:between w:val="nil"/>
        </w:pBdr>
        <w:spacing w:after="200" w:line="240" w:lineRule="auto"/>
        <w:jc w:val="both"/>
        <w:rPr>
          <w:rFonts w:ascii="Arial" w:eastAsia="Arial" w:hAnsi="Arial" w:cs="Arial"/>
          <w:color w:val="548DD4" w:themeColor="text2" w:themeTint="99"/>
        </w:rPr>
      </w:pPr>
    </w:p>
    <w:p w14:paraId="3B57C2D0" w14:textId="77777777" w:rsidR="00381113" w:rsidRDefault="0045053A">
      <w:pPr>
        <w:keepNext/>
        <w:widowControl w:val="0"/>
        <w:pBdr>
          <w:top w:val="nil"/>
          <w:left w:val="nil"/>
          <w:bottom w:val="nil"/>
          <w:right w:val="nil"/>
          <w:between w:val="nil"/>
        </w:pBdr>
        <w:spacing w:after="200" w:line="240" w:lineRule="auto"/>
        <w:ind w:firstLine="720"/>
        <w:rPr>
          <w:rFonts w:ascii="Arial" w:eastAsia="Arial" w:hAnsi="Arial" w:cs="Arial"/>
          <w:b/>
          <w:color w:val="000000"/>
          <w:u w:val="single"/>
        </w:rPr>
      </w:pPr>
      <w:bookmarkStart w:id="0" w:name="_heading=h.gjdgxs" w:colFirst="0" w:colLast="0"/>
      <w:bookmarkStart w:id="1" w:name="_heading=h.1fob9te" w:colFirst="0" w:colLast="0"/>
      <w:bookmarkEnd w:id="0"/>
      <w:bookmarkEnd w:id="1"/>
      <w:r>
        <w:rPr>
          <w:rFonts w:ascii="Arial" w:eastAsia="Arial" w:hAnsi="Arial" w:cs="Arial"/>
          <w:b/>
          <w:color w:val="000000"/>
        </w:rPr>
        <w:lastRenderedPageBreak/>
        <w:t xml:space="preserve">IX. </w:t>
      </w:r>
      <w:r>
        <w:rPr>
          <w:rFonts w:ascii="Arial" w:eastAsia="Arial" w:hAnsi="Arial" w:cs="Arial"/>
          <w:b/>
          <w:color w:val="000000"/>
          <w:u w:val="single"/>
        </w:rPr>
        <w:t>Informacje dodatkowe</w:t>
      </w:r>
    </w:p>
    <w:p w14:paraId="30D969AC" w14:textId="77777777" w:rsidR="00381113" w:rsidRDefault="0045053A">
      <w:pPr>
        <w:widowControl w:val="0"/>
        <w:spacing w:after="0" w:line="240" w:lineRule="auto"/>
        <w:jc w:val="both"/>
        <w:rPr>
          <w:rFonts w:ascii="Arial" w:eastAsia="Arial" w:hAnsi="Arial" w:cs="Arial"/>
        </w:rPr>
      </w:pPr>
      <w:r>
        <w:rPr>
          <w:rFonts w:ascii="Arial" w:eastAsia="Arial" w:hAnsi="Arial" w:cs="Arial"/>
        </w:rPr>
        <w:t>Wykonawca zobowiązuje się do zachowania w tajemnicy wszystkich informacji uzyskanych przez niego w związku z zawarciem i realizacją Umowy, jak również wersji roboczych produktów i wszystkich materiałów pomocniczych, które powstaną w trakcie prac. Za zachowanie poufności Wykonawca ponosi odpowiedzialność na zasadzie ryzyka.</w:t>
      </w:r>
    </w:p>
    <w:p w14:paraId="1FB7C999" w14:textId="77777777" w:rsidR="00381113" w:rsidRDefault="00381113">
      <w:pPr>
        <w:widowControl w:val="0"/>
        <w:spacing w:after="0" w:line="240" w:lineRule="auto"/>
        <w:rPr>
          <w:rFonts w:ascii="Arial" w:eastAsia="Arial" w:hAnsi="Arial" w:cs="Arial"/>
          <w:b/>
        </w:rPr>
      </w:pPr>
    </w:p>
    <w:p w14:paraId="68BDAB73" w14:textId="77777777" w:rsidR="00381113" w:rsidRDefault="0045053A">
      <w:pPr>
        <w:keepNext/>
        <w:widowControl w:val="0"/>
        <w:pBdr>
          <w:top w:val="nil"/>
          <w:left w:val="nil"/>
          <w:bottom w:val="nil"/>
          <w:right w:val="nil"/>
          <w:between w:val="nil"/>
        </w:pBdr>
        <w:spacing w:after="0" w:line="240" w:lineRule="auto"/>
        <w:rPr>
          <w:rFonts w:ascii="Arial" w:eastAsia="Arial" w:hAnsi="Arial" w:cs="Arial"/>
          <w:b/>
          <w:color w:val="000000"/>
        </w:rPr>
      </w:pPr>
      <w:r>
        <w:rPr>
          <w:rFonts w:ascii="Arial" w:eastAsia="Arial" w:hAnsi="Arial" w:cs="Arial"/>
          <w:b/>
          <w:color w:val="000000"/>
        </w:rPr>
        <w:t>Zasady wizualizacji</w:t>
      </w:r>
      <w:r>
        <w:rPr>
          <w:rFonts w:ascii="Arial" w:eastAsia="Arial" w:hAnsi="Arial" w:cs="Arial"/>
          <w:b/>
          <w:color w:val="000000"/>
        </w:rPr>
        <w:tab/>
      </w:r>
    </w:p>
    <w:p w14:paraId="4F6755CF" w14:textId="77777777" w:rsidR="00381113" w:rsidRDefault="0045053A">
      <w:pPr>
        <w:widowControl w:val="0"/>
        <w:spacing w:after="0" w:line="240" w:lineRule="auto"/>
        <w:jc w:val="both"/>
        <w:rPr>
          <w:rFonts w:ascii="Arial" w:eastAsia="Arial" w:hAnsi="Arial" w:cs="Arial"/>
        </w:rPr>
      </w:pPr>
      <w:r>
        <w:rPr>
          <w:rFonts w:ascii="Arial" w:eastAsia="Arial" w:hAnsi="Arial" w:cs="Arial"/>
        </w:rPr>
        <w:t>Istotnym elementem realizacji projektów i działań współfinansowanych ze środków Unii Europejskiej jest właściwe informowanie opinii publicznej o wsparciu projektu ze środków Unii Europejskiej oraz stosowanie odpowiedniej wizualizacji działań.</w:t>
      </w:r>
    </w:p>
    <w:p w14:paraId="4A53C9C7" w14:textId="77777777" w:rsidR="00381113" w:rsidRDefault="00381113">
      <w:pPr>
        <w:widowControl w:val="0"/>
        <w:spacing w:after="0" w:line="240" w:lineRule="auto"/>
        <w:jc w:val="both"/>
        <w:rPr>
          <w:rFonts w:ascii="Arial" w:eastAsia="Arial" w:hAnsi="Arial" w:cs="Arial"/>
        </w:rPr>
      </w:pPr>
    </w:p>
    <w:p w14:paraId="0B70C07F" w14:textId="77777777" w:rsidR="00381113" w:rsidRDefault="0045053A">
      <w:pPr>
        <w:widowControl w:val="0"/>
        <w:spacing w:after="0" w:line="240" w:lineRule="auto"/>
        <w:jc w:val="both"/>
        <w:rPr>
          <w:rFonts w:ascii="Arial" w:eastAsia="Arial" w:hAnsi="Arial" w:cs="Arial"/>
        </w:rPr>
      </w:pPr>
      <w:r>
        <w:rPr>
          <w:rFonts w:ascii="Arial" w:eastAsia="Arial" w:hAnsi="Arial" w:cs="Arial"/>
        </w:rPr>
        <w:t>Działania promocyjne objęte Umową będą realizowane zgodnie z:</w:t>
      </w:r>
    </w:p>
    <w:p w14:paraId="7F957C82" w14:textId="77777777" w:rsidR="00381113" w:rsidRDefault="0045053A">
      <w:pPr>
        <w:widowControl w:val="0"/>
        <w:numPr>
          <w:ilvl w:val="0"/>
          <w:numId w:val="14"/>
        </w:numPr>
        <w:spacing w:after="0" w:line="240" w:lineRule="auto"/>
        <w:ind w:hanging="360"/>
        <w:jc w:val="both"/>
      </w:pPr>
      <w:r>
        <w:rPr>
          <w:rFonts w:ascii="Arial" w:eastAsia="Arial" w:hAnsi="Arial" w:cs="Arial"/>
        </w:rPr>
        <w:t>Wytycznymi dotyczącymi oznaczania projektów w ramach programu programu Funduszy Europejskich dla Rozwoju Społecznego 2021 - 2027 (FERS);</w:t>
      </w:r>
    </w:p>
    <w:p w14:paraId="24D68628" w14:textId="77777777" w:rsidR="00381113" w:rsidRDefault="0045053A">
      <w:pPr>
        <w:widowControl w:val="0"/>
        <w:numPr>
          <w:ilvl w:val="0"/>
          <w:numId w:val="14"/>
        </w:numPr>
        <w:spacing w:after="0" w:line="240" w:lineRule="auto"/>
        <w:ind w:hanging="360"/>
        <w:jc w:val="both"/>
      </w:pPr>
      <w:r>
        <w:rPr>
          <w:rFonts w:ascii="Arial" w:eastAsia="Arial" w:hAnsi="Arial" w:cs="Arial"/>
        </w:rPr>
        <w:t>Systemem identyfikacji wizualnej projektów Instytutu Badań Edukacyjnych.</w:t>
      </w:r>
    </w:p>
    <w:p w14:paraId="54E57AFB" w14:textId="77777777" w:rsidR="00381113" w:rsidRDefault="00381113">
      <w:pPr>
        <w:widowControl w:val="0"/>
        <w:spacing w:after="0" w:line="240" w:lineRule="auto"/>
        <w:jc w:val="both"/>
        <w:rPr>
          <w:rFonts w:ascii="Arial" w:eastAsia="Arial" w:hAnsi="Arial" w:cs="Arial"/>
        </w:rPr>
      </w:pPr>
    </w:p>
    <w:p w14:paraId="02ABCFD8" w14:textId="77777777" w:rsidR="00381113" w:rsidRDefault="0045053A">
      <w:pPr>
        <w:widowControl w:val="0"/>
        <w:spacing w:after="0" w:line="240" w:lineRule="auto"/>
        <w:jc w:val="both"/>
        <w:rPr>
          <w:rFonts w:ascii="Arial" w:eastAsia="Arial" w:hAnsi="Arial" w:cs="Arial"/>
        </w:rPr>
      </w:pPr>
      <w:r>
        <w:rPr>
          <w:rFonts w:ascii="Arial" w:eastAsia="Arial" w:hAnsi="Arial" w:cs="Arial"/>
        </w:rPr>
        <w:t>Wykonawca zobowiązany będzie do umieszczania logo programu Fundusze Europejskie dla Rozwoju Społecznego 2021 - 2027 (FERS), logo Unii Europejskiej wraz z podpisem Unia Europejska, logo projektu oraz informacji o współfinansowaniu przedmiotu Umowy z Europejskiego Funduszu Społecznego o treści „Projekt współfinansowany ze środków Unii Europejskiej w ramach Europejskiego Funduszu Społecznego” na wszystkich materiałach dotyczących realizacji przedmiotu umowy.</w:t>
      </w:r>
    </w:p>
    <w:p w14:paraId="14515116" w14:textId="77777777" w:rsidR="00381113" w:rsidRDefault="00381113">
      <w:pPr>
        <w:widowControl w:val="0"/>
        <w:spacing w:after="0" w:line="240" w:lineRule="auto"/>
        <w:rPr>
          <w:rFonts w:ascii="Arial" w:eastAsia="Arial" w:hAnsi="Arial" w:cs="Arial"/>
          <w:b/>
        </w:rPr>
      </w:pPr>
    </w:p>
    <w:p w14:paraId="0EA074A4" w14:textId="77777777" w:rsidR="00381113" w:rsidRDefault="0045053A">
      <w:pPr>
        <w:widowControl w:val="0"/>
        <w:spacing w:after="0" w:line="240" w:lineRule="auto"/>
        <w:rPr>
          <w:rFonts w:ascii="Arial" w:eastAsia="Arial" w:hAnsi="Arial" w:cs="Arial"/>
          <w:b/>
        </w:rPr>
      </w:pPr>
      <w:r>
        <w:rPr>
          <w:rFonts w:ascii="Arial" w:eastAsia="Arial" w:hAnsi="Arial" w:cs="Arial"/>
          <w:b/>
        </w:rPr>
        <w:t xml:space="preserve">Definicje podstawowych pojęć i wyjaśnienie skrótów wykorzystywanych w SWZ </w:t>
      </w:r>
      <w:r>
        <w:rPr>
          <w:rFonts w:ascii="Arial" w:eastAsia="Arial" w:hAnsi="Arial" w:cs="Arial"/>
          <w:b/>
        </w:rPr>
        <w:br/>
      </w:r>
    </w:p>
    <w:p w14:paraId="3CA7722C" w14:textId="77777777" w:rsidR="00381113" w:rsidRDefault="0045053A">
      <w:pPr>
        <w:widowControl w:val="0"/>
        <w:spacing w:after="200" w:line="240" w:lineRule="auto"/>
        <w:jc w:val="both"/>
        <w:rPr>
          <w:rFonts w:ascii="Arial" w:eastAsia="Arial" w:hAnsi="Arial" w:cs="Arial"/>
        </w:rPr>
      </w:pPr>
      <w:r>
        <w:rPr>
          <w:rFonts w:ascii="Arial" w:eastAsia="Arial" w:hAnsi="Arial" w:cs="Arial"/>
          <w:b/>
        </w:rPr>
        <w:t xml:space="preserve">ZSK – </w:t>
      </w:r>
      <w:r>
        <w:rPr>
          <w:rFonts w:ascii="Arial" w:eastAsia="Arial" w:hAnsi="Arial" w:cs="Arial"/>
        </w:rPr>
        <w:t>Zintegrowany System Kwalifikacji.</w:t>
      </w:r>
      <w:r>
        <w:rPr>
          <w:rFonts w:ascii="Arial" w:eastAsia="Arial" w:hAnsi="Arial" w:cs="Arial"/>
          <w:b/>
        </w:rPr>
        <w:t xml:space="preserve"> </w:t>
      </w:r>
      <w:r>
        <w:rPr>
          <w:rFonts w:ascii="Arial" w:eastAsia="Arial" w:hAnsi="Arial" w:cs="Arial"/>
        </w:rPr>
        <w:t>Wyodrębniona część Krajowego Systemu Kwalifikacji, w której obowiązują określone w ustawie standardy opisywania kwalifikacji oraz przypisywania poziomu Polskiej Ramy Kwalifikacji (PRK) do kwalifikacji, zasady włączania kwalifikacji do ZSK i ich ewidencjonowania w Zintegrowanym Rejestrze Kwalifikacji (ZRK), a także zasady i standardy certyfikowania kwalifikacji oraz zapewniania jakości nadawania kwalifikacji.</w:t>
      </w:r>
      <w:r>
        <w:rPr>
          <w:rFonts w:ascii="Arial" w:eastAsia="Arial" w:hAnsi="Arial" w:cs="Arial"/>
          <w:b/>
        </w:rPr>
        <w:t xml:space="preserve"> </w:t>
      </w:r>
      <w:r>
        <w:rPr>
          <w:rFonts w:ascii="Arial" w:eastAsia="Arial" w:hAnsi="Arial" w:cs="Arial"/>
        </w:rPr>
        <w:t>ZSK obejmuje dużą część polskich kwalifikacji, które są do niego włączone z mocy ustawy lub mogą być włączane decyzją właściwych ministrów.</w:t>
      </w:r>
      <w:r>
        <w:rPr>
          <w:rFonts w:ascii="Arial" w:eastAsia="Arial" w:hAnsi="Arial" w:cs="Arial"/>
          <w:b/>
        </w:rPr>
        <w:t xml:space="preserve"> </w:t>
      </w:r>
      <w:r>
        <w:rPr>
          <w:rFonts w:ascii="Arial" w:eastAsia="Arial" w:hAnsi="Arial" w:cs="Arial"/>
        </w:rPr>
        <w:t>Poza zintegrowanym systemem mogą w Polsce funkcjonować kwalifikacje, które nie zostały włączone do tego systemu, jednak takie kwalifikacje nie mają przypisanego poziomu PRK i nie mogą zostać wpisane do ZRK (więcej o ZSK: www.kwalifikacje.edu.pl).</w:t>
      </w:r>
    </w:p>
    <w:p w14:paraId="7ED3DD78" w14:textId="77777777" w:rsidR="00381113" w:rsidRDefault="0045053A">
      <w:pPr>
        <w:widowControl w:val="0"/>
        <w:spacing w:after="200" w:line="240" w:lineRule="auto"/>
        <w:jc w:val="both"/>
        <w:rPr>
          <w:rFonts w:ascii="Arial" w:eastAsia="Arial" w:hAnsi="Arial" w:cs="Arial"/>
        </w:rPr>
      </w:pPr>
      <w:r>
        <w:rPr>
          <w:rFonts w:ascii="Arial" w:eastAsia="Arial" w:hAnsi="Arial" w:cs="Arial"/>
          <w:b/>
        </w:rPr>
        <w:t>PRK –</w:t>
      </w:r>
      <w:r>
        <w:rPr>
          <w:rFonts w:ascii="Arial" w:eastAsia="Arial" w:hAnsi="Arial" w:cs="Arial"/>
        </w:rPr>
        <w:t xml:space="preserve"> Polska Rama Kwalifikacji. Opis krajowej struktury poziomów kwalifikacji w ZSK, tj. opis ośmiu wyodrębnionych w Polsce poziomów kwalifikacji odpowiadających odpowiednim poziomom europejskich ram kwalifikacji, sformułowany za pomocą ogólnych charakterystyk efektów uczenia się dla kwalifikacji na poszczególnych poziomach, ujętych w kategoriach wiedzy, umiejętności i kompetencji społecznych. </w:t>
      </w:r>
    </w:p>
    <w:p w14:paraId="20E43C7B" w14:textId="77777777" w:rsidR="00381113" w:rsidRDefault="0045053A">
      <w:pPr>
        <w:widowControl w:val="0"/>
        <w:spacing w:after="200" w:line="240" w:lineRule="auto"/>
        <w:jc w:val="both"/>
        <w:rPr>
          <w:rFonts w:ascii="Arial" w:eastAsia="Arial" w:hAnsi="Arial" w:cs="Arial"/>
        </w:rPr>
      </w:pPr>
      <w:r>
        <w:rPr>
          <w:rFonts w:ascii="Arial" w:eastAsia="Arial" w:hAnsi="Arial" w:cs="Arial"/>
          <w:b/>
        </w:rPr>
        <w:t xml:space="preserve">SRK - </w:t>
      </w:r>
      <w:r>
        <w:rPr>
          <w:rFonts w:ascii="Arial" w:eastAsia="Arial" w:hAnsi="Arial" w:cs="Arial"/>
        </w:rPr>
        <w:t>Sektorowe Ramy Kwalifikacji  (zgodnie z Art. 2 Ustawy o ZSK) „(…) to opis poziomów kwalifikacji funkcjonujących w danym sektorze lub branży; poziomy Sektorowych Ram Kwalifikacji odpowiadają odpowiednim poziomom Polskiej Ramy Kwalifikacji”. Charakterystyki (opisy) poziomów kwalifikacji w sektorowych ramach stanowią rozwinięcie charakterystyk poziomów Polskiej Ramy Kwalifikacji II stopnia, typowych dla kwalifikacji o charakterze zawodowym, uwzględniających specyfikę danego sektora (branży).</w:t>
      </w:r>
    </w:p>
    <w:p w14:paraId="6EF10622" w14:textId="77777777" w:rsidR="00381113" w:rsidRDefault="0045053A">
      <w:pPr>
        <w:widowControl w:val="0"/>
        <w:spacing w:after="200" w:line="240" w:lineRule="auto"/>
        <w:jc w:val="both"/>
        <w:rPr>
          <w:rFonts w:ascii="Arial" w:eastAsia="Arial" w:hAnsi="Arial" w:cs="Arial"/>
        </w:rPr>
      </w:pPr>
      <w:r>
        <w:rPr>
          <w:rFonts w:ascii="Arial" w:eastAsia="Arial" w:hAnsi="Arial" w:cs="Arial"/>
          <w:b/>
        </w:rPr>
        <w:t>ZRK –</w:t>
      </w:r>
      <w:r>
        <w:rPr>
          <w:rFonts w:ascii="Arial" w:eastAsia="Arial" w:hAnsi="Arial" w:cs="Arial"/>
        </w:rPr>
        <w:t xml:space="preserve"> Zintegrowany Rejestr Kwalifikacji. Rejestr publiczny prowadzony w systemie teleinformatycznym, ewidencjonujący kwalifikacje włączone do ZSK. Kwalifikacje włączone do ZSK są wpisane do ZRK niezależnie od tego, czy figurują w innych rejestrach (wykazach, spisach) prowadzonych na potrzeby poszczególnych resortów, branż, środowisk i instytucji. Obecność kwalifikacji w zintegrowanym rejestrze oznacza, że jej wiarygodność została </w:t>
      </w:r>
      <w:r>
        <w:rPr>
          <w:rFonts w:ascii="Arial" w:eastAsia="Arial" w:hAnsi="Arial" w:cs="Arial"/>
        </w:rPr>
        <w:lastRenderedPageBreak/>
        <w:t>potwierdzona przez władze publiczne oraz że ma ona określony poziom PRK. Kwalifikacji, które nie zostały włączone do ZSK, nie można wpisać do ZRK. Dane o kwalifikacjach gromadzone w ZRK są publicznie dostępne na portalu ZSK (https://rejestr.kwalifikacje.gov.pl).</w:t>
      </w:r>
    </w:p>
    <w:p w14:paraId="2F85432F" w14:textId="77777777" w:rsidR="00381113" w:rsidRDefault="0045053A">
      <w:pPr>
        <w:widowControl w:val="0"/>
        <w:spacing w:after="200" w:line="240" w:lineRule="auto"/>
        <w:jc w:val="both"/>
        <w:rPr>
          <w:rFonts w:ascii="Arial" w:eastAsia="Arial" w:hAnsi="Arial" w:cs="Arial"/>
        </w:rPr>
      </w:pPr>
      <w:r>
        <w:rPr>
          <w:rFonts w:ascii="Arial" w:eastAsia="Arial" w:hAnsi="Arial" w:cs="Arial"/>
          <w:b/>
        </w:rPr>
        <w:t>Kwalifikacja –</w:t>
      </w:r>
      <w:r>
        <w:rPr>
          <w:rFonts w:ascii="Arial" w:eastAsia="Arial" w:hAnsi="Arial" w:cs="Arial"/>
        </w:rPr>
        <w:t xml:space="preserve"> Zestaw efektów uczenia się w zakresie wiedzy, umiejętności oraz kompetencji społecznych, nabytych w edukacji formalnej, edukacji pozaformalnej lub poprzez uczenie się nieformalne, zgodnych z ustalonymi dla danej kwalifikacji wymaganiami, których osiągnięcie zostało sprawdzone w walidacji oraz formalnie potwierdzone przez uprawniony podmiot certyfikujący. </w:t>
      </w:r>
    </w:p>
    <w:sectPr w:rsidR="00381113">
      <w:headerReference w:type="default" r:id="rId13"/>
      <w:footerReference w:type="default" r:id="rId14"/>
      <w:headerReference w:type="first" r:id="rId15"/>
      <w:footerReference w:type="first" r:id="rId16"/>
      <w:pgSz w:w="11906" w:h="16838"/>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6F441" w14:textId="77777777" w:rsidR="00B1020D" w:rsidRDefault="00B1020D">
      <w:pPr>
        <w:spacing w:after="0" w:line="240" w:lineRule="auto"/>
      </w:pPr>
      <w:r>
        <w:separator/>
      </w:r>
    </w:p>
  </w:endnote>
  <w:endnote w:type="continuationSeparator" w:id="0">
    <w:p w14:paraId="30F3783A" w14:textId="77777777" w:rsidR="00B1020D" w:rsidRDefault="00B10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1D6C3" w14:textId="77777777" w:rsidR="00381113" w:rsidRDefault="0045053A">
    <w:pPr>
      <w:pBdr>
        <w:top w:val="nil"/>
        <w:left w:val="nil"/>
        <w:bottom w:val="nil"/>
        <w:right w:val="nil"/>
        <w:between w:val="nil"/>
      </w:pBdr>
      <w:tabs>
        <w:tab w:val="center" w:pos="4536"/>
        <w:tab w:val="right" w:pos="9072"/>
      </w:tabs>
      <w:spacing w:after="0" w:line="240" w:lineRule="auto"/>
      <w:rPr>
        <w:color w:val="000000"/>
      </w:rPr>
    </w:pPr>
    <w:r>
      <w:rPr>
        <w:color w:val="000000"/>
        <w:sz w:val="28"/>
        <w:szCs w:val="28"/>
      </w:rPr>
      <w:t xml:space="preserve">str. </w:t>
    </w:r>
    <w:r>
      <w:rPr>
        <w:color w:val="000000"/>
      </w:rPr>
      <w:fldChar w:fldCharType="begin"/>
    </w:r>
    <w:r>
      <w:rPr>
        <w:color w:val="000000"/>
      </w:rPr>
      <w:instrText>PAGE</w:instrText>
    </w:r>
    <w:r>
      <w:rPr>
        <w:color w:val="000000"/>
      </w:rPr>
      <w:fldChar w:fldCharType="separate"/>
    </w:r>
    <w:r w:rsidR="007C7778">
      <w:rPr>
        <w:noProof/>
        <w:color w:val="000000"/>
      </w:rPr>
      <w:t>2</w:t>
    </w:r>
    <w:r>
      <w:rPr>
        <w:color w:val="000000"/>
      </w:rPr>
      <w:fldChar w:fldCharType="end"/>
    </w:r>
  </w:p>
  <w:p w14:paraId="2658B7BB" w14:textId="77777777" w:rsidR="00381113" w:rsidRDefault="00381113">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488E0" w14:textId="77777777" w:rsidR="00381113" w:rsidRDefault="003811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944480" w14:textId="77777777" w:rsidR="00B1020D" w:rsidRDefault="00B1020D">
      <w:pPr>
        <w:spacing w:after="0" w:line="240" w:lineRule="auto"/>
      </w:pPr>
      <w:r>
        <w:separator/>
      </w:r>
    </w:p>
  </w:footnote>
  <w:footnote w:type="continuationSeparator" w:id="0">
    <w:p w14:paraId="2CE5B7B0" w14:textId="77777777" w:rsidR="00B1020D" w:rsidRDefault="00B102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F236" w14:textId="77777777" w:rsidR="00381113" w:rsidRDefault="00381113">
    <w:pPr>
      <w:pBdr>
        <w:top w:val="nil"/>
        <w:left w:val="nil"/>
        <w:bottom w:val="nil"/>
        <w:right w:val="nil"/>
        <w:between w:val="nil"/>
      </w:pBdr>
      <w:tabs>
        <w:tab w:val="center" w:pos="4536"/>
        <w:tab w:val="right" w:pos="9072"/>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B1DE7" w14:textId="77777777" w:rsidR="00381113" w:rsidRDefault="0045053A">
    <w:r>
      <w:rPr>
        <w:noProof/>
      </w:rPr>
      <w:drawing>
        <wp:inline distT="114300" distB="114300" distL="114300" distR="114300" wp14:anchorId="793B0E48" wp14:editId="699FE72D">
          <wp:extent cx="5763260" cy="495300"/>
          <wp:effectExtent l="0" t="0" r="0" b="0"/>
          <wp:docPr id="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5763260" cy="4953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23112"/>
    <w:multiLevelType w:val="multilevel"/>
    <w:tmpl w:val="8A2AF1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D938C1"/>
    <w:multiLevelType w:val="multilevel"/>
    <w:tmpl w:val="173A941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09ED7946"/>
    <w:multiLevelType w:val="multilevel"/>
    <w:tmpl w:val="A8E254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2A74A79"/>
    <w:multiLevelType w:val="multilevel"/>
    <w:tmpl w:val="A90A7658"/>
    <w:lvl w:ilvl="0">
      <w:start w:val="1"/>
      <w:numFmt w:val="bullet"/>
      <w:lvlText w:val="✓"/>
      <w:lvlJc w:val="left"/>
      <w:pPr>
        <w:ind w:left="720" w:firstLine="1800"/>
      </w:pPr>
      <w:rPr>
        <w:rFonts w:ascii="Arial" w:eastAsia="Arial" w:hAnsi="Arial" w:cs="Arial"/>
      </w:rPr>
    </w:lvl>
    <w:lvl w:ilvl="1">
      <w:start w:val="1"/>
      <w:numFmt w:val="bullet"/>
      <w:lvlText w:val="o"/>
      <w:lvlJc w:val="left"/>
      <w:pPr>
        <w:ind w:left="1440" w:firstLine="3960"/>
      </w:pPr>
      <w:rPr>
        <w:rFonts w:ascii="Arial" w:eastAsia="Arial" w:hAnsi="Arial" w:cs="Arial"/>
      </w:rPr>
    </w:lvl>
    <w:lvl w:ilvl="2">
      <w:start w:val="1"/>
      <w:numFmt w:val="bullet"/>
      <w:lvlText w:val="▪"/>
      <w:lvlJc w:val="left"/>
      <w:pPr>
        <w:ind w:left="2160" w:firstLine="6120"/>
      </w:pPr>
      <w:rPr>
        <w:rFonts w:ascii="Arial" w:eastAsia="Arial" w:hAnsi="Arial" w:cs="Arial"/>
      </w:rPr>
    </w:lvl>
    <w:lvl w:ilvl="3">
      <w:start w:val="1"/>
      <w:numFmt w:val="bullet"/>
      <w:lvlText w:val="●"/>
      <w:lvlJc w:val="left"/>
      <w:pPr>
        <w:ind w:left="2880" w:firstLine="8280"/>
      </w:pPr>
      <w:rPr>
        <w:rFonts w:ascii="Arial" w:eastAsia="Arial" w:hAnsi="Arial" w:cs="Arial"/>
      </w:rPr>
    </w:lvl>
    <w:lvl w:ilvl="4">
      <w:start w:val="1"/>
      <w:numFmt w:val="bullet"/>
      <w:lvlText w:val="o"/>
      <w:lvlJc w:val="left"/>
      <w:pPr>
        <w:ind w:left="3600" w:firstLine="10440"/>
      </w:pPr>
      <w:rPr>
        <w:rFonts w:ascii="Arial" w:eastAsia="Arial" w:hAnsi="Arial" w:cs="Arial"/>
      </w:rPr>
    </w:lvl>
    <w:lvl w:ilvl="5">
      <w:start w:val="1"/>
      <w:numFmt w:val="bullet"/>
      <w:lvlText w:val="▪"/>
      <w:lvlJc w:val="left"/>
      <w:pPr>
        <w:ind w:left="4320" w:firstLine="12600"/>
      </w:pPr>
      <w:rPr>
        <w:rFonts w:ascii="Arial" w:eastAsia="Arial" w:hAnsi="Arial" w:cs="Arial"/>
      </w:rPr>
    </w:lvl>
    <w:lvl w:ilvl="6">
      <w:start w:val="1"/>
      <w:numFmt w:val="bullet"/>
      <w:lvlText w:val="●"/>
      <w:lvlJc w:val="left"/>
      <w:pPr>
        <w:ind w:left="5040" w:firstLine="14760"/>
      </w:pPr>
      <w:rPr>
        <w:rFonts w:ascii="Arial" w:eastAsia="Arial" w:hAnsi="Arial" w:cs="Arial"/>
      </w:rPr>
    </w:lvl>
    <w:lvl w:ilvl="7">
      <w:start w:val="1"/>
      <w:numFmt w:val="bullet"/>
      <w:lvlText w:val="o"/>
      <w:lvlJc w:val="left"/>
      <w:pPr>
        <w:ind w:left="5760" w:firstLine="16920"/>
      </w:pPr>
      <w:rPr>
        <w:rFonts w:ascii="Arial" w:eastAsia="Arial" w:hAnsi="Arial" w:cs="Arial"/>
      </w:rPr>
    </w:lvl>
    <w:lvl w:ilvl="8">
      <w:start w:val="1"/>
      <w:numFmt w:val="bullet"/>
      <w:lvlText w:val="▪"/>
      <w:lvlJc w:val="left"/>
      <w:pPr>
        <w:ind w:left="6480" w:firstLine="19080"/>
      </w:pPr>
      <w:rPr>
        <w:rFonts w:ascii="Arial" w:eastAsia="Arial" w:hAnsi="Arial" w:cs="Arial"/>
      </w:rPr>
    </w:lvl>
  </w:abstractNum>
  <w:abstractNum w:abstractNumId="4" w15:restartNumberingAfterBreak="0">
    <w:nsid w:val="13B24E30"/>
    <w:multiLevelType w:val="multilevel"/>
    <w:tmpl w:val="835865D4"/>
    <w:lvl w:ilvl="0">
      <w:start w:val="1"/>
      <w:numFmt w:val="decimal"/>
      <w:lvlText w:val="%1)"/>
      <w:lvlJc w:val="left"/>
      <w:pPr>
        <w:ind w:left="720" w:hanging="360"/>
      </w:pPr>
      <w:rPr>
        <w:rFonts w:ascii="Arial" w:eastAsia="Arial" w:hAnsi="Arial" w:cs="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8A61DE9"/>
    <w:multiLevelType w:val="multilevel"/>
    <w:tmpl w:val="6BF8A15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35DF7510"/>
    <w:multiLevelType w:val="multilevel"/>
    <w:tmpl w:val="555AC9F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A8E0E07"/>
    <w:multiLevelType w:val="multilevel"/>
    <w:tmpl w:val="C4BCEB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EFD3921"/>
    <w:multiLevelType w:val="multilevel"/>
    <w:tmpl w:val="D206A53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5F5F1521"/>
    <w:multiLevelType w:val="multilevel"/>
    <w:tmpl w:val="82209E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FBD14AC"/>
    <w:multiLevelType w:val="multilevel"/>
    <w:tmpl w:val="87C2BBE2"/>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1B526DB"/>
    <w:multiLevelType w:val="multilevel"/>
    <w:tmpl w:val="BC4084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33B79E3"/>
    <w:multiLevelType w:val="multilevel"/>
    <w:tmpl w:val="B78273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3B06C03"/>
    <w:multiLevelType w:val="multilevel"/>
    <w:tmpl w:val="F3441E7C"/>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7ECC29A2"/>
    <w:multiLevelType w:val="multilevel"/>
    <w:tmpl w:val="D96CC30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num w:numId="1">
    <w:abstractNumId w:val="5"/>
  </w:num>
  <w:num w:numId="2">
    <w:abstractNumId w:val="13"/>
  </w:num>
  <w:num w:numId="3">
    <w:abstractNumId w:val="9"/>
  </w:num>
  <w:num w:numId="4">
    <w:abstractNumId w:val="14"/>
  </w:num>
  <w:num w:numId="5">
    <w:abstractNumId w:val="1"/>
  </w:num>
  <w:num w:numId="6">
    <w:abstractNumId w:val="10"/>
  </w:num>
  <w:num w:numId="7">
    <w:abstractNumId w:val="7"/>
  </w:num>
  <w:num w:numId="8">
    <w:abstractNumId w:val="2"/>
  </w:num>
  <w:num w:numId="9">
    <w:abstractNumId w:val="0"/>
  </w:num>
  <w:num w:numId="10">
    <w:abstractNumId w:val="8"/>
  </w:num>
  <w:num w:numId="11">
    <w:abstractNumId w:val="11"/>
  </w:num>
  <w:num w:numId="12">
    <w:abstractNumId w:val="4"/>
  </w:num>
  <w:num w:numId="13">
    <w:abstractNumId w:val="12"/>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113"/>
    <w:rsid w:val="000721BA"/>
    <w:rsid w:val="00381113"/>
    <w:rsid w:val="0045053A"/>
    <w:rsid w:val="007C7778"/>
    <w:rsid w:val="009936D2"/>
    <w:rsid w:val="00B1020D"/>
    <w:rsid w:val="00BC22F2"/>
    <w:rsid w:val="00D22C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4ACCA"/>
  <w15:docId w15:val="{263D2D5F-CFF3-499A-B849-9204D937F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0" w:line="280" w:lineRule="auto"/>
      <w:jc w:val="both"/>
      <w:outlineLvl w:val="0"/>
    </w:pPr>
    <w:rPr>
      <w:b/>
      <w:color w:val="2E75B5"/>
      <w:sz w:val="28"/>
      <w:szCs w:val="2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CellMar>
        <w:top w:w="100" w:type="dxa"/>
        <w:left w:w="100" w:type="dxa"/>
        <w:bottom w:w="100" w:type="dxa"/>
        <w:right w:w="100" w:type="dxa"/>
      </w:tblCellMar>
    </w:tblPr>
  </w:style>
  <w:style w:type="table" w:customStyle="1" w:styleId="a0">
    <w:basedOn w:val="TableNormal2"/>
    <w:tblPr>
      <w:tblStyleRowBandSize w:val="1"/>
      <w:tblStyleColBandSize w:val="1"/>
      <w:tblCellMar>
        <w:top w:w="100" w:type="dxa"/>
        <w:left w:w="100" w:type="dxa"/>
        <w:bottom w:w="100" w:type="dxa"/>
        <w:right w:w="100" w:type="dxa"/>
      </w:tblCellMar>
    </w:tblPr>
  </w:style>
  <w:style w:type="table" w:customStyle="1" w:styleId="a1">
    <w:basedOn w:val="TableNormal2"/>
    <w:tblPr>
      <w:tblStyleRowBandSize w:val="1"/>
      <w:tblStyleColBandSize w:val="1"/>
      <w:tblCellMar>
        <w:top w:w="100" w:type="dxa"/>
        <w:left w:w="100" w:type="dxa"/>
        <w:bottom w:w="100" w:type="dxa"/>
        <w:right w:w="100" w:type="dxa"/>
      </w:tblCellMar>
    </w:tblPr>
  </w:style>
  <w:style w:type="table" w:customStyle="1" w:styleId="a2">
    <w:basedOn w:val="TableNormal2"/>
    <w:tblPr>
      <w:tblStyleRowBandSize w:val="1"/>
      <w:tblStyleColBandSize w:val="1"/>
      <w:tblCellMar>
        <w:top w:w="100" w:type="dxa"/>
        <w:left w:w="100" w:type="dxa"/>
        <w:bottom w:w="100" w:type="dxa"/>
        <w:right w:w="100" w:type="dxa"/>
      </w:tblCellMar>
    </w:tblPr>
  </w:style>
  <w:style w:type="table" w:customStyle="1" w:styleId="a3">
    <w:basedOn w:val="TableNormal2"/>
    <w:tblPr>
      <w:tblStyleRowBandSize w:val="1"/>
      <w:tblStyleColBandSize w:val="1"/>
      <w:tblCellMar>
        <w:top w:w="100" w:type="dxa"/>
        <w:left w:w="100" w:type="dxa"/>
        <w:bottom w:w="100" w:type="dxa"/>
        <w:right w:w="100" w:type="dxa"/>
      </w:tblCellMar>
    </w:tblPr>
  </w:style>
  <w:style w:type="table" w:customStyle="1" w:styleId="a4">
    <w:basedOn w:val="TableNormal2"/>
    <w:tblPr>
      <w:tblStyleRowBandSize w:val="1"/>
      <w:tblStyleColBandSize w:val="1"/>
      <w:tblCellMar>
        <w:top w:w="100" w:type="dxa"/>
        <w:left w:w="100" w:type="dxa"/>
        <w:bottom w:w="100" w:type="dxa"/>
        <w:right w:w="100" w:type="dxa"/>
      </w:tblCellMar>
    </w:tblPr>
  </w:style>
  <w:style w:type="character" w:styleId="Odwoaniedokomentarza">
    <w:name w:val="annotation reference"/>
    <w:basedOn w:val="Domylnaczcionkaakapitu"/>
    <w:uiPriority w:val="99"/>
    <w:semiHidden/>
    <w:unhideWhenUsed/>
    <w:rsid w:val="004527D2"/>
    <w:rPr>
      <w:sz w:val="16"/>
      <w:szCs w:val="16"/>
    </w:rPr>
  </w:style>
  <w:style w:type="paragraph" w:styleId="Tekstkomentarza">
    <w:name w:val="annotation text"/>
    <w:basedOn w:val="Normalny"/>
    <w:link w:val="TekstkomentarzaZnak"/>
    <w:uiPriority w:val="99"/>
    <w:semiHidden/>
    <w:unhideWhenUsed/>
    <w:rsid w:val="004527D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527D2"/>
    <w:rPr>
      <w:sz w:val="20"/>
      <w:szCs w:val="20"/>
    </w:rPr>
  </w:style>
  <w:style w:type="paragraph" w:styleId="Tematkomentarza">
    <w:name w:val="annotation subject"/>
    <w:basedOn w:val="Tekstkomentarza"/>
    <w:next w:val="Tekstkomentarza"/>
    <w:link w:val="TematkomentarzaZnak"/>
    <w:uiPriority w:val="99"/>
    <w:semiHidden/>
    <w:unhideWhenUsed/>
    <w:rsid w:val="004527D2"/>
    <w:rPr>
      <w:b/>
      <w:bCs/>
    </w:rPr>
  </w:style>
  <w:style w:type="character" w:customStyle="1" w:styleId="TematkomentarzaZnak">
    <w:name w:val="Temat komentarza Znak"/>
    <w:basedOn w:val="TekstkomentarzaZnak"/>
    <w:link w:val="Tematkomentarza"/>
    <w:uiPriority w:val="99"/>
    <w:semiHidden/>
    <w:rsid w:val="004527D2"/>
    <w:rPr>
      <w:b/>
      <w:bCs/>
      <w:sz w:val="20"/>
      <w:szCs w:val="20"/>
    </w:rPr>
  </w:style>
  <w:style w:type="paragraph" w:styleId="Tekstdymka">
    <w:name w:val="Balloon Text"/>
    <w:basedOn w:val="Normalny"/>
    <w:link w:val="TekstdymkaZnak"/>
    <w:uiPriority w:val="99"/>
    <w:semiHidden/>
    <w:unhideWhenUsed/>
    <w:rsid w:val="004527D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527D2"/>
    <w:rPr>
      <w:rFonts w:ascii="Segoe UI" w:hAnsi="Segoe UI" w:cs="Segoe UI"/>
      <w:sz w:val="18"/>
      <w:szCs w:val="18"/>
    </w:r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tblPr>
      <w:tblStyleRowBandSize w:val="1"/>
      <w:tblStyleColBandSize w:val="1"/>
      <w:tblCellMar>
        <w:top w:w="100" w:type="dxa"/>
        <w:left w:w="100" w:type="dxa"/>
        <w:bottom w:w="100" w:type="dxa"/>
        <w:right w:w="100" w:type="dxa"/>
      </w:tblCellMar>
    </w:tblPr>
  </w:style>
  <w:style w:type="table" w:customStyle="1" w:styleId="a7">
    <w:basedOn w:val="TableNormal1"/>
    <w:tblPr>
      <w:tblStyleRowBandSize w:val="1"/>
      <w:tblStyleColBandSize w:val="1"/>
      <w:tblCellMar>
        <w:top w:w="100" w:type="dxa"/>
        <w:left w:w="100" w:type="dxa"/>
        <w:bottom w:w="100" w:type="dxa"/>
        <w:right w:w="100" w:type="dxa"/>
      </w:tblCellMar>
    </w:tblPr>
  </w:style>
  <w:style w:type="table" w:customStyle="1" w:styleId="a8">
    <w:basedOn w:val="TableNormal1"/>
    <w:tblPr>
      <w:tblStyleRowBandSize w:val="1"/>
      <w:tblStyleColBandSize w:val="1"/>
      <w:tblCellMar>
        <w:top w:w="100" w:type="dxa"/>
        <w:left w:w="100" w:type="dxa"/>
        <w:bottom w:w="100" w:type="dxa"/>
        <w:right w:w="100" w:type="dxa"/>
      </w:tblCellMar>
    </w:tblPr>
  </w:style>
  <w:style w:type="table" w:customStyle="1" w:styleId="a9">
    <w:basedOn w:val="TableNormal1"/>
    <w:tblPr>
      <w:tblStyleRowBandSize w:val="1"/>
      <w:tblStyleColBandSize w:val="1"/>
      <w:tblCellMar>
        <w:top w:w="100" w:type="dxa"/>
        <w:left w:w="100" w:type="dxa"/>
        <w:bottom w:w="100" w:type="dxa"/>
        <w:right w:w="100" w:type="dxa"/>
      </w:tblCellMar>
    </w:tblPr>
  </w:style>
  <w:style w:type="table" w:customStyle="1" w:styleId="aa">
    <w:basedOn w:val="TableNormal1"/>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walifikacje.edu.pl/pl/publikacje/1143-najnowszy-poradnik-opisywania-kwalifikacji"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kwalifikacje.edu.pl/inkubator-kwalifikacj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walifikacje.edu.pl/pl/publikacje/1153-przypisywanie-poziomu-prk-do-kwalifikacji-nadawanych-poza-systemami-oswiaty-i-szkolnictwa-wyzszego"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kwalifikacje.edu.pl/wp-content/uploads/Jak-opisac-kwalifikacje-rynkowa-i-zaprojektowac-dla-niej-walidacje-Przewodnik.pdf" TargetMode="External"/><Relationship Id="rId4" Type="http://schemas.openxmlformats.org/officeDocument/2006/relationships/settings" Target="settings.xml"/><Relationship Id="rId9" Type="http://schemas.openxmlformats.org/officeDocument/2006/relationships/hyperlink" Target="https://www.kwalifikacje.gov.pl/download/Opisywanie_kwalifikacji.pdf"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p5/llAcgoLPXDlAJYhKa3teCkg==">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2523</Words>
  <Characters>15141</Characters>
  <Application>Microsoft Office Word</Application>
  <DocSecurity>0</DocSecurity>
  <Lines>126</Lines>
  <Paragraphs>35</Paragraphs>
  <ScaleCrop>false</ScaleCrop>
  <Company/>
  <LinksUpToDate>false</LinksUpToDate>
  <CharactersWithSpaces>17629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ZSK5-ES</dc:creator>
  <cp:lastModifiedBy>Zbigniew Obloza</cp:lastModifiedBy>
  <cp:revision>3</cp:revision>
  <dcterms:created xsi:type="dcterms:W3CDTF">2024-11-12T11:53:00Z</dcterms:created>
  <dcterms:modified xsi:type="dcterms:W3CDTF">2024-11-12T11:56:00Z</dcterms:modified>
</cp:coreProperties>
</file>