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hanging="2"/>
        <w:jc w:val="right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Załącznik nr 2 do OPZ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hanging="2"/>
        <w:jc w:val="right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hanging="2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hanging="2"/>
        <w:jc w:val="center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Tabela zgodności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hanging="2"/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ind w:hanging="2"/>
        <w:jc w:val="both"/>
        <w:rPr>
          <w:rFonts w:ascii="Arial Narrow" w:cs="Arial Narrow" w:eastAsia="Arial Narrow" w:hAnsi="Arial Narrow"/>
          <w:color w:val="000000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Materiał roboczy opracowany przy wsparciu Instytutu Badań Edukacyjnych w ramach projektu systemowego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„Wspieranie dalszego rozwoju Zintegrowanego Systemu Kwalifikacji w Polsce”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 współfinansowanego 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ze środków Europejskiego Funduszu Społecznego Plus</w:t>
      </w:r>
      <w:r w:rsidDel="00000000" w:rsidR="00000000" w:rsidRPr="00000000">
        <w:rPr>
          <w:rFonts w:ascii="Arial Narrow" w:cs="Arial Narrow" w:eastAsia="Arial Narrow" w:hAnsi="Arial Narrow"/>
          <w:color w:val="000000"/>
          <w:sz w:val="22"/>
          <w:szCs w:val="22"/>
          <w:rtl w:val="0"/>
        </w:rPr>
        <w:t xml:space="preserve">.</w:t>
      </w:r>
    </w:p>
    <w:p w:rsidR="00000000" w:rsidDel="00000000" w:rsidP="00000000" w:rsidRDefault="00000000" w:rsidRPr="00000000" w14:paraId="00000007">
      <w:pPr>
        <w:ind w:hanging="2"/>
        <w:rPr>
          <w:rFonts w:ascii="Arial Narrow" w:cs="Arial Narrow" w:eastAsia="Arial Narrow" w:hAnsi="Arial Narrow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Zadanie 3. Wspieranie rozwoju oferty kwalifikacji funkcjonujących w ZSK, w tym kwalifikacji z zakresu edukacji pozaformalnej..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hanging="2"/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hanging="2"/>
        <w:jc w:val="center"/>
        <w:rPr>
          <w:rFonts w:ascii="Arial Narrow" w:cs="Arial Narrow" w:eastAsia="Arial Narrow" w:hAnsi="Arial Narrow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55.0" w:type="dxa"/>
        <w:jc w:val="left"/>
        <w:tblInd w:w="-70.0" w:type="dxa"/>
        <w:tblBorders>
          <w:top w:color="5b9bd5" w:space="0" w:sz="4" w:val="single"/>
          <w:left w:color="5b9bd5" w:space="0" w:sz="4" w:val="single"/>
          <w:bottom w:color="5b9bd5" w:space="0" w:sz="4" w:val="single"/>
          <w:right w:color="5b9bd5" w:space="0" w:sz="4" w:val="single"/>
          <w:insideH w:color="5b9bd5" w:space="0" w:sz="4" w:val="single"/>
          <w:insideV w:color="5b9bd5" w:space="0" w:sz="4" w:val="single"/>
        </w:tblBorders>
        <w:tblLayout w:type="fixed"/>
        <w:tblLook w:val="0000"/>
      </w:tblPr>
      <w:tblGrid>
        <w:gridCol w:w="495"/>
        <w:gridCol w:w="1485"/>
        <w:gridCol w:w="2415"/>
        <w:gridCol w:w="5460"/>
        <w:tblGridChange w:id="0">
          <w:tblGrid>
            <w:gridCol w:w="495"/>
            <w:gridCol w:w="1485"/>
            <w:gridCol w:w="2415"/>
            <w:gridCol w:w="5460"/>
          </w:tblGrid>
        </w:tblGridChange>
      </w:tblGrid>
      <w:tr>
        <w:trPr>
          <w:cantSplit w:val="0"/>
          <w:trHeight w:val="1000" w:hRule="atLeast"/>
          <w:tblHeader w:val="0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Nazwa kwalifikacji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C">
            <w:pPr>
              <w:spacing w:after="240" w:before="240" w:lineRule="auto"/>
              <w:ind w:firstLine="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Rekomendowany poziom PRK dla kwalifikacji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0" w:hRule="atLeast"/>
          <w:tblHeader w:val="0"/>
        </w:trPr>
        <w:tc>
          <w:tcPr>
            <w:gridSpan w:val="2"/>
            <w:tcBorders>
              <w:bottom w:color="5b9bd5" w:space="0" w:sz="2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Poziom PRK najlepiej odpowiadający zestawom efektów uczenia się*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spacing w:after="120" w:before="120" w:line="276" w:lineRule="auto"/>
              <w:ind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5b9bd5" w:space="0" w:sz="24" w:val="single"/>
              <w:left w:color="0070c0" w:space="0" w:sz="18" w:val="single"/>
              <w:bottom w:color="0070c0" w:space="0" w:sz="4" w:val="single"/>
              <w:right w:color="0070c0" w:space="0" w:sz="1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Zestaw 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70c0" w:space="0" w:sz="4" w:val="single"/>
              <w:left w:color="0070c0" w:space="0" w:sz="18" w:val="single"/>
              <w:bottom w:color="0070c0" w:space="0" w:sz="18" w:val="single"/>
              <w:right w:color="0070c0" w:space="0" w:sz="18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ind w:firstLine="0"/>
              <w:rPr>
                <w:rFonts w:ascii="Arial Narrow" w:cs="Arial Narrow" w:eastAsia="Arial Narrow" w:hAnsi="Arial Narrow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70c0" w:space="0" w:sz="18" w:val="single"/>
            </w:tcBorders>
            <w:shd w:fill="f2f2f2" w:val="clea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L.p.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70c0" w:space="0" w:sz="1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Poszczególne efekty uczenia się w zestawach*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70c0" w:space="0" w:sz="1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1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4">
            <w:pPr>
              <w:spacing w:after="120" w:before="120" w:line="276" w:lineRule="auto"/>
              <w:ind w:firstLine="0"/>
              <w:rPr>
                <w:rFonts w:ascii="Arial Narrow" w:cs="Arial Narrow" w:eastAsia="Arial Narrow" w:hAnsi="Arial Narrow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spacing w:after="240" w:lineRule="auto"/>
              <w:ind w:left="720" w:firstLine="0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Najlepiej dopasowany(e) składnik(i) opisu poziomów PRK: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0">
            <w:pPr>
              <w:spacing w:after="120" w:before="120" w:line="276" w:lineRule="auto"/>
              <w:ind w:firstLine="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after="240" w:lineRule="auto"/>
              <w:ind w:left="720" w:firstLine="0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Najlepiej dopasowany(e) składnik(i) opisu poziomów PRK: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8">
            <w:pPr>
              <w:widowControl w:val="0"/>
              <w:ind w:right="45" w:firstLine="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C">
            <w:pPr>
              <w:spacing w:after="120" w:before="120" w:line="276" w:lineRule="auto"/>
              <w:ind w:firstLine="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spacing w:after="240" w:lineRule="auto"/>
              <w:ind w:left="720" w:firstLine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Najlepiej dopasowany(e) składnik(i) opisu poziomów PRK: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firstLine="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spacing w:after="120" w:before="120" w:line="276" w:lineRule="auto"/>
              <w:ind w:firstLine="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after="240" w:lineRule="auto"/>
              <w:ind w:left="720" w:firstLine="0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efefef" w:val="clear"/>
            <w:vAlign w:val="center"/>
          </w:tcPr>
          <w:p w:rsidR="00000000" w:rsidDel="00000000" w:rsidP="00000000" w:rsidRDefault="00000000" w:rsidRPr="00000000" w14:paraId="0000004C">
            <w:pP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Najlepiej dopasowany(e) składnik(i) opisu poziomów PRK: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ind w:right="45" w:firstLine="0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5b9bd5" w:space="0" w:sz="24" w:val="single"/>
              <w:left w:color="0070c0" w:space="0" w:sz="18" w:val="single"/>
              <w:bottom w:color="0070c0" w:space="0" w:sz="4" w:val="single"/>
              <w:right w:color="0070c0" w:space="0" w:sz="1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Zestaw 2.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70c0" w:space="0" w:sz="4" w:val="single"/>
              <w:left w:color="0070c0" w:space="0" w:sz="18" w:val="single"/>
              <w:bottom w:color="0070c0" w:space="0" w:sz="18" w:val="single"/>
              <w:right w:color="0070c0" w:space="0" w:sz="18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spacing w:after="120" w:before="120" w:line="276" w:lineRule="auto"/>
              <w:ind w:firstLine="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L.p.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f2f2f2" w:val="clear"/>
            <w:vAlign w:val="center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Poszczególne efekty uczenia się w zestawach*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spacing w:after="120" w:before="120" w:line="276" w:lineRule="auto"/>
              <w:ind w:firstLine="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spacing w:after="240" w:lineRule="auto"/>
              <w:ind w:left="720" w:firstLine="0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Najlepiej dopasowany(e) składnik(i) opisu poziomów PRK: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spacing w:after="120" w:before="120" w:line="276" w:lineRule="auto"/>
              <w:ind w:firstLine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spacing w:after="240" w:lineRule="auto"/>
              <w:ind w:left="720" w:firstLine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Najlepiej dopasowany(e) składnik(i) opisu poziomów PRK: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8">
            <w:pPr>
              <w:spacing w:after="120" w:before="120" w:line="276" w:lineRule="auto"/>
              <w:ind w:firstLine="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after="240" w:lineRule="auto"/>
              <w:ind w:left="720" w:firstLine="0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7C">
            <w:pP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Najlepiej dopasowany(e) składnik(i) opisu poziomów PRK: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firstLine="0"/>
              <w:rPr>
                <w:rFonts w:ascii="Arial Narrow" w:cs="Arial Narrow" w:eastAsia="Arial Narrow" w:hAnsi="Arial Narrow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a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4">
            <w:pPr>
              <w:spacing w:after="120" w:before="120" w:line="276" w:lineRule="auto"/>
              <w:ind w:firstLine="0"/>
              <w:rPr>
                <w:rFonts w:ascii="Arial Narrow" w:cs="Arial Narrow" w:eastAsia="Arial Narrow" w:hAnsi="Arial Narrow"/>
                <w:color w:val="00000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6">
            <w:pPr>
              <w:spacing w:after="240" w:lineRule="auto"/>
              <w:ind w:firstLine="0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Najlepiej dopasowany(e) składnik(i) opisu poziomów PRK: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5b9bd5" w:space="0" w:sz="18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ind w:left="45" w:right="45" w:hanging="45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4"/>
            <w:tcBorders>
              <w:top w:color="5b9bd5" w:space="0" w:sz="18" w:val="single"/>
              <w:left w:color="5b9bd5" w:space="0" w:sz="18" w:val="single"/>
              <w:bottom w:color="5b9bd5" w:space="0" w:sz="4" w:val="single"/>
              <w:right w:color="5b9bd5" w:space="0" w:sz="1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before="12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Zestaw 3.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4"/>
            <w:tcBorders>
              <w:top w:color="5b9bd5" w:space="0" w:sz="4" w:val="single"/>
              <w:left w:color="5b9bd5" w:space="0" w:sz="18" w:val="single"/>
              <w:bottom w:color="5b9bd5" w:space="0" w:sz="18" w:val="single"/>
              <w:right w:color="5b9bd5" w:space="0" w:sz="18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spacing w:after="120" w:before="120" w:line="276" w:lineRule="auto"/>
              <w:ind w:firstLine="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5b9bd5" w:space="0" w:sz="18" w:val="single"/>
            </w:tcBorders>
            <w:shd w:fill="f2f2f2" w:val="clear"/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L.p.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5b9bd5" w:space="0" w:sz="1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Poszczególne efekty uczenia się w zestawach*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b9bd5" w:space="0" w:sz="1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spacing w:after="240" w:lineRule="auto"/>
              <w:ind w:left="720" w:right="45" w:firstLine="0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Najlepiej dopasowany(e) składnik(i) opisu poziomów PRK: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4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B">
            <w:pPr>
              <w:numPr>
                <w:ilvl w:val="0"/>
                <w:numId w:val="1"/>
              </w:numPr>
              <w:spacing w:after="120" w:line="276" w:lineRule="auto"/>
              <w:ind w:left="720" w:hanging="360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20"/>
                <w:szCs w:val="20"/>
                <w:rtl w:val="0"/>
              </w:rPr>
              <w:t xml:space="preserve">Najlepiej dopasowany(e) składnik(i) opisu poziomów PRK: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ind w:left="45" w:right="45" w:hanging="45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firstLine="0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spacing w:after="240" w:lineRule="auto"/>
              <w:ind w:right="45" w:firstLine="0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efefef" w:val="clear"/>
            <w:vAlign w:val="center"/>
          </w:tcPr>
          <w:p w:rsidR="00000000" w:rsidDel="00000000" w:rsidP="00000000" w:rsidRDefault="00000000" w:rsidRPr="00000000" w14:paraId="000000B9">
            <w:pP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Najlepiej dopasowany(e) składnik(i) opisu poziomów PRK: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ind w:left="45" w:right="45" w:hanging="45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C0">
            <w:pP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4">
            <w:pPr>
              <w:spacing w:after="120" w:line="276" w:lineRule="auto"/>
              <w:ind w:left="720" w:firstLine="0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C6">
            <w:pPr>
              <w:spacing w:after="60" w:before="60" w:line="276" w:lineRule="auto"/>
              <w:ind w:left="45" w:hanging="47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Najlepiej dopasowany(e) składnik(i) opisu poziomów PRK: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A">
            <w:pPr>
              <w:widowControl w:val="0"/>
              <w:ind w:left="45" w:right="45" w:hanging="45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4"/>
            <w:tcBorders>
              <w:top w:color="5b9bd5" w:space="0" w:sz="18" w:val="single"/>
              <w:left w:color="5b9bd5" w:space="0" w:sz="18" w:val="single"/>
              <w:bottom w:color="5b9bd5" w:space="0" w:sz="4" w:val="single"/>
              <w:right w:color="5b9bd5" w:space="0" w:sz="1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CD">
            <w:pPr>
              <w:spacing w:after="120" w:before="120" w:line="276" w:lineRule="auto"/>
              <w:ind w:hanging="2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Zestaw 4.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gridSpan w:val="4"/>
            <w:tcBorders>
              <w:top w:color="5b9bd5" w:space="0" w:sz="4" w:val="single"/>
              <w:left w:color="5b9bd5" w:space="0" w:sz="18" w:val="single"/>
              <w:bottom w:color="5b9bd5" w:space="0" w:sz="18" w:val="single"/>
              <w:right w:color="5b9bd5" w:space="0" w:sz="18" w:val="single"/>
            </w:tcBorders>
            <w:vAlign w:val="center"/>
          </w:tcPr>
          <w:p w:rsidR="00000000" w:rsidDel="00000000" w:rsidP="00000000" w:rsidRDefault="00000000" w:rsidRPr="00000000" w14:paraId="000000D1">
            <w:pPr>
              <w:spacing w:after="120" w:before="120" w:line="276" w:lineRule="auto"/>
              <w:ind w:firstLine="0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tcBorders>
              <w:top w:color="5b9bd5" w:space="0" w:sz="18" w:val="single"/>
            </w:tcBorders>
            <w:shd w:fill="f2f2f2" w:val="clear"/>
          </w:tcPr>
          <w:p w:rsidR="00000000" w:rsidDel="00000000" w:rsidP="00000000" w:rsidRDefault="00000000" w:rsidRPr="00000000" w14:paraId="000000D5">
            <w:pP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L.p.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5b9bd5" w:space="0" w:sz="1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6">
            <w:pPr>
              <w:spacing w:after="60" w:before="60" w:line="276" w:lineRule="auto"/>
              <w:ind w:left="45" w:hanging="47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Poszczególne efekty uczenia się w zestawach*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5b9bd5" w:space="0" w:sz="18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D8">
            <w:pP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D9">
            <w:pP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DA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widowControl w:val="0"/>
              <w:spacing w:after="240" w:lineRule="auto"/>
              <w:ind w:left="720" w:right="45" w:firstLine="0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DE">
            <w:pPr>
              <w:spacing w:after="60" w:before="60" w:line="276" w:lineRule="auto"/>
              <w:ind w:left="45" w:hanging="47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Najlepiej dopasowany(e) składnik(i) opisu poziomów PRK: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E2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E5">
            <w:pP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spacing w:after="240" w:lineRule="auto"/>
              <w:ind w:left="720" w:right="45" w:firstLine="0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7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EA">
            <w:pPr>
              <w:spacing w:after="60" w:before="60" w:line="276" w:lineRule="auto"/>
              <w:ind w:left="45" w:hanging="47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Najlepiej dopasowany(e) składnik(i) opisu poziomów PRK: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6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F1">
            <w:pPr>
              <w:spacing w:after="60" w:before="60" w:line="276" w:lineRule="auto"/>
              <w:ind w:hanging="2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spacing w:after="240" w:lineRule="auto"/>
              <w:ind w:right="45" w:firstLine="0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f2f2f2" w:val="clear"/>
            <w:vAlign w:val="center"/>
          </w:tcPr>
          <w:p w:rsidR="00000000" w:rsidDel="00000000" w:rsidP="00000000" w:rsidRDefault="00000000" w:rsidRPr="00000000" w14:paraId="000000F6">
            <w:pPr>
              <w:spacing w:after="60" w:before="60" w:line="276" w:lineRule="auto"/>
              <w:ind w:left="45" w:hanging="47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20"/>
                <w:szCs w:val="20"/>
                <w:rtl w:val="0"/>
              </w:rPr>
              <w:t xml:space="preserve">Najlepiej dopasowany(e) składnik(i) opisu poziomów PRK: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FA">
            <w:pPr>
              <w:widowControl w:val="0"/>
              <w:ind w:left="45" w:right="45" w:hanging="45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hanging="2"/>
        <w:rPr>
          <w:rFonts w:ascii="Arial Narrow" w:cs="Arial Narrow" w:eastAsia="Arial Narrow" w:hAnsi="Arial Narrow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hanging="2"/>
        <w:rPr>
          <w:rFonts w:ascii="Arial Narrow" w:cs="Arial Narrow" w:eastAsia="Arial Narrow" w:hAnsi="Arial Narrow"/>
          <w:color w:val="000000"/>
          <w:sz w:val="20"/>
          <w:szCs w:val="2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20"/>
          <w:szCs w:val="20"/>
          <w:rtl w:val="0"/>
        </w:rPr>
        <w:t xml:space="preserve">*W tabeli zgodności należy zaznaczyć zestaw/y efektów uczenia się / efekty uczenia się o kluczowym znaczeniu dla kwalifikacji.</w:t>
      </w:r>
    </w:p>
    <w:p w:rsidR="00000000" w:rsidDel="00000000" w:rsidP="00000000" w:rsidRDefault="00000000" w:rsidRPr="00000000" w14:paraId="000000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hanging="2"/>
        <w:rPr>
          <w:rFonts w:ascii="Arial Narrow" w:cs="Arial Narrow" w:eastAsia="Arial Narrow" w:hAnsi="Arial Narrow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276" w:top="1702" w:left="1134" w:right="991" w:header="709" w:footer="48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00">
    <w:pPr>
      <w:spacing w:after="120" w:lineRule="auto"/>
      <w:ind w:firstLine="0"/>
      <w:rPr>
        <w:color w:val="000000"/>
      </w:rPr>
    </w:pPr>
    <w:r w:rsidDel="00000000" w:rsidR="00000000" w:rsidRPr="00000000">
      <w:rPr>
        <w:rFonts w:ascii="Lato" w:cs="Lato" w:eastAsia="Lato" w:hAnsi="Lato"/>
        <w:b w:val="1"/>
        <w:sz w:val="32"/>
        <w:szCs w:val="32"/>
      </w:rPr>
      <w:drawing>
        <wp:inline distB="114300" distT="114300" distL="114300" distR="114300">
          <wp:extent cx="6120455" cy="5461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20455" cy="546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PT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="259" w:lineRule="auto"/>
    </w:pPr>
    <w:rPr>
      <w:rFonts w:ascii="Calibri" w:cs="Calibri" w:eastAsia="Calibri" w:hAnsi="Calibri"/>
      <w:color w:val="2e74b5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