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4C1" w:rsidRDefault="00554556">
      <w:pPr>
        <w:pStyle w:val="Nagwek2"/>
        <w:jc w:val="both"/>
        <w:rPr>
          <w:rFonts w:cs="Arial"/>
        </w:rPr>
      </w:pPr>
      <w:r>
        <w:rPr>
          <w:rFonts w:cs="Arial"/>
        </w:rPr>
        <w:t>Załącznik nr 2</w:t>
      </w:r>
      <w:r w:rsidR="00F95EA7">
        <w:rPr>
          <w:rFonts w:cs="Arial"/>
        </w:rPr>
        <w:t>-</w:t>
      </w:r>
      <w:r w:rsidR="00A210E5">
        <w:rPr>
          <w:rFonts w:cs="Arial"/>
        </w:rPr>
        <w:t>1</w:t>
      </w:r>
      <w:r w:rsidR="008F7602">
        <w:rPr>
          <w:rFonts w:cs="Arial"/>
        </w:rPr>
        <w:t>8</w:t>
      </w:r>
      <w:r>
        <w:rPr>
          <w:rFonts w:cs="Arial"/>
        </w:rPr>
        <w:t xml:space="preserve"> do </w:t>
      </w:r>
      <w:proofErr w:type="gramStart"/>
      <w:r>
        <w:rPr>
          <w:rFonts w:cs="Arial"/>
        </w:rPr>
        <w:t xml:space="preserve">SWZ                                                  </w:t>
      </w:r>
      <w:proofErr w:type="gramEnd"/>
      <w:r>
        <w:rPr>
          <w:rFonts w:cs="Arial"/>
        </w:rPr>
        <w:t xml:space="preserve">                ZOZ/DZP/PN/2</w:t>
      </w:r>
      <w:r w:rsidR="001D27AD">
        <w:rPr>
          <w:rFonts w:cs="Arial"/>
        </w:rPr>
        <w:t>8</w:t>
      </w:r>
      <w:r>
        <w:rPr>
          <w:rFonts w:cs="Arial"/>
        </w:rPr>
        <w:t>/24</w:t>
      </w:r>
    </w:p>
    <w:p w:rsidR="00C414C1" w:rsidRDefault="00C414C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:rsidR="00C414C1" w:rsidRDefault="00554556">
      <w:pPr>
        <w:pStyle w:val="Nagwek2"/>
        <w:rPr>
          <w:rFonts w:cs="Arial"/>
          <w:color w:val="auto"/>
        </w:rPr>
      </w:pPr>
      <w:r>
        <w:rPr>
          <w:rFonts w:cs="Arial"/>
          <w:color w:val="auto"/>
        </w:rPr>
        <w:t>ZESTAWIENIE WYMAGANYCH PARAMETRÓW TECHNICZNO – UŻYTKOWYCH</w:t>
      </w:r>
    </w:p>
    <w:p w:rsidR="00C414C1" w:rsidRDefault="005545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B92C1C" w:rsidRDefault="00B92C1C" w:rsidP="00B92C1C">
      <w:pPr>
        <w:widowControl w:val="0"/>
        <w:jc w:val="center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  <w:r>
        <w:rPr>
          <w:rFonts w:eastAsia="Arial Unicode MS"/>
          <w:b/>
          <w:sz w:val="22"/>
          <w:szCs w:val="22"/>
          <w:u w:val="single"/>
          <w:lang w:eastAsia="ar-SA"/>
        </w:rPr>
        <w:t xml:space="preserve">Zadanie nr </w:t>
      </w:r>
      <w:r w:rsidR="007A2028">
        <w:rPr>
          <w:rFonts w:eastAsia="Arial Unicode MS"/>
          <w:b/>
          <w:sz w:val="22"/>
          <w:szCs w:val="22"/>
          <w:u w:val="single"/>
          <w:lang w:eastAsia="ar-SA"/>
        </w:rPr>
        <w:t>1</w:t>
      </w:r>
      <w:r w:rsidR="008F7602">
        <w:rPr>
          <w:rFonts w:eastAsia="Arial Unicode MS"/>
          <w:b/>
          <w:sz w:val="22"/>
          <w:szCs w:val="22"/>
          <w:u w:val="single"/>
          <w:lang w:eastAsia="ar-SA"/>
        </w:rPr>
        <w:t>8</w:t>
      </w:r>
      <w:r w:rsidR="00F95EA7">
        <w:rPr>
          <w:rFonts w:eastAsia="Arial Unicode MS"/>
          <w:b/>
          <w:sz w:val="22"/>
          <w:szCs w:val="22"/>
          <w:u w:val="single"/>
          <w:lang w:eastAsia="ar-SA"/>
        </w:rPr>
        <w:t xml:space="preserve"> </w:t>
      </w:r>
      <w:r w:rsidR="002C6C47">
        <w:rPr>
          <w:rFonts w:eastAsia="Arial Unicode MS"/>
          <w:b/>
          <w:sz w:val="22"/>
          <w:szCs w:val="22"/>
          <w:u w:val="single"/>
          <w:lang w:eastAsia="ar-SA"/>
        </w:rPr>
        <w:t>–</w:t>
      </w:r>
      <w:r w:rsidR="00F95EA7">
        <w:rPr>
          <w:rFonts w:eastAsia="Arial Unicode MS"/>
          <w:b/>
          <w:sz w:val="22"/>
          <w:szCs w:val="22"/>
          <w:u w:val="single"/>
          <w:lang w:eastAsia="ar-SA"/>
        </w:rPr>
        <w:t xml:space="preserve"> </w:t>
      </w:r>
      <w:r w:rsidR="008F7602">
        <w:rPr>
          <w:rFonts w:eastAsia="Arial Unicode MS"/>
          <w:b/>
          <w:sz w:val="22"/>
          <w:szCs w:val="22"/>
          <w:u w:val="single"/>
          <w:lang w:eastAsia="ar-SA"/>
        </w:rPr>
        <w:t>Aparat do znieczulenia ogólnego</w:t>
      </w: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C414C1" w:rsidRDefault="00C414C1">
      <w:pPr>
        <w:tabs>
          <w:tab w:val="left" w:pos="4080"/>
        </w:tabs>
        <w:jc w:val="center"/>
        <w:rPr>
          <w:rStyle w:val="Domylnaczcionkaakapitu1"/>
          <w:b/>
        </w:rPr>
      </w:pPr>
    </w:p>
    <w:tbl>
      <w:tblPr>
        <w:tblW w:w="11058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8"/>
      </w:tblGrid>
      <w:tr w:rsidR="00C414C1">
        <w:trPr>
          <w:trHeight w:val="1045"/>
        </w:trPr>
        <w:tc>
          <w:tcPr>
            <w:tcW w:w="1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414C1" w:rsidRDefault="00C414C1">
            <w:pPr>
              <w:widowControl w:val="0"/>
              <w:tabs>
                <w:tab w:val="left" w:pos="4080"/>
              </w:tabs>
              <w:jc w:val="center"/>
              <w:rPr>
                <w:rStyle w:val="Domylnaczcionkaakapitu1"/>
              </w:rPr>
            </w:pPr>
          </w:p>
          <w:p w:rsidR="00C414C1" w:rsidRDefault="008F7602" w:rsidP="00A210E5">
            <w:pPr>
              <w:widowControl w:val="0"/>
              <w:jc w:val="center"/>
              <w:rPr>
                <w:rStyle w:val="Domylnaczcionkaakapitu1"/>
                <w:b/>
              </w:rPr>
            </w:pPr>
            <w:r>
              <w:rPr>
                <w:rFonts w:eastAsia="Arial Unicode MS"/>
                <w:sz w:val="22"/>
                <w:szCs w:val="22"/>
                <w:u w:val="single"/>
                <w:lang w:eastAsia="ar-SA"/>
              </w:rPr>
              <w:t>Aparat do znieczulenia ogólnego</w:t>
            </w:r>
            <w:r w:rsidR="00A210E5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</w:t>
            </w:r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– </w:t>
            </w:r>
            <w:r w:rsidR="007A2028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1</w:t>
            </w:r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</w:t>
            </w:r>
            <w:proofErr w:type="spellStart"/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szt</w:t>
            </w:r>
            <w:proofErr w:type="spellEnd"/>
          </w:p>
        </w:tc>
      </w:tr>
    </w:tbl>
    <w:p w:rsidR="00C414C1" w:rsidRDefault="00C414C1">
      <w:pPr>
        <w:rPr>
          <w:b/>
          <w:sz w:val="18"/>
          <w:szCs w:val="18"/>
        </w:rPr>
      </w:pP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384"/>
        <w:gridCol w:w="1562"/>
        <w:gridCol w:w="3400"/>
      </w:tblGrid>
      <w:tr w:rsidR="00C414C1">
        <w:trPr>
          <w:trHeight w:val="44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Producent/kraj:</w:t>
            </w:r>
          </w:p>
        </w:tc>
      </w:tr>
      <w:tr w:rsidR="00C414C1">
        <w:trPr>
          <w:trHeight w:val="421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Model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C414C1">
        <w:trPr>
          <w:trHeight w:val="9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:rsidR="00C414C1" w:rsidRDefault="00C414C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C414C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Warunki wymagane </w:t>
            </w:r>
            <w:r>
              <w:rPr>
                <w:rFonts w:ascii="Arial" w:hAnsi="Arial"/>
                <w:b/>
                <w:sz w:val="22"/>
                <w:szCs w:val="22"/>
              </w:rPr>
              <w:t>i podlegające ocenie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Zawartotabeli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Wartość wymagana</w:t>
            </w:r>
          </w:p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oferowana. Potwierdzenie parametru, numery katalogowe</w:t>
            </w:r>
          </w:p>
        </w:tc>
      </w:tr>
      <w:tr w:rsidR="00C414C1">
        <w:trPr>
          <w:trHeight w:val="35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157F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C414C1">
        <w:trPr>
          <w:trHeight w:val="53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Akapitzlist"/>
              <w:widowControl w:val="0"/>
              <w:ind w:left="1080" w:hanging="1080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WYMAGANIA OGÓLNE</w:t>
            </w:r>
          </w:p>
        </w:tc>
      </w:tr>
      <w:tr w:rsidR="00C414C1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C37B1" w:rsidRDefault="00B92C1C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1C37B1">
              <w:rPr>
                <w:rFonts w:ascii="Calibri" w:hAnsi="Calibri" w:cs="Calibri"/>
                <w:sz w:val="22"/>
                <w:szCs w:val="22"/>
              </w:rPr>
              <w:t>Sprzęt</w:t>
            </w:r>
            <w:r w:rsidR="00FF42CA" w:rsidRPr="001C37B1">
              <w:rPr>
                <w:rFonts w:ascii="Calibri" w:hAnsi="Calibri" w:cs="Calibri"/>
                <w:sz w:val="22"/>
                <w:szCs w:val="22"/>
              </w:rPr>
              <w:t xml:space="preserve"> nowy, </w:t>
            </w:r>
            <w:r w:rsidR="00554556" w:rsidRPr="001C37B1">
              <w:rPr>
                <w:rFonts w:ascii="Calibri" w:hAnsi="Calibri" w:cs="Calibri"/>
                <w:sz w:val="22"/>
                <w:szCs w:val="22"/>
              </w:rPr>
              <w:t xml:space="preserve">nieużywany, nie </w:t>
            </w:r>
            <w:proofErr w:type="spellStart"/>
            <w:r w:rsidR="00554556" w:rsidRPr="001C37B1">
              <w:rPr>
                <w:rFonts w:ascii="Calibri" w:hAnsi="Calibri" w:cs="Calibri"/>
                <w:sz w:val="22"/>
                <w:szCs w:val="22"/>
              </w:rPr>
              <w:t>rekondycjonowany</w:t>
            </w:r>
            <w:proofErr w:type="spellEnd"/>
            <w:r w:rsidR="00554556" w:rsidRPr="001C37B1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FF42CA" w:rsidRPr="001C37B1">
              <w:rPr>
                <w:rFonts w:ascii="Calibri" w:hAnsi="Calibri" w:cs="Calibri"/>
                <w:sz w:val="22"/>
                <w:szCs w:val="22"/>
              </w:rPr>
              <w:t xml:space="preserve">nie demonstracyjny, </w:t>
            </w:r>
            <w:r w:rsidR="00554556" w:rsidRPr="001C37B1">
              <w:rPr>
                <w:rFonts w:ascii="Calibri" w:hAnsi="Calibri" w:cs="Calibri"/>
                <w:sz w:val="22"/>
                <w:szCs w:val="22"/>
              </w:rPr>
              <w:t>w najnowszej wersji sprzętowej i oprogramowania na dzień składania oferty.</w:t>
            </w:r>
          </w:p>
          <w:p w:rsidR="00D949B0" w:rsidRPr="001C37B1" w:rsidRDefault="00FF42CA" w:rsidP="008E086D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Rok produkcji nie starszy niż 202</w:t>
            </w:r>
            <w:r w:rsidR="008E086D"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</w:t>
            </w:r>
            <w:r w:rsidRPr="001C37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rok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1B29F0">
        <w:trPr>
          <w:trHeight w:val="47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 w:rsidP="00BE5556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Aparat na podstawie jezdnej, hamulec centralny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Fabryczne uchwyty na dwie 10 litrowe butle rezerwowe, reduktory do butli O2 i N2O niewbudowane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Aparat przystosowany do pracy przy ciśnieniu sieci centralnej dla: O2, N2O, Powietrza od 2,7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kPa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6,0 bar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ED1CC3">
        <w:trPr>
          <w:trHeight w:val="18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 w:rsidP="0091775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Podgrzewany system oddechowy, możliwe wyłączenie/ włączenie podgrzewania przez użytkownika w konfiguracji systemu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F42F5B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Awaryjne zasilanie elektryczne całego systemu z wbudowanego akumulatora na co najmniej 45 </w:t>
            </w:r>
            <w:proofErr w:type="gram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minut  pracy</w:t>
            </w:r>
            <w:proofErr w:type="gram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do 120 minut w warunkach standardowych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rPr>
                <w:rFonts w:ascii="Calibri" w:hAnsi="Calibri" w:cs="Calibri"/>
              </w:rPr>
            </w:pPr>
          </w:p>
        </w:tc>
      </w:tr>
      <w:tr w:rsidR="00C414C1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Blat roboczy. Wbudowane, regulowane oświetlenie blatu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ED1CC3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 w:rsidP="00917758">
            <w:pPr>
              <w:pStyle w:val="abcZnak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b w:val="0"/>
                <w:sz w:val="22"/>
                <w:szCs w:val="22"/>
              </w:rPr>
              <w:t>Szuflada na akcesoria z trwałym zamknięciem (typu: zamek na klucz, blokada mechaniczna); wysokość szuflady pozwala na pionowe ustawienie butelki z anestetykiem wziewnym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Prezentacja ciśnień gazów w sieci centralnej i w butlach rezerwowych na ekranie głównym respiratora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DF49A0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 w:rsidP="00C40B27">
            <w:pPr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System bezpieczeństwa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zapewniający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25% udział O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mieszaninie z N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Tak/podać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 w:rsidTr="00AC3234">
        <w:trPr>
          <w:trHeight w:val="87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 w:rsidP="00C40B27">
            <w:pPr>
              <w:pStyle w:val="western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Elektroniczny mieszalnik: zapewniający utrzymanie ustawionego </w:t>
            </w:r>
            <w:proofErr w:type="gramStart"/>
            <w:r w:rsidRPr="008871DB">
              <w:rPr>
                <w:rFonts w:ascii="Calibri" w:hAnsi="Calibri" w:cs="Calibri"/>
                <w:sz w:val="22"/>
                <w:szCs w:val="22"/>
              </w:rPr>
              <w:t>wdechowego</w:t>
            </w:r>
            <w:proofErr w:type="gram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stężenia tlenu przy zmianie wielkości przepływu świeżych gazów i utrzymanie ustawionego przepływu świeżych gazów przy zmianie </w:t>
            </w:r>
            <w:r w:rsidRPr="008871DB">
              <w:rPr>
                <w:rFonts w:ascii="Calibri" w:hAnsi="Calibri" w:cs="Calibri"/>
                <w:sz w:val="22"/>
                <w:szCs w:val="22"/>
              </w:rPr>
              <w:lastRenderedPageBreak/>
              <w:t>stężenie tlenu w mieszaninie podawanej do pacjenta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6D4D16" w:rsidP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color w:val="C9211E"/>
              </w:rPr>
            </w:pPr>
          </w:p>
        </w:tc>
      </w:tr>
      <w:tr w:rsidR="00C414C1" w:rsidTr="00F42F5B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0265" w:rsidRPr="008871DB" w:rsidRDefault="00ED1CC3" w:rsidP="00C40B27">
            <w:pPr>
              <w:widowControl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Aparat z czujnikami przepływu </w:t>
            </w:r>
            <w:proofErr w:type="gramStart"/>
            <w:r w:rsidRPr="008871DB">
              <w:rPr>
                <w:rFonts w:ascii="Calibri" w:hAnsi="Calibri" w:cs="Calibri"/>
                <w:sz w:val="22"/>
                <w:szCs w:val="22"/>
              </w:rPr>
              <w:t>wdechowym</w:t>
            </w:r>
            <w:proofErr w:type="gram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i wydechowym. Czujniki termoanemometryczne (tzw. podgrzewane). Czujniki sterylizowane parowo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6D4D16" w:rsidP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color w:val="C9211E"/>
              </w:rPr>
            </w:pPr>
          </w:p>
        </w:tc>
      </w:tr>
      <w:tr w:rsidR="00C414C1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 w:rsidP="00917758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Wirtualne przepływomierze prezentowane na ekranie aparatu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Aparat przystosowany do prowadzenia znieczulania w technice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Low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Flow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Minimal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Flow</w:t>
            </w:r>
            <w:proofErr w:type="spellEnd"/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 w:rsidTr="008E086D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 w:rsidP="00C40B2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F5B" w:rsidTr="008E086D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Pr="008871DB" w:rsidRDefault="00ED1CC3" w:rsidP="00C40B2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Wbudowany przepływomierz O2 do niezależnej podaży tlenu przez maskę lub kaniulę donosową, regulacja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przepływu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0 do 18 l/min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F5B" w:rsidTr="008E086D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Pr="008871DB" w:rsidRDefault="00ED1CC3" w:rsidP="001C37B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Miejsca aktywne do zamocowania dwóch parowników w systemie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Interlock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AutoExclusion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2F5B" w:rsidRDefault="00F42F5B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F49A0" w:rsidTr="008E086D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F49A0" w:rsidRDefault="00DF49A0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F49A0" w:rsidRPr="008871DB" w:rsidRDefault="00ED1CC3" w:rsidP="001C37B1">
            <w:pPr>
              <w:widowControl w:val="0"/>
              <w:rPr>
                <w:rFonts w:ascii="Calibri" w:hAnsi="Calibri" w:cs="Calibri"/>
                <w:color w:val="000000" w:themeColor="text1"/>
                <w:spacing w:val="-1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dostawie 12 zbiorników jednorazowych z wapnem sodowanym, objętość pochłaniacza jednorazowego minimum 1200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ml (jeśli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mniejsza objętość oferowanego wapna niż 1200 ml to należy zaoferować min. 14,4 litra lub więcej)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F49A0" w:rsidRDefault="00DF49A0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F49A0" w:rsidRDefault="00DF49A0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7758" w:rsidTr="00917758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17758" w:rsidRDefault="00917758" w:rsidP="00917758">
            <w:pPr>
              <w:pStyle w:val="Akapitzlist"/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17758" w:rsidRPr="00917758" w:rsidRDefault="00ED1CC3" w:rsidP="00ED1CC3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RESPIRATOR, </w:t>
            </w:r>
            <w:r w:rsidR="00917758" w:rsidRPr="00917758">
              <w:rPr>
                <w:rFonts w:ascii="Calibri" w:hAnsi="Calibri" w:cs="Calibri"/>
                <w:b/>
                <w:sz w:val="22"/>
                <w:szCs w:val="22"/>
              </w:rPr>
              <w:t xml:space="preserve">TRYBY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WENTYLACJI</w:t>
            </w:r>
          </w:p>
        </w:tc>
      </w:tr>
      <w:tr w:rsidR="00F42F5B" w:rsidTr="00ED1CC3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2F5B" w:rsidRDefault="00F42F5B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2F5B" w:rsidRPr="008871DB" w:rsidRDefault="00ED1CC3" w:rsidP="00F42F5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Ekonomiczny respirator z napędem elektrycznym lub ekonomiczny respirator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 zużywający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tlenu do napędu</w:t>
            </w:r>
          </w:p>
          <w:p w:rsidR="00ED1CC3" w:rsidRPr="008871DB" w:rsidRDefault="00ED1CC3" w:rsidP="00ED1CC3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Zasady oceny punktowej:</w:t>
            </w:r>
          </w:p>
          <w:p w:rsidR="00ED1CC3" w:rsidRPr="008871DB" w:rsidRDefault="00ED1CC3" w:rsidP="00ED1C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Napęd elektryczny – 8 pkt.</w:t>
            </w:r>
          </w:p>
          <w:p w:rsidR="00ED1CC3" w:rsidRPr="008871DB" w:rsidRDefault="00ED1CC3" w:rsidP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Napęd pneumatyczny – 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2F5B" w:rsidRDefault="00627A55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2F5B" w:rsidRDefault="00F42F5B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554556">
        <w:trPr>
          <w:trHeight w:val="314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color w:val="C9211E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Wentylacja kontrolowana objętościowo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color w:val="C9211E"/>
                <w:sz w:val="22"/>
                <w:szCs w:val="22"/>
              </w:rPr>
            </w:pPr>
          </w:p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color w:val="C9211E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5455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554556">
        <w:trPr>
          <w:trHeight w:val="452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ED1CC3">
            <w:pPr>
              <w:pStyle w:val="Bezodstpw"/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Wentylacja kontrolowana ciśnieniowo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5455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554556">
        <w:trPr>
          <w:trHeight w:val="28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5455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627A55">
        <w:trPr>
          <w:trHeight w:val="36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Tryb wentylacji typu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AutoFlow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, synchronizowany objętościowo (VC-SIMV/AF) i objętościowy (VC-CMV/AF)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54556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627A55">
        <w:trPr>
          <w:trHeight w:val="58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ED1CC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CPAP/PSV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jc w:val="center"/>
              <w:rPr>
                <w:rFonts w:cs="Calibri"/>
                <w:color w:val="C9211E"/>
                <w:sz w:val="18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Tak/podać</w:t>
            </w:r>
            <w:r>
              <w:rPr>
                <w:rFonts w:cs="Calibri"/>
                <w:color w:val="C9211E"/>
                <w:sz w:val="18"/>
                <w:szCs w:val="22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27A55" w:rsidTr="00554556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Pr="008871DB" w:rsidRDefault="00ED1CC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Funkcja Pauzy (zatrzymanie wentylacji kontrolowanej np. na czas odsysania śluzu lub zmiany pozycji pacjenta), prezentacja na ekranie respiratora czasu pozostałego do zakończenia pauzy, czas trwania pauzy regulowany w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zakresie do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10 min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Pr="00554556" w:rsidRDefault="00627A5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554556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ED1CC3">
            <w:pPr>
              <w:widowControl w:val="0"/>
              <w:rPr>
                <w:rFonts w:ascii="Calibri" w:hAnsi="Calibri" w:cs="Calibri"/>
                <w:color w:val="C9211E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Automatyczne przełączenie na gaz zastępczy</w:t>
            </w:r>
            <w:proofErr w:type="gramStart"/>
            <w:r w:rsidRPr="008871DB">
              <w:rPr>
                <w:rFonts w:ascii="Calibri" w:hAnsi="Calibri" w:cs="Calibri"/>
                <w:sz w:val="22"/>
                <w:szCs w:val="22"/>
              </w:rPr>
              <w:t>: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-po</w:t>
            </w:r>
            <w:proofErr w:type="gram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zaniku O2 na 100 % powietrze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-po zaniku N2O na 100 % O2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-po zaniku Powietrza na 100% O2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 xml:space="preserve">we wszystkich przypadkach bieżący przepływ Świeżych </w:t>
            </w:r>
            <w:r w:rsidRPr="008871DB">
              <w:rPr>
                <w:rFonts w:ascii="Calibri" w:hAnsi="Calibri" w:cs="Calibri"/>
                <w:sz w:val="22"/>
                <w:szCs w:val="22"/>
              </w:rPr>
              <w:lastRenderedPageBreak/>
              <w:t>Gazów pozostaje stały (nie zmienia się)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color w:val="C9211E"/>
                <w:sz w:val="22"/>
                <w:szCs w:val="22"/>
              </w:rPr>
            </w:pPr>
            <w:r>
              <w:rPr>
                <w:rFonts w:ascii="Calibri" w:hAnsi="Calibri" w:cs="Calibri"/>
                <w:color w:val="C9211E"/>
                <w:sz w:val="22"/>
                <w:szCs w:val="22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C1" w:rsidRPr="008871DB" w:rsidRDefault="00ED1CC3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Awaryjna podaż O2 i anestetyku z parownika po awarii zasilania sieciowego i rozładowanym akumulatorze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1CC3" w:rsidTr="00ED1CC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ED1CC3" w:rsidRDefault="00ED1CC3" w:rsidP="00ED1CC3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ED1CC3" w:rsidRPr="007458AA" w:rsidRDefault="00ED1CC3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458AA">
              <w:rPr>
                <w:rFonts w:ascii="Calibri" w:hAnsi="Calibri" w:cs="Calibri"/>
                <w:b/>
                <w:sz w:val="22"/>
                <w:szCs w:val="22"/>
              </w:rPr>
              <w:t>REGULACJE</w:t>
            </w:r>
          </w:p>
        </w:tc>
      </w:tr>
      <w:tr w:rsidR="00C414C1" w:rsidTr="00745A8D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7458AA" w:rsidP="00627A55">
            <w:pPr>
              <w:widowControl w:val="0"/>
              <w:rPr>
                <w:rFonts w:ascii="Calibri" w:hAnsi="Calibri" w:cs="Calibri"/>
                <w:color w:val="C9211E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regulacji częstości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oddechowej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3 do 100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odd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627A55" w:rsidTr="00627A55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Pr="008871DB" w:rsidRDefault="007458AA" w:rsidP="00627A55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regulacji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plateau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0% do 50%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627A55" w:rsidTr="00627A55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Pr="008871DB" w:rsidRDefault="007458AA" w:rsidP="00627A55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Zakres regulacji I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:E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 najmniej od 4:1 do 1:10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27A55" w:rsidRDefault="00627A55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745A8D" w:rsidTr="00627A55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Pr="008871DB" w:rsidRDefault="007458AA" w:rsidP="001C37B1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regulacji objętości oddechowej w trybie kontrolowanym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objętościowo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10 do 1500 ml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745A8D" w:rsidTr="00627A55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Pr="008871DB" w:rsidRDefault="007458AA" w:rsidP="00627A55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regulacji czułości wyzwalacza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przepływowego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0,3 l/min do 15 l/min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745A8D" w:rsidTr="00627A55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Pr="008871DB" w:rsidRDefault="007458AA" w:rsidP="00627A55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Ciśnienie wdechowe regulowane w zakresie co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najmniej  od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 do 80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hPa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(cmH2O)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 w:rsidP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A8D" w:rsidRDefault="00745A8D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 w:rsidTr="00034F0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Wspomaganie ciśnieniowe w trybie PSV regulowane w zakresie od 3 cmH2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 do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45 cmH2O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</w:t>
            </w:r>
            <w:r w:rsidR="00034F03" w:rsidRPr="00034F0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34F03">
              <w:rPr>
                <w:rFonts w:ascii="Calibri" w:hAnsi="Calibri" w:cs="Calibri"/>
                <w:sz w:val="22"/>
                <w:szCs w:val="22"/>
              </w:rPr>
              <w:t>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034F0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>
            <w:pPr>
              <w:widowControl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Regulacja czasu narastania ciśnienia w fazie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wdechowej  (nie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dotyczy czasu wdechu), podać zakres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55D6" w:rsidTr="00281DD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A55D6" w:rsidRPr="008871DB" w:rsidRDefault="007458AA" w:rsidP="00281DD3">
            <w:pPr>
              <w:widowControl w:val="0"/>
              <w:rPr>
                <w:rFonts w:ascii="Calibri" w:hAnsi="Calibri" w:cs="Calibri"/>
                <w:color w:val="000000" w:themeColor="text1"/>
                <w:kern w:val="2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Regulacja PEEP w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zakresie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od 2 do 20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hPa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(cmH2O); wymagana funkcja WYŁ (OFF)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55D6" w:rsidTr="007458AA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55D6" w:rsidRPr="00034F03" w:rsidRDefault="003A55D6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A55D6" w:rsidRPr="008871DB" w:rsidRDefault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Zmiana częstości oddechowej automatycznie zmienia czas wdechu (Ti) - tzw. blokada I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:E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, możliwe wyłączenie tej funkcjonalności przez użytkownika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Zasady oceny punktowej: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Tak – 4 pkt</w:t>
            </w:r>
          </w:p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 w:themeColor="text1"/>
                <w:kern w:val="2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 – 0 pkt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55D6" w:rsidRPr="00034F03" w:rsidRDefault="003A55D6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 xml:space="preserve">Tak/ </w:t>
            </w:r>
            <w:r w:rsidR="007458AA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7458AA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58AA" w:rsidRPr="008871DB" w:rsidRDefault="007458AA" w:rsidP="007458A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Zmiana nastawy PEEP powoduje automatyczną zmianę ciśnienia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Pwdech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(różnica pomiędzy PEEP i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Pwdech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pozostaje stała) możliwe wyłączenie tej funkcjonalności przez użytkownika</w:t>
            </w: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Zasady oceny punktowej: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Tak – 4 pkt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 – 0 pkt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 xml:space="preserve">Tak/ </w:t>
            </w: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1DD3" w:rsidTr="00281DD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281DD3" w:rsidRPr="00034F03" w:rsidRDefault="00281DD3" w:rsidP="00281DD3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81DD3" w:rsidRDefault="00281DD3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281DD3" w:rsidRPr="001E2951" w:rsidRDefault="007458AA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PREZENTACJE</w:t>
            </w:r>
          </w:p>
        </w:tc>
      </w:tr>
      <w:tr w:rsidR="003A55D6" w:rsidTr="00034F0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1DD3" w:rsidRPr="008871DB" w:rsidRDefault="007458AA">
            <w:pPr>
              <w:widowControl w:val="0"/>
              <w:rPr>
                <w:rFonts w:ascii="Calibri" w:hAnsi="Calibri" w:cs="Calibri"/>
                <w:color w:val="000000" w:themeColor="text1"/>
                <w:kern w:val="2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Prezentacja krzywych w czasie rzeczywistym: p(t), CO2(t), prezentacja pętli p-V, V-przepływ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55D6" w:rsidTr="00034F0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1DD3" w:rsidRPr="008871DB" w:rsidRDefault="007458AA">
            <w:pPr>
              <w:widowControl w:val="0"/>
              <w:rPr>
                <w:rFonts w:ascii="Calibri" w:hAnsi="Calibri" w:cs="Calibri"/>
                <w:color w:val="000000" w:themeColor="text1"/>
                <w:kern w:val="2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Prezentacja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minitrendów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krzywych oddechowych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Ekonometr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(funkcja pozwalająca na optymalny dobór przepływu świeżych gazów) wraz z prezentacją trendu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ekonometru</w:t>
            </w:r>
            <w:proofErr w:type="spellEnd"/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Funkcja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timera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Prezentacja ΔVT (różnicy między objętością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wdechową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wydechową)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Prezentacja MV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spont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RR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spont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(objętości minutowej i częstości oddechowej spontanicznej pacjenta)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Prezentacja trendów graficznych, funkcja "Zoom +/ Zoom -" ułatwiająca wybór interesującego okresu czasu, funkcja kursora - prezentacja wartości dla konkretnego punktu w czasie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F81712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Prezentacja podatności, oporu i elastancji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458AA" w:rsidRDefault="007458AA" w:rsidP="007458AA">
            <w:pPr>
              <w:jc w:val="center"/>
            </w:pPr>
            <w:r w:rsidRPr="00B3573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58AA" w:rsidRPr="00034F03" w:rsidRDefault="007458AA" w:rsidP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58AA" w:rsidTr="007458AA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58AA" w:rsidRPr="008871DB" w:rsidRDefault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Pomiar konsumpcji Świeżych Gazów i anestetyków na przypadek lub od ostatniego zerowania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Zasady oceny punktowej:</w:t>
            </w:r>
          </w:p>
          <w:p w:rsidR="007458AA" w:rsidRPr="008871DB" w:rsidRDefault="007458AA" w:rsidP="007458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Tak – 4 pkt</w:t>
            </w:r>
          </w:p>
          <w:p w:rsidR="007458AA" w:rsidRPr="008871DB" w:rsidRDefault="007458AA" w:rsidP="007458A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 – 0 pkt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 xml:space="preserve">Tak/ </w:t>
            </w: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58AA" w:rsidRPr="00034F03" w:rsidRDefault="007458A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1DD3" w:rsidTr="00281DD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281DD3" w:rsidRPr="00034F03" w:rsidRDefault="00281DD3" w:rsidP="00281DD3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81DD3" w:rsidRPr="001E2951" w:rsidRDefault="007458AA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FUNKCJONALNOŚĆ</w:t>
            </w:r>
          </w:p>
        </w:tc>
      </w:tr>
      <w:tr w:rsidR="003A55D6" w:rsidTr="00034F03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A55D6" w:rsidRPr="008871DB" w:rsidRDefault="007458AA">
            <w:pPr>
              <w:widowControl w:val="0"/>
              <w:rPr>
                <w:rFonts w:ascii="Calibri" w:hAnsi="Calibri" w:cs="Calibri"/>
                <w:color w:val="000000" w:themeColor="text1"/>
                <w:kern w:val="2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Kolorowy ekran, o regulowanej jasności i przekątnej powyżej15”, sterowanie: ekran dotykowy i pokrętło funkcyjne, ekran wbudowany z przodu aparatu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A55D6" w:rsidRPr="00034F03" w:rsidRDefault="003A55D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745A8D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 w:rsidP="003A55D6">
            <w:pPr>
              <w:widowControl w:val="0"/>
              <w:contextualSpacing/>
              <w:rPr>
                <w:rFonts w:ascii="Calibri" w:hAnsi="Calibri" w:cs="Calibri"/>
                <w:color w:val="C9211E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3A55D6">
            <w:pPr>
              <w:widowControl w:val="0"/>
              <w:jc w:val="center"/>
              <w:rPr>
                <w:rFonts w:ascii="Calibri" w:hAnsi="Calibri" w:cs="Calibri"/>
                <w:color w:val="C9211E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cs="Calibri"/>
                <w:color w:val="C9211E"/>
                <w:sz w:val="18"/>
                <w:szCs w:val="22"/>
              </w:rPr>
            </w:pPr>
          </w:p>
        </w:tc>
      </w:tr>
      <w:tr w:rsidR="00C414C1" w:rsidTr="00CC55CB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 w:rsidP="003A55D6">
            <w:pPr>
              <w:widowControl w:val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Możliwe ustawienie różnych kolorów parametrów, np. ciśnienia - czerwone, objętości - zielone, w celu łatwiejszego odczytu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C1" w:rsidRPr="008871DB" w:rsidRDefault="007458AA">
            <w:pPr>
              <w:widowControl w:val="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Wyświetlanie ustawionych granic alarmowych obok mierzonego parametru, możliwe wyłączenie tej funkcji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C1" w:rsidRPr="008871DB" w:rsidRDefault="007458AA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Możliwe kontynuowanie wentylacji mechanicznej w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przypadku gdy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pomiar przepływu ulegnie awarii (uszkodzony czujnik przepływu)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745A8D">
        <w:trPr>
          <w:trHeight w:val="12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8871DB" w:rsidRDefault="007458AA" w:rsidP="001C37B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Konfiguracja urządzenia może być eksportowana i importowana do/z innych aparatów tej serii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C414C1">
            <w:pPr>
              <w:widowControl w:val="0"/>
              <w:jc w:val="center"/>
              <w:rPr>
                <w:sz w:val="18"/>
              </w:rPr>
            </w:pPr>
          </w:p>
          <w:p w:rsidR="00C414C1" w:rsidRPr="00034F03" w:rsidRDefault="00C414C1">
            <w:pPr>
              <w:widowControl w:val="0"/>
              <w:jc w:val="center"/>
              <w:rPr>
                <w:rFonts w:cs="Calibri"/>
                <w:sz w:val="18"/>
              </w:rPr>
            </w:pPr>
          </w:p>
        </w:tc>
      </w:tr>
      <w:tr w:rsidR="00C414C1" w:rsidTr="00034F0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 w:rsidP="001C37B1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gazowy w aparacie (pomiar w strumieniu bocznym): pomiary i prezentacja wdechowego i wydechowego stężenia: O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(pomiar paramagnetyczny),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O,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, anestetyki (SEV, DES, ISO), automatyczna identyfikacja anestetyku, MAC skorelowany do wieku pacjenta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Tak/ podać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C1" w:rsidRPr="008871DB" w:rsidRDefault="007458AA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Powrót próbki gazowej do układu oddechowego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14C1" w:rsidTr="009415DF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C1" w:rsidRPr="008871DB" w:rsidRDefault="007458AA" w:rsidP="009415DF">
            <w:pPr>
              <w:widowControl w:val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Wielostopniowa rekrutacja pęcherzyków płucnych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14C1" w:rsidRPr="00034F03" w:rsidRDefault="006D4D1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C414C1" w:rsidTr="00F2792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414C1" w:rsidRPr="008871DB" w:rsidRDefault="007458AA" w:rsidP="00034F0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 przypadku anulowania rekrutacji – powolny spadek ciśnienia do początkowej wartości sprzed rozpoczęcia manewru rekrutacji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034F03" w:rsidRDefault="006D4D16" w:rsidP="00034F03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Eksport do pamięci zewnętrznej USB: widoku ekranu (tzw.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PrtScr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zrzut ekranu), Dziennika (tzw.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Rejestr  lub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Dziennik Zdarzeń lub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Logbook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, gdzie zapisywane są parametry pracy), wyników Testu, danych trendów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Jednoczesna prezentacja min. pętli oddechowych (objętość/ciśnienie, przepływ/objętość) z pętlą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referncyjną</w:t>
            </w:r>
            <w:proofErr w:type="spellEnd"/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Prezntacja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parmetrów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cyfrowych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wdechowej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wydechowej objętości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oddechwej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pomiarem minutowej objętości oddechowej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Zaprogramowanie automatycznego (bez jakiejkolwiek interakcji ze strony użytkownika) testu aparatu od poniedziałku do niedzieli; zaprogramowanie godziny, o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której pacjent może być podłączony do aparatu po uprzednim automatycznym teście sprzętu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Trendy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7D7E9D" w:rsidTr="00F81712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Pr="008871DB" w:rsidRDefault="007D7E9D" w:rsidP="007D7E9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Automatyczne wstępne skalkulowanie parametrów wentylacji na podstawie wprowadzonej masy ciała i/lub wzrostu pacjenta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7E9D" w:rsidRDefault="007D7E9D" w:rsidP="007D7E9D">
            <w:pPr>
              <w:jc w:val="center"/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7E9D" w:rsidRDefault="007D7E9D" w:rsidP="007D7E9D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CD4EFA" w:rsidTr="00CD4EFA">
        <w:trPr>
          <w:trHeight w:val="344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CD4EFA" w:rsidRDefault="00CD4EFA" w:rsidP="00CD4EFA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CD4EFA" w:rsidRPr="001E2951" w:rsidRDefault="00A658BE" w:rsidP="001E2951">
            <w:pPr>
              <w:widowControl w:val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ALARMY</w:t>
            </w:r>
          </w:p>
        </w:tc>
      </w:tr>
      <w:tr w:rsidR="00034F03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034F0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Funkcja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Autoustawienia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alarmów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034F03" w:rsidP="00034F03">
            <w:pPr>
              <w:jc w:val="center"/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034F03" w:rsidTr="00745A8D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34F03" w:rsidRPr="008871DB" w:rsidRDefault="0046165D" w:rsidP="00537D5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ciśnienia w drogach oddechowych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D4D16" w:rsidRDefault="006D4D16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34F03" w:rsidRPr="00034F03" w:rsidRDefault="006D4D16" w:rsidP="00034F03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F03" w:rsidRDefault="00034F03" w:rsidP="00034F03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034F03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537D5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objętości minutowej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034F03" w:rsidP="00034F03">
            <w:pPr>
              <w:jc w:val="center"/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widowControl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034F03" w:rsidTr="006D4D16">
        <w:trPr>
          <w:trHeight w:val="34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034F0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bezdechu generowany na podstawie analizy przepływu, ciśnienia, CO2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6D4D16" w:rsidP="00034F03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4F03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034F0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stężenia anestetyku wziewnego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AC3234" w:rsidP="00034F03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4F03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CD4EF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braku zasilania w O2, Powietrze, N2O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034F03" w:rsidP="00034F03">
            <w:pPr>
              <w:jc w:val="center"/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4F03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8871DB" w:rsidRDefault="0046165D" w:rsidP="00034F0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Alarm wykrycia drugiego anestetyku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03" w:rsidRPr="00034F03" w:rsidRDefault="00034F03" w:rsidP="00034F03">
            <w:pPr>
              <w:jc w:val="center"/>
            </w:pPr>
            <w:r w:rsidRPr="00034F0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03" w:rsidRDefault="00034F03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6165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5D" w:rsidRDefault="0046165D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5D" w:rsidRPr="008871DB" w:rsidRDefault="0046165D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Alarm Niski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xMAC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Możliwa dezaktywacja monitorowania </w:t>
            </w:r>
            <w:proofErr w:type="spellStart"/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xMAC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zabezpieczenie przed pojawianiem się alarmu Niski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xMAC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gdy stężenie anestetyku spada pod koniec znieczulania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5D" w:rsidRPr="00034F03" w:rsidRDefault="00DA2B3F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5D" w:rsidRDefault="0046165D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DA2B3F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DA2B3F" w:rsidRDefault="00DA2B3F" w:rsidP="00DA2B3F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DA2B3F" w:rsidRPr="00DA2B3F" w:rsidRDefault="00DA2B3F" w:rsidP="00DA2B3F">
            <w:pPr>
              <w:pStyle w:val="Bezodstpw"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2B3F"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NNE</w:t>
            </w: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Instrukcja obsługi i użytkowania w języku polskim, wersja drukowana, książkowa – nie dopuszcza się kserokopii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034F03" w:rsidRDefault="00DA2B3F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Oprogramowanie w języku polskim.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034F03" w:rsidRDefault="00DA2B3F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723921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Ssak inżektorowy napędzany powietrzem z sieci centralnej, zasilanie ssaka z przyłączy w aparacie, zbiornik na wydzielinę o objętości minimum 700 ml.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034F03" w:rsidRDefault="00DA2B3F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4A77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Dreny do podłączenia O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, N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 i Powietrza o dł. 5m każdy; wt</w:t>
            </w:r>
            <w:r w:rsidRPr="008871DB">
              <w:rPr>
                <w:rFonts w:ascii="Calibri" w:hAnsi="Calibri" w:cs="Calibri"/>
                <w:sz w:val="22"/>
                <w:szCs w:val="22"/>
              </w:rPr>
              <w:t>yki typu AGA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Dodatkowe gniazda elektryczne, co najmniej 4 szt., zabezpieczone bezpiecznikami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Całkowicie automatyczny test główny bez interakcji z użytkownikiem w trakcie trwania procedury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System ewakuacji gazów, zintegrowany, z niezbędnymi akcesoriami umożliwiającymi podłączenie do odciągu szpitalnego, wskaźnik przepływu ewakuowanych gazów w formie wychylającej się klapki informującej użytkownika o sile odciągu gazów na stanowisku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Moduł lub urządzenie zewnętrzne do transportu pacjenta z sali operacyjnej na salę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wybudzeń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zapewniające wspomaganie oddechu mechanicznego w trybach objętościowych, spontanicznych i NIV o wadze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 przekraczającej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kg z kolorowym obrotowym ekranem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18524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DA2B3F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DA2B3F" w:rsidRDefault="00DA2B3F" w:rsidP="00DA2B3F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DA2B3F" w:rsidRPr="00DA2B3F" w:rsidRDefault="00DA2B3F" w:rsidP="00DA2B3F">
            <w:pPr>
              <w:pStyle w:val="Bezodstpw"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2B3F">
              <w:rPr>
                <w:rFonts w:ascii="Calibri" w:hAnsi="Calibri" w:cs="Calibri"/>
                <w:b/>
                <w:sz w:val="22"/>
                <w:szCs w:val="22"/>
              </w:rPr>
              <w:t>AKCESORIA DODATKOWE</w:t>
            </w: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Zbiornik wielorazowy na wapno, możliwa sterylizacja parowa w temperaturze 134 st. C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970FB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Jednorazowe układy oddechowe, (worek oddechowy 2 L, długość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rur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najmniej 170 cm) – min. 25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970FB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Jednorazowe wkłady na wydzielinę z żelem – 25 szt. (nie dopuszcza się wkładów ssaka bez substancji żelującej </w:t>
            </w:r>
            <w:proofErr w:type="spell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umowżliwiającej</w:t>
            </w:r>
            <w:proofErr w:type="spell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wyrzucenie </w:t>
            </w:r>
            <w:proofErr w:type="gram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wkładu jako</w:t>
            </w:r>
            <w:proofErr w:type="gram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odpad komunalny zamiast odpadu medycznego) wraz z drenem ssaka o dł. min. 2 m – min. 25 szt.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970FB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Pułapki wodne do modułu gazowego 12 szt.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970FB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Linie próbkujące min. 50 szt.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970FB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Czujniki przepływu min. 2 szt. wielorazowego użytku z możliwością sterylizacji zamontowane w aparacie do znieczulania oraz min. 5 szt.</w:t>
            </w:r>
            <w:bookmarkStart w:id="0" w:name="_GoBack"/>
            <w:bookmarkEnd w:id="0"/>
          </w:p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proofErr w:type="gram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dodatkowych</w:t>
            </w:r>
            <w:proofErr w:type="gram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wielorazowych czujników przepływu z możliwością sterylizacji lub dezynfekcji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dostawie 24 zbiorniki jednorazowe z wapnem sodowanym, objętość pochłaniacza jednorazowego minimum 1200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ml (jeśli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mniejsza objętość oferowanego wapna niż 1200 ml to należy zaoferować min. 28,8 litra lub więcej)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Pr="008871DB" w:rsidRDefault="00DA2B3F" w:rsidP="00DA2B3F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Akcesoria pomiarowe i użytkowe kompatybilne z posiadanymi przez Zamawiającego aparatami klasy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Fabius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Primus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B3F" w:rsidRDefault="00DA2B3F" w:rsidP="00DA2B3F">
            <w:pPr>
              <w:jc w:val="center"/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B3F" w:rsidRDefault="00DA2B3F" w:rsidP="00DA2B3F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B3F" w:rsidTr="00DA2B3F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DA2B3F" w:rsidRDefault="00DA2B3F" w:rsidP="00DA2B3F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DA2B3F" w:rsidRPr="00DA2B3F" w:rsidRDefault="00DA2B3F" w:rsidP="00DA2B3F">
            <w:pPr>
              <w:pStyle w:val="Bezodstpw"/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2B3F">
              <w:rPr>
                <w:rFonts w:ascii="Calibri" w:hAnsi="Calibri" w:cs="Calibri"/>
                <w:b/>
                <w:sz w:val="22"/>
                <w:szCs w:val="22"/>
              </w:rPr>
              <w:t>MONITOR DO APARATU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przeznaczony do monitorowania pacjentów wszystkich kategorii wiekowych: dorosłych, dzieci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noworodków, z łatwym przełączaniem kategorii, powiązanej z algorytmami pomiarowymi i ustawieniami monitora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71B1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Monitor pacjenta składa się z monitora stacjonarnego i modułu transportowego, zgodnie ze szczegółowymi wymaganiami, znajdującymi się w dalszej części specyfikacji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71B1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Monitor wyposażony w funkcję automatycznego dopasowania układu ekranu do aktualnie monitorowanych parametrów, włączającą i usuwającą odpowiednie pola krzywych dynamicznych i wartości liczbowych parametrów, bez zakłócania pracy monitora i bez konieczności ręcznego włączania i usuwania tych pól. Wymagane jest działanie "Plug and Play".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Pola wyświetlające monitorowane parametry powinny automatycznie zwiększać swoje wymiary wraz ze zmniejszaniem liczby jednocześnie monitorowanych parametrów, wykorzystując do wyświetlania cały ekran monitora.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Każdy monitor umożliwia jednoczesne wyświetlanie wszystkich wymaganych parametrów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71B11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wyposażony w kolorowy ekran, z możliwością wyświetlania przynajmniej 10 krzywych dynamicznych na całej szerokości ekranu, od jego krawędzi do pola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parametrów powiązanych z odpowiadającymi im krzywymi. Przekątna ekranu min. 17” w formacie panoramicznym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71B11"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o jednoczesne wyświetlanie przynajmniej 16 krzywych dynamicznych w dowolnym momencie, bez wysyłania zestawu do serwisu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wyposażenia części stacjonarnej monitora w ekran o przekątnej min. 21"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rozbudowy o dodatkowy ekran kopiujący oraz możliwość rozbudowy o dodatkowy ekran z niezależną konfiguracją sposobu wyświetlania 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Ekran ze sterowaniem dotykowym, z możliwością obsługi w rękawiczkach, zapewniający prezentację monitorowanych parametrów życiowych pacjenta i interaktywne sterowanie pomiarami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Sterowanie monitorem za pomocą menu ekranowego w języku polskim: dostęp do często używanych funkcji za pomocą dedykowanych przycisków ekranowych, wybór parametru i funkcji przez dotyk na ekranie, zmiana wartości oraz wybór pozycji z listy przy pomocy pokrętła, zatwierdzanie wyboru przez naciśnięcie pokrętła.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szczególności wyklucza się rozwiązania wykorzystujące do sterowania funkcjami monitora tzw. "gesty dotykowe", które nie zapewniają jednoznaczności wyniku działania.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monitora o interaktywny dostęp na jego ekranie do zasobów informatycznych sieci komputerowej szpitala, takich jak diagnostyka obrazowa, dane laboratoryjne, ruch chorych, komputerowa karta chorobowa, dedykowane strony www, z wyświetlaniem danych na pełnym ekranie oferowanego monitora, z zachowaniem ciągłego podglądu podstawowych monitorowanych parametrów pacjenta na ekranie modułu transportowego. Obsługa dostępu do zasobów sieciowych za pomocą ekranu dotykowego oraz za pomocą klawiatury i myszy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rozbudowy oferowanego systemu monitorowania o komputerową kartę znieczulenia, posiadającą przynajmniej następującą funkcjonalność: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możliwość automatycznego pobierania danych pacjenta ze szpitalnego systemu komputerowego (typu HIS),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wykorzystaniem protokołu HL7 (przynajmniej imię i nazwisko, wiek, wzrost i masa ciała), na podstawie wprowadzonego numeru identyfikacyjnego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dokumentacja terapii płynowej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lekowej </w:t>
            </w:r>
          </w:p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formularze do wydruku oparte na aktualnym rozporządzeniu Ministra zdrowia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możliwość archiwizacji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możliwość wykorzystania zbieranych danych do analiz i porównań, przy wykorzystaniu standardowych narzędzi analitycznych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Możliwość takiej rozbudowy dostępna w dniu składania oferty.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F4CBD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wyposażony w funkcję wyświetlania, razem z danymi hemodynamicznymi, danych z podłączonego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aparatu do znieczulania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innych urządzeń, w zależności od udostępniania tych danych przez urządzenie źródłowe: w postaci przebiegów dynamicznych, wartości liczbowych parametrów i pętli oddechowych oraz stężeń wszystkich gazów monitorowanych przez aparat. Dane z dodatkowych urządzeń są zapisywane w trendach monitora i udostępniane w sieci do wyświetlania w centrali i innych urządzeniach podłączonych do sieci. Możliwość jednoczesnego podłączenia przynajmniej 3 dodatkowych urządzeń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8C2F69"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wyposażony w narzędzie do precyzyjnej analizy ilościowej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 jakościowej zmian jednocześnie przynajmniej 9 wybranych parametrów, wyświetlanych w postaci trendów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ruchomymi kursorami służącymi do wybrania miejsca pomiaru przed zmianą i po zmianie, jednocześnie dla wszystkich obserwowanych parametrów. Wybór parametrów do analizy spośród wszystkich parametrów pochodzących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monitora i z aparatu do znieczulania oraz innych podłączonych urządzeń. Czas wyświetlanych danych w oknach trendów ustawiany przynajmniej od 1 minuty wzwyż. Drukowanie raportu podsumowania analizy.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szczególności narzędzie powinno umożliwić ocenę skutków i udokumentowanie przeprowadzenia manewru rekrutacji płuc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8C2F6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Interfejs ekranowy monitora zharmonizowany z interfejsem oferowanego aparatu do znieczulania, przynajmniej pod względem kolorystyki, wyglądu i położenia na ekranie podstawowych elementów, takich jak przyciski i inne elementy sterujące, pola komunikatów alarmowych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8C2F6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umożliwia przygotowanie domyślnej konfiguracji, automatycznie przyjmowanej dla każdego nowego pacjenta. W skład takiej konfiguracji wchodzi ustawienie sposobu wyświetlania parametrów (w tym kolory, kolejność), sposobu alarmowania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(w tym głośność alarmów, aktywacja alarmów wybranych parametrów i sposób ich archiwizacji), ustawione granice alarmowe poszczególnych parametrów.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Możliwość zapamiętania i łatwego przywołania przynajmniej czterech takich zestawów dla każdej kategorii wiekowej pacjentów (dorośli, dzieci, noworodki)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8C2F6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CE3896" w:rsidRDefault="0018283D" w:rsidP="0018283D">
            <w:pPr>
              <w:widowControl w:val="0"/>
              <w:rPr>
                <w:rFonts w:ascii="Arial" w:hAnsi="Arial" w:cs="Arial"/>
                <w:color w:val="000000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rozbudowy systemu monitorowania o zdalny dostęp do parametrów mierzonych przez monitor, za pośrednictwem sieci szpitala, przewodowej i bezprzewodowej,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oknie przeglądarki internetowej na mobilnych i stacjonarnych urządzeniach komputerowych.</w:t>
            </w:r>
            <w:r w:rsidRPr="00955CF7">
              <w:rPr>
                <w:rFonts w:ascii="Arial" w:hAnsi="Arial" w:cs="Arial"/>
                <w:color w:val="000000"/>
              </w:rPr>
              <w:t xml:space="preserve">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Dostęp do podglądu danych z monitorów pacjenta możliwy tylko i wyłącznie przez upoważniony personel, po zalogowaniu się do systemu, za pomocą nazwy i okresowo zmienianego hasła lub za pomocą innego rozwiązania o równoważnym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poziomie zabezpieczenia przed nieupoważnionym dostępem do danych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E10AE"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systemu monitorowania o przenoszenie danych pacjenta z monitora do oprogramowania na komputerach PC. Przenoszenie tych danych możliwe tylko i wyłącznie za pomocą specjalnych narzędzi udostępnionych upoważnionemu personelowi, po zalogowaniu się do systemu przy pomocy nazwy i okresowo zmienianego hasła lub za pomocą innego rozwiązania o równoważnym poziomie zabezpieczenia przed nieupoważnionym dostępem do danych. W szczególności wyklucza się każdą możliwość bezpośredniego kopiowania danych pacjenta z monitora na wymienne nośniki pamięci (USB, SD itp.), podłączane do monitora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E10A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systemu monitorowania o zestaw narzędzi programistycznych, umożliwiających tworzenie przez użytkownika własnych aplikacji komputerowych, służących do oglądania i przetwarzania monitorowanych danych pacjenta za pośrednictwem urządzeń komputerowych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E10A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 przypadku odłączenia zasilania z sieci elektrycznej, monitor ma potencjalną możliwość kontynuacji monitorowania min.: EKG, ST, arytmii, oddechu, SpO2, ciśnienia metodą nieinwazyjną, ciśnienia metodą inwazyjną (w 8 torach), temperatury (w 4 torach) i CO2 co najmniej przez 3 godziny oraz zachowuje ciągłość monitorowania przynajmniej w zakresie trendów powyższych parametrów i zdarzeń alarmowych przed odłączeniem zasilania, w trakcie i po przywróceniu zasilania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4E10AE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1712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712" w:rsidRDefault="00F81712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12" w:rsidRPr="008871DB" w:rsidRDefault="00F81712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Monitor ergonomicznie zamocowany do aparatu do znieczulania na ramieniu aparatu wraz z modułem/monitorem transportowym umieszczonym poniżej. Dostępna deklaracja zgodności aparatu z monitorem wydana przez producenta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12" w:rsidRPr="00034F03" w:rsidRDefault="00F81712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712" w:rsidRDefault="00F81712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1712" w:rsidTr="00F81712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F81712" w:rsidRDefault="00F81712" w:rsidP="00F81712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F81712" w:rsidRDefault="00F81712" w:rsidP="00F81712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ALARMY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Ręczne oraz automatyczne ustawianie granic alarmowych na żądanie, na podstawie bieżących wartości parametrów, jednocześnie dla wszystkich monitorowanych parametrów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trwałego i czasowego zablokowania alarmów tylko ciśnienia inwazyjnego, niezależnie od pozostałych alarmów, z odpowiednią sygnalizacją takiego stanu lub inna metoda umożliwiająca przygotowanie linii pomiarowych ciśnienia przed przybyciem pacjenta oraz obsługę linii pomiarowych, bez zakłócania alarmami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bez ograniczania normalnego monitorowania innych parametrów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Rejestracja w pamięci monitora zdarzeń alarmowych z zapisem odcinka krzywej dynamicznej parametru wywołującego alarm, innych krzywych dynamicznych oraz wartości liczbowych wszystkich parametrów monitorowanych w czasie wystąpienia alarmu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Świetlna sygnalizacja alarmów,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trzech kolorach, odpowiadających poziomom alarmów (czerwony, żółty, niebieski), widoczna z każdej strony monitora (360 stopni)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Specjalny, dobrze widoczny wskaźnik informujący o wyciszeniu i o zawieszeniu alarmów, z informacją o pozostałym czasie wyciszenia i zawieszenia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Informacja o ustawionej głośności alarmów, stale wyświetlana na ekranie monitora. Wyjątkiem jest wystąpienie zdarzenia alarmowego lub wyciszenie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B776D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1712" w:rsidTr="00F81712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F81712" w:rsidRDefault="00F81712" w:rsidP="00F81712">
            <w:pPr>
              <w:widowControl w:val="0"/>
              <w:snapToGrid w:val="0"/>
              <w:spacing w:before="96" w:after="96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F81712" w:rsidRDefault="00F81712" w:rsidP="00F81712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TRANSPORT PACJENTA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Funkcja automatycznego przenoszenia danych demograficznych pacjenta przenoszonego z jednego stanowiska na drugie, podłączone do tej samej sieci. Brak konieczności wpisywania jego danych w monitorze pacjenta na stanowisku, do którego został przeniesiony, oraz brak konieczności ręcznego usuwania pacjenta z monitora będącego na stanowisku, które opuścił przenoszony pacjent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A701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wyposażony w moduł transportowy z możliwością ciągłego monitorowania przynajmniej: EKG w pełnym wymaganym zakresie, SpO2, ciśnienia metodą nieinwazyjną, ciśnienia metodą inwazyjną (x8), temperatury (x4), oraz CO2 w strumieniu głównym i bocznym,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 szczególności bez żadnych przerw związanych z rozpoczynaniem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kończeniem transportu oraz bez konieczności wymiany modułów pomiarowych i układów pacjenta na czas transportu. Ciągłość monitorowania dotyczy trendów wszystkich monitorowanych parametrów modułu transportowego, urządzeń podłączonych na poprzednim stanowisku, wyników obliczeń oraz zdarzeń alarmowych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A701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Rozpoczęcie i zakończenie transportu monitora nie wymaga podłączania ani odłączania jakichkolwiek przewodów. Odłączenie i podłączenie modułu transportowego do części stacjonarnej monitora możliwe przy użyciu jednej ręki, bez konieczności demontowania uchwytu transportowego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Masa modułu transportowego z wbudowanymi modułami do EKG, TEMP, NIBP, CO2 max. 2 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Zasilanie z wbudowanego akumulatora minimum przez 3 godziny ciągłego monitorowania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Moduł transportowy umożliwia sterowanie pracą pompy do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kontrpulsacji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podczas transportu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transportowy wyposażony w ekran dotykowy o przekątnej min. 6”.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Ekran dotykowy modułu transportowego przystosowany do warunków transportowych: zabezpieczony przed nieoczekiwaną zmianą wyświetlanych informacji,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a w szczególności przed reagowaniem na krótkie, przypadkowe dotknięcia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przesunięcia palcem, czy palcami po ekranie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transportowy, przystosowany do zagrożeń związanych z transportem, odporny na zachlapania (min. IPX4) i upadek z wysokości przynajmniej 1 metra, potwierdzone odpowiednimi deklaracjami producenta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przystosowany do warunków transportowych z odpowiednim kształtem obudowy ułatwiającym przenoszenie lub zewnętrzny uchwyt, którego nie trzeba demontować na czas dokowania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rozbudowy o połączenie bezprzewodowe (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WiFi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) z siecią centralnego monitorowania, uruchamiane samoczynnie bezpośrednio po zdjęciu modułu ze stanowiska pacjenta.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Transmisja bezprzewodowa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WiFi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zabezpieczona na poziomie przynajmniej WPA2-PSK lub równoważnym. Rozwiązania inne, niż oparte na standardach przemysłowych, nie będą akceptowane.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Rozbudowa o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WiFi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możliwa bez konieczności wysyłania monitora do serwisu. Funkcjonalność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WiFi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może zmienić wymiarów, masy, ani odporności modułu na warunki zewnętrzne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C71615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Moduł transportowy, zamocowany na stanowisku, przesyła dane do systemu monitorowania przez łącze optyczne, którego nie da się uszkodzić mechanicznie przy dowolnie częstym podłączaniu i odłączaniu modułu,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które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nawet jeśli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uszkodzone, nie przenosi uszkodzeń na inne moduły.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E379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Moduł przystosowany do mocowania z prawej i lewej strony stanowiska w taki sposób, że przewody łączące monitor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pacjentem są skierowane bezpośrednio w stronę pacjenta,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zachowaniem odpowiedniej widoczności ekranu. Automatyczny obrót zawartości ekranu o 180 stopni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E379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transportowy zamocowany na stanowisku umożliwia jednoczesną, ciągłą obserwację danych na ekranie stacjonarnym i na ekranie modułu transportowego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E379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1712" w:rsidTr="00F81712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F81712" w:rsidRDefault="00F81712" w:rsidP="00F81712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F81712" w:rsidRDefault="00F81712" w:rsidP="00F81712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EKG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monitorowania oraz jednoczesnego wyświetlania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odprowadzeń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EKG: 1 (wybieranego przez użytkownika) z 3 elektrod, 7 z 5 elektrod, 8 z 6 elektrod oraz 12 z 10 elektrod, po zastosowaniu odpowiedniego przewodu pomiarowego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DD04AA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Włączany na żądanie filtr ograniczający zakłócenia wysokiej częstotliwości, pochodzące z urządzeń do elektrochirurgii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DD04AA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Analiza arytmii zgłaszająca arytmie według 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przynajmniej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 różnych definicji, z możliwością wprowadzenia zmian w poszczególnych definicjach, dotyczących liczby i częstości skurczów komorowych oraz z możliwością zmiany poziomu poszczególnych alarmów arytmii,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zakresie: wysoki, średni, niski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DD04AA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1712" w:rsidTr="00F81712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F81712" w:rsidRDefault="00F81712" w:rsidP="00F81712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F81712" w:rsidRDefault="00F81712" w:rsidP="00F81712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ODDECHU</w:t>
            </w:r>
          </w:p>
        </w:tc>
      </w:tr>
      <w:tr w:rsidR="00F81712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712" w:rsidRDefault="00F81712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12" w:rsidRPr="008871DB" w:rsidRDefault="009539A0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Monitorowanie oddechu metodą impedancyjną z elektrod EKG (wartości liczbowe i krzywa dynamiczna), z możliwością zmiany odprowadzenia wybranego do monitorowania (I albo II), bez konieczności przepinania przewodu EKG ani zmiany położenia elektrod na pacjencie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12" w:rsidRPr="00034F03" w:rsidRDefault="0018283D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712" w:rsidRDefault="00F81712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POMIAR SATURACJI I TĘTNA </w:t>
            </w:r>
            <w:r w:rsidRPr="009539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SpO2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Moduł pomiarowy SpO2 umożliwiający poprawne pomiary w warunkach niskiej perfuzji i artefaktów ruchowych algorytmem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Masimo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rainbow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SET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15023C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Możliwość zmiany w przyszłości przez </w:t>
            </w:r>
            <w:proofErr w:type="gramStart"/>
            <w:r w:rsidRPr="008871DB">
              <w:rPr>
                <w:rFonts w:ascii="Calibri" w:hAnsi="Calibri" w:cs="Calibri"/>
                <w:sz w:val="22"/>
                <w:szCs w:val="22"/>
              </w:rPr>
              <w:t>użytkownika  na</w:t>
            </w:r>
            <w:proofErr w:type="gram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pomiar saturacji algorytmem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Nellcor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pozwalającym na wykorzystanie wszystkich czujników z katalogu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Nellcor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– bez konieczności wysyłania monitora do producenta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15023C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Możliwość rozbudowy w przyszłości pomiaru SpO2 o: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SpHb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™,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SpOC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™,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SpMet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®,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SpCO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®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15023C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Monitor umożliwia podłączenie drugiego toru pomiarowego saturacji, 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 xml:space="preserve">z wyświetlaniem różnicy saturacji mierzonej w dwóch torach. Możliwość zamiennego stosowania technologii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Masimo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SET i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Nellcor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w drugim torze, niezależnie od technologii wykorzystywanej w podstawowym torze.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Możliwość opisania miejsca pomiaru w drugim torze za pomocą standardowych oznaczeń, przynajmniej 6 różnych oznaczeń do wyboru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15023C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NIEINWAZYJNY POMIAR CIŚNIENIA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Pomiar ciśnienia tętniczego metodą nieinwazyjną, tryb pracy ręczny i automatyczny z programowaniem odstępów między pomiarami przynajmniej do 4 godzin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8704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Tryb </w:t>
            </w:r>
            <w:proofErr w:type="spellStart"/>
            <w:r w:rsidRPr="008871DB">
              <w:rPr>
                <w:rFonts w:ascii="Calibri" w:hAnsi="Calibri" w:cs="Calibri"/>
                <w:sz w:val="22"/>
                <w:szCs w:val="22"/>
              </w:rPr>
              <w:t>stazy</w:t>
            </w:r>
            <w:proofErr w:type="spellEnd"/>
            <w:r w:rsidRPr="008871DB">
              <w:rPr>
                <w:rFonts w:ascii="Calibri" w:hAnsi="Calibri" w:cs="Calibri"/>
                <w:sz w:val="22"/>
                <w:szCs w:val="22"/>
              </w:rPr>
              <w:t xml:space="preserve"> żylnej i ciągłych pomiarów przez przynajmniej 5 minut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8704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E8704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INWAZYJNY POMIAR CIŚNIENIA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Możliwość przypisania nazw do poszczególnych torów pomiarowych, powiązanych z miejscem pomiaru, łącznie przynajmniej 28 nazw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358E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 xml:space="preserve">Monitor może obsłużyć pomiar przynajmniej 8 ciśnień, również 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w transporcie, bez konieczności przełączania linii pomiarowych do transportu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358E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wyświetlania wszystkich mierzonych ciśnień w oddzielnych oknach oraz w jednym oknie ze wspólną skalą i z indywidualnymi skalami, na siatce i bez siatki, do wyboru przez użytkownika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358E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Pomiar PPV i SPV w wybranym torze pomiarowym, z możliwością wyboru miejsca pomiaru na krzywej dynamicznej ciśnienia, w oparciu o krzywą referencyjną oddechu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358E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wyzerowania wszystkich ciśnień jednym poleceniem (np. przyciskiem)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358E0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TEMPERATURY</w:t>
            </w:r>
          </w:p>
        </w:tc>
      </w:tr>
      <w:tr w:rsidR="009539A0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9A0" w:rsidRDefault="009539A0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A0" w:rsidRPr="008871DB" w:rsidRDefault="009539A0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może 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obsłużyć pomiar przynajmniej 4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temperatur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A0" w:rsidRPr="00034F03" w:rsidRDefault="0018283D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9A0" w:rsidRDefault="009539A0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Wyświetlanie temperatury T1, T2 i różnicy temperatur, w przypadku podłączenia dwóch czujników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F1192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przydzielania dodatkowych etykiet (oprócz 1, 2… lub a, b…) do poszczególnych torów pomiarowych temperatury, precyzujących miejsce dokonywania pomiaru, za pomocą standardowych etykiet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, przynajmniej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11 różnych nazw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F1192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Moduł lub zewnętrzny monitor do pomiaru temperatury głębokiej sposobem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nieiwazyjnym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F1192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Pr="009539A0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539A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OMIAR</w:t>
            </w:r>
            <w:r w:rsidRPr="009539A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CO</w:t>
            </w:r>
            <w:proofErr w:type="gramEnd"/>
            <w:r w:rsidRPr="009539A0">
              <w:rPr>
                <w:rFonts w:ascii="Calibri" w:hAnsi="Calibri" w:cs="Calibri"/>
                <w:bCs/>
                <w:color w:val="000000"/>
                <w:sz w:val="22"/>
                <w:szCs w:val="22"/>
                <w:vertAlign w:val="subscript"/>
              </w:rPr>
              <w:t>2</w:t>
            </w:r>
          </w:p>
        </w:tc>
      </w:tr>
      <w:tr w:rsidR="009539A0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9A0" w:rsidRDefault="009539A0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A0" w:rsidRPr="008871DB" w:rsidRDefault="009539A0" w:rsidP="00034F0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Monitor posiada możliwość </w:t>
            </w:r>
            <w:proofErr w:type="gram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pomiaru CO</w:t>
            </w:r>
            <w:proofErr w:type="gramEnd"/>
            <w:r w:rsidRPr="008871DB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drogach oddechowych w strumieniu bocznym u pacjentów zaintubowanych i nie zaintubowanych oraz możliwość pomiaru w strumieniu głównym, po podłączeniu odpowiedniego modułu, stacjonarnie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w transporcie, bez konieczności przełączania układu pomiarowego do transportu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9A0" w:rsidRPr="00034F03" w:rsidRDefault="0018283D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9A0" w:rsidRDefault="009539A0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9A0" w:rsidTr="009539A0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9539A0" w:rsidRDefault="009539A0" w:rsidP="009539A0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9539A0" w:rsidRPr="0018283D" w:rsidRDefault="009539A0" w:rsidP="009539A0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283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POMIAR ZWIOTCZENIA i BIS ZA POMOCĄ MONITORA LUB MODUŁU Z WŁASNYM ZASILANIEM AWARYJNYM</w:t>
            </w:r>
          </w:p>
        </w:tc>
      </w:tr>
      <w:tr w:rsidR="009539A0" w:rsidTr="002925E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39A0" w:rsidRDefault="009539A0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539A0" w:rsidRPr="008871DB" w:rsidRDefault="009539A0" w:rsidP="00034F03">
            <w:pPr>
              <w:widowControl w:val="0"/>
              <w:rPr>
                <w:rFonts w:ascii="Calibri" w:hAnsi="Calibri" w:cs="Calibri"/>
                <w:color w:val="00000A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Pomiar przewodnictwa nerwowo mięśniowego za pomocą </w:t>
            </w:r>
            <w:proofErr w:type="gram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osobnego  lub</w:t>
            </w:r>
            <w:proofErr w:type="gram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modułu poprzez stymulację nerwu łokciowego i rejestracji odpowiedzi za pomocą czujnika 3D, mierzącego drgania kciuka we wszystkich kierunkach, bez konieczności kalibracji czujnika przed wykonaniem pomiaru. Dostępne metody stymulacji, przynajmniej</w:t>
            </w:r>
            <w:proofErr w:type="gram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:</w:t>
            </w: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br/>
              <w:t>- Train</w:t>
            </w:r>
            <w:proofErr w:type="gram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Of </w:t>
            </w:r>
            <w:proofErr w:type="spell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Four</w:t>
            </w:r>
            <w:proofErr w:type="spell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, obliczanie T1/T4 i Tref/T4</w:t>
            </w: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br/>
              <w:t>- TOF z ustawianymi odstępami automatycznych pomiarów</w:t>
            </w: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br/>
              <w:t xml:space="preserve">- Tetanus 50 </w:t>
            </w:r>
            <w:proofErr w:type="spell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Hz</w:t>
            </w:r>
            <w:proofErr w:type="spellEnd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br/>
              <w:t xml:space="preserve">- Single </w:t>
            </w:r>
            <w:proofErr w:type="spellStart"/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Twitch</w:t>
            </w:r>
            <w:proofErr w:type="spellEnd"/>
          </w:p>
          <w:p w:rsidR="009539A0" w:rsidRPr="008871DB" w:rsidRDefault="009539A0" w:rsidP="00034F03">
            <w:pPr>
              <w:widowControl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Zasady oceny punktowej:</w:t>
            </w:r>
          </w:p>
          <w:p w:rsidR="009539A0" w:rsidRPr="008871DB" w:rsidRDefault="009539A0" w:rsidP="009539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Zewnętrzny monitor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umowżliwiający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pracę na dowolnym stanowisku bez względu na posiadany monitor – 4 pkt</w:t>
            </w:r>
          </w:p>
          <w:p w:rsidR="009539A0" w:rsidRPr="008871DB" w:rsidRDefault="009539A0" w:rsidP="009539A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– 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539A0" w:rsidRPr="00034F03" w:rsidRDefault="0018283D" w:rsidP="00034F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2E39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39A0" w:rsidRDefault="009539A0" w:rsidP="00034F03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Zasilanie sieciowo-akumulatorowe na ok. miesiąc pracy przy założeniu 10 pomiarów dziennie; nie dopuszcza się urządzenia lub modułu bez zasilania awaryjnego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5268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Obsługa monitora za pomocą pokrętła nastawczego; menu w jęz. polskim, ekran kolorowy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5268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Waga monitora ok. 190 gram bez kabli pomiarowych; poniżej 350 g. z kablami pomiarowymi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5268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A"/>
                <w:sz w:val="22"/>
                <w:szCs w:val="22"/>
              </w:rPr>
              <w:t>Monitor zamontowany na ruchomym ramieniu ułatwiającym użytkownikowi zmianę konta nachylenia ramienia w poziomie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652683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Możliwość stosowania czujników jednorazowych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8003A4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2925E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Monitorowanie BIS za pomocą niezależnego monitora lub modułu z własnym zasilaniem awaryjnym na min. 45 min. pracy; nie dopuszcza się Entropii</w:t>
            </w:r>
          </w:p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8871D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Zasady oceny punktowej:</w:t>
            </w:r>
          </w:p>
          <w:p w:rsidR="0018283D" w:rsidRPr="008871DB" w:rsidRDefault="0018283D" w:rsidP="001828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Zewnętrzny monitor </w:t>
            </w:r>
            <w:proofErr w:type="spellStart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umowżliwiający</w:t>
            </w:r>
            <w:proofErr w:type="spellEnd"/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pracę na dowolnym stanowisku bez względu na posiadany monitor – 8 pkt</w:t>
            </w:r>
          </w:p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Moduł – 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283D" w:rsidRDefault="0018283D" w:rsidP="0018283D">
            <w:pPr>
              <w:jc w:val="center"/>
            </w:pPr>
            <w:r w:rsidRPr="008003A4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2925E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wyposażony w odpinany, samodzielnie działający moduł respiratora lub w samodzielny respirator transportowy:</w:t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1) Parametry ogólne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 xml:space="preserve"> 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Respirator do ratunkowej terapii oddechowej (wewnątrz i </w:t>
            </w:r>
            <w:proofErr w:type="spellStart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zewnątrzszpitalny</w:t>
            </w:r>
            <w:proofErr w:type="spellEnd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Respirator do terapii oddechowej w trakcie transportu szpitalnego.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Odporny zgodnie z normą minimum IP 34.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Odporny na zmiany temp. w zakresie minimum </w:t>
            </w:r>
            <w:proofErr w:type="gramStart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 -20 do</w:t>
            </w:r>
            <w:proofErr w:type="gramEnd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50ºC.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Zasilanie gazowe w tlen z butli lub centralnej instalacji o ciśnieniu </w:t>
            </w:r>
            <w:proofErr w:type="gramStart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roboczym  min</w:t>
            </w:r>
            <w:proofErr w:type="gramEnd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od 2,8 do 6,0 bar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Zasilanie z wewnętrznego akumulatora na min. 8 godz.</w:t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Możliwość rozbudowy o </w:t>
            </w:r>
            <w:proofErr w:type="gramStart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zasilanie  z</w:t>
            </w:r>
            <w:proofErr w:type="gramEnd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zewnętrznego źródła DC o napięciu  12, 24 lub 28 V.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Zasilanie AC 220 /230V AC.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Waga  maksymalna</w:t>
            </w:r>
            <w:proofErr w:type="gramEnd"/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respiratora (podstawowej jednostki z akumulatorem) do 4 kg.</w:t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Kompletny system do podłączenia butli z ochroną reduktora, torbą na akcesoria, pasek do przenoszenia.</w:t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Możliwość rozbudowy o dedykowany system zawieszenia respiratora wraz z uchwytem na 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ścianie budynku lub jednostki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transpotu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sanitarnego.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Możliwość rozbudowy w przyszłości o eksport danych (zrzuty ekranu, testy systemu, pliki dziennika pacjenta) za pomocą portu USB kompatybilny ze standardem min. 2.0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Ekran kolorowy do obsługi respiratora o przekątnej powyżej 4 cali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Możliwość obrotu ekranu o 180o w celu łatwiejszej obsługi respiratora przez personel. </w:t>
            </w:r>
            <w:r w:rsidRPr="008871D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Tak – 4 pkt.; 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Nie – 0 pkt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Poziom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natężęnia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dźwięku ≤45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dB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; poziom natężenia dźwięku sygnałów alarmowych w zależności od poziomu alarmu min. od 47 do 83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dB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(±5%)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Tryby wentylacji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  <w:t xml:space="preserve">: 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4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CMV - objętościowo kontrolowana</w:t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4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VC-AC - objętościowo kontrolowana.</w:t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4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VC-SIMV/PS- objętościowo kontrolowana.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Możliwość </w:t>
            </w: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rozbudowy  o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tryb PC-BIPAP/PSV - wspomaganie ciśnieniowe, ciśnieniowo kontrolowany.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Możliwość wentylacji w trybach objętościowych VT w zakresie od 50 ml do 2000 ml.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  <w:t xml:space="preserve"> 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NIV dostępna minimum w trybach CPAP, SPN-CPAP/PS.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Tryb RKO dostępny bezpośrednio z ekranu głównego lub wydzielonego </w:t>
            </w: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klawisza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Możliwość aktywacji pauzy w trybie RKO.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Wentylacja bezdechu w trybie SPN-CPAP.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Alarmy: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6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Niskiego ciśnienia gazów zasilających.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6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Rzeczywistej częstości oddechów –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Tachypnoe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6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Za wysokiego ciśnienia szczytowego wdechu.</w:t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5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Rozłączenia.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5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Alarm niskiej/ wysokiej wentylacji minutowej.</w:t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5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Alarm przecieku w układzie pacjenta.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pStyle w:val="Akapitzlist"/>
              <w:numPr>
                <w:ilvl w:val="0"/>
                <w:numId w:val="15"/>
              </w:numPr>
              <w:suppressAutoHyphens w:val="0"/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Alarm bezdechu.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Prezentacja krzywych na ekranie: przepływ, ciśnienie.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2) Inne wymagania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Tryb gotowości do pracy: możliwość natychmiastowego uruchomienia wentylacji z ustawionymi uprzednio parametrami.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Samodzielny </w:t>
            </w:r>
            <w:proofErr w:type="spell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autotest</w:t>
            </w:r>
            <w:proofErr w:type="spell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urządzenia w trakcie procedury uruchamiania.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Test urządzenia z i bez obwodu oddechowego wykonywany na żądanie użytkownika. Każdy test trwający nie więcej niż 1 minutę.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Możliwość rozbudowy o zintegrowany w respiratorze </w:t>
            </w: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pomiar CO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2 wraz z prezentacją parametrów na ekranie respiratora; czujnik CO2 może być używany przez respiratory serii Evita lub monitory IACS 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871D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Tak – 4 pkt.; 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Nie – 0 pkt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Opcjonalna możliwość doposażenia respiratora w wózek jezdny do transportu wewnątrzszpitalnego.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Reduktor do butli z </w:t>
            </w: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tlenem  z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drenem O2 do podłączenia do respiratora. 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- Uchwyt na butlę O2; możliwość wykorzystania butli O2 o poj. </w:t>
            </w:r>
            <w:proofErr w:type="gramStart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od</w:t>
            </w:r>
            <w:proofErr w:type="gramEnd"/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2,0 do 2,7 litra</w:t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Dren gazowy O2 długości 3 m do podłączenia respiratora do centralnej instalacji gazowej.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Układ oddechowy dla dorosłych: 10 kompletów jednorazowych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8871DB" w:rsidRDefault="0018283D" w:rsidP="0018283D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Informacja o pozostałym czasie pracy na zasilaniu akumulatorowym.</w:t>
            </w: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:rsidR="0018283D" w:rsidRPr="00955CF7" w:rsidRDefault="0018283D" w:rsidP="0018283D">
            <w:pPr>
              <w:widowControl w:val="0"/>
              <w:rPr>
                <w:rFonts w:ascii="Arial" w:hAnsi="Arial" w:cs="Arial"/>
                <w:color w:val="000000"/>
              </w:rPr>
            </w:pPr>
            <w:r w:rsidRPr="008871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Informacja o aktualnym zużyciu gazu napędowego (O2) na ekranie respiratora.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283D" w:rsidRDefault="0018283D" w:rsidP="0018283D">
            <w:pPr>
              <w:jc w:val="center"/>
            </w:pPr>
            <w:r w:rsidRPr="008003A4">
              <w:rPr>
                <w:rFonts w:ascii="Calibri" w:hAnsi="Calibri" w:cs="Calibri"/>
                <w:sz w:val="22"/>
                <w:szCs w:val="22"/>
              </w:rPr>
              <w:lastRenderedPageBreak/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25E3" w:rsidTr="002925E3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:rsidR="002925E3" w:rsidRDefault="002925E3" w:rsidP="002925E3">
            <w:pPr>
              <w:widowControl w:val="0"/>
              <w:snapToGrid w:val="0"/>
              <w:spacing w:before="96" w:after="96"/>
              <w:ind w:left="14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925E3" w:rsidRDefault="002925E3" w:rsidP="002925E3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AKCESORIA POMIAROWE</w:t>
            </w: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Przewód EKG do podłączenia 3 elektrod, długość przynajmniej 2 metry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sz w:val="22"/>
                <w:szCs w:val="22"/>
              </w:rPr>
              <w:t>Czujnik SpO</w:t>
            </w:r>
            <w:r w:rsidRPr="008871DB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 dla dorosłych na palec, </w:t>
            </w:r>
            <w:r w:rsidRPr="008871DB">
              <w:rPr>
                <w:rFonts w:ascii="Calibri" w:hAnsi="Calibri" w:cs="Calibri"/>
                <w:sz w:val="22"/>
                <w:szCs w:val="22"/>
              </w:rPr>
              <w:br/>
              <w:t>z przewodem min. 3 metry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Mankiety do pomiaru ciśnienia metodą nieinwazyjną, umożliwiające pomiary u pacjentów o przeciętnym wzroście, szczupłych i otyłych, przy zakresie obwodów ramienia 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przynajmniej od 17 do 53 cm. – min. 5 szt. w różnych rozmiarach. Przewód łączący mankiet z monitorem o długości przynajmniej 4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metrów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Czujnik temperatury skóry,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przewodem </w:t>
            </w:r>
            <w:r w:rsidRPr="008871DB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3 metry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Min. 60 jednorazowych elektrod pomiarowych do pomiaru temperatury głębokiej sposobem nieinwazyjnym (pomiar na czole pacjenta)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Akcesoria do pomiaru ciśnienia metodą inwazyjną w 2 torach z przygotowaniem pod przetworniki Baxter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Akcesoria do pomiaru NMT dla dorosłych na dłoni pacjenta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283D" w:rsidTr="005850CE">
        <w:trPr>
          <w:trHeight w:val="12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D27AD">
            <w:pPr>
              <w:widowControl w:val="0"/>
              <w:numPr>
                <w:ilvl w:val="0"/>
                <w:numId w:val="17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Pr="008871DB" w:rsidRDefault="0018283D" w:rsidP="0018283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71DB">
              <w:rPr>
                <w:rFonts w:ascii="Calibri" w:hAnsi="Calibri" w:cs="Calibri"/>
                <w:color w:val="000000"/>
                <w:sz w:val="22"/>
                <w:szCs w:val="22"/>
              </w:rPr>
              <w:t>Min. 25 szt. elektrod pomiarowych do BIS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83D" w:rsidRDefault="0018283D" w:rsidP="0018283D">
            <w:pPr>
              <w:jc w:val="center"/>
            </w:pPr>
            <w:r w:rsidRPr="009B7CE6"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83D" w:rsidRDefault="0018283D" w:rsidP="0018283D">
            <w:pPr>
              <w:pStyle w:val="Bezodstpw"/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4C1" w:rsidRDefault="00C414C1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</w:p>
    <w:p w:rsidR="00B017F6" w:rsidRDefault="00B017F6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</w:p>
    <w:tbl>
      <w:tblPr>
        <w:tblW w:w="11058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567"/>
        <w:gridCol w:w="6077"/>
        <w:gridCol w:w="1419"/>
        <w:gridCol w:w="2995"/>
      </w:tblGrid>
      <w:tr w:rsidR="00C414C1">
        <w:trPr>
          <w:trHeight w:val="648"/>
        </w:trPr>
        <w:tc>
          <w:tcPr>
            <w:tcW w:w="11058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shd w:val="clear" w:color="auto" w:fill="D5DCE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WARUNKI GWARANCJI I SERWISU</w:t>
            </w:r>
          </w:p>
        </w:tc>
      </w:tr>
      <w:tr w:rsidR="00C414C1">
        <w:trPr>
          <w:trHeight w:val="69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295574" w:rsidP="00FE0B5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8630B9">
              <w:rPr>
                <w:rFonts w:ascii="Calibri" w:hAnsi="Calibri" w:cs="Calibri"/>
                <w:sz w:val="22"/>
                <w:szCs w:val="22"/>
              </w:rPr>
              <w:t>24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m-c</w:t>
            </w:r>
            <w:r w:rsidR="00FE0B57">
              <w:rPr>
                <w:rFonts w:ascii="Calibri" w:hAnsi="Calibri" w:cs="Calibri"/>
                <w:sz w:val="22"/>
                <w:szCs w:val="22"/>
              </w:rPr>
              <w:t>e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(bezpłatne – wliczone w cenę oferty przeglądy w okresie gwarancji, min. 1x/rok lub częściej, zgodnie z zaleceniami producenta) wraz z wyst</w:t>
            </w:r>
            <w:r w:rsidR="001B29F0">
              <w:rPr>
                <w:rFonts w:ascii="Calibri" w:hAnsi="Calibri" w:cs="Calibri"/>
                <w:sz w:val="22"/>
                <w:szCs w:val="22"/>
              </w:rPr>
              <w:t>awieniem certyfikatu sprawności</w:t>
            </w:r>
          </w:p>
          <w:p w:rsidR="001E2951" w:rsidRDefault="001E2951" w:rsidP="001E2951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Czas reakcji liczony od przyjęcia zgłoszenia do momentu podjęcia naprawy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– 48 godzin w dni robocze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554556" w:rsidP="00295574">
            <w:pPr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 xml:space="preserve">Maksymalny czas niezbędny na usunięcie awarii od czasu zdiagnozowania awarii: </w:t>
            </w:r>
          </w:p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bez użycia części zamiennych - 3 dni 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z użyciem części zamiennych – 5 dni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Przedłużenie okresu gwarancji o każdy dzień trwania naprawy gwarancyjnej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 w:rsidP="00295574">
            <w:pPr>
              <w:widowControl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Liczba napraw powodująca wymianę podzespołu na nowy w okresie gwarancji –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gwarancyjny autoryzowany przez producenta aparatu. Na terenie Polski. Podać dane kontaktowe z serwisem.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95574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W przypadku awarii w okresie gwarancji koszt przyjazdu, dostawy pokrywa Wykonawca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Okres zagwarantowania dostępności części zamiennych od daty podpisania protokołu odbioru - 10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pogwarancyjny przez okres, co najmniej 8 lat od daty podpisania protokołu odbioru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Paszport techniczny, instrukcje obsługi w języku polskim dostarczona w wersji papierowej.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8E3A72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Pr="008E3A72" w:rsidRDefault="008E3A72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>Szkolenie z obsługi w</w:t>
            </w:r>
            <w:r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 siedzibie Z</w:t>
            </w: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amawiającego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B4654F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 w:rsidP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8E3A72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Instalacja i uruchomienie</w:t>
            </w:r>
          </w:p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Wszelkiego rodzaju koszty związane z dodatkowym licencjonowaniem oraz integrowaniem dostarczonych urządzeń z rozwiązaniami posiadanymi przez Zamawiającego pokrywa </w:t>
            </w:r>
            <w:proofErr w:type="gramStart"/>
            <w:r w:rsidRPr="00295574">
              <w:rPr>
                <w:rFonts w:ascii="Calibri" w:hAnsi="Calibri" w:cs="Calibri"/>
                <w:sz w:val="22"/>
                <w:szCs w:val="22"/>
              </w:rPr>
              <w:t xml:space="preserve">Wykonawca </w:t>
            </w:r>
            <w:r>
              <w:rPr>
                <w:rFonts w:ascii="Calibri" w:hAnsi="Calibri" w:cs="Calibri"/>
                <w:sz w:val="22"/>
                <w:szCs w:val="22"/>
              </w:rPr>
              <w:t>– jeżeli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dotyczy </w:t>
            </w:r>
            <w:r w:rsidRPr="00295574">
              <w:rPr>
                <w:rFonts w:ascii="Calibri" w:hAnsi="Calibri" w:cs="Calibri"/>
                <w:sz w:val="22"/>
                <w:szCs w:val="22"/>
              </w:rPr>
              <w:t>(wliczone w cenę oferty).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</w:tbl>
    <w:p w:rsidR="000A64C2" w:rsidRPr="000A64C2" w:rsidRDefault="000A64C2" w:rsidP="000A64C2">
      <w:pPr>
        <w:pStyle w:val="Tekstpodstawowy"/>
      </w:pPr>
    </w:p>
    <w:p w:rsidR="00C414C1" w:rsidRDefault="00554556" w:rsidP="00F53E5E">
      <w:pPr>
        <w:pStyle w:val="Nagwek"/>
        <w:numPr>
          <w:ilvl w:val="0"/>
          <w:numId w:val="2"/>
        </w:numPr>
        <w:jc w:val="both"/>
      </w:pPr>
      <w:r>
        <w:rPr>
          <w:rFonts w:ascii="Calibri" w:hAnsi="Calibri" w:cs="Calibri"/>
          <w:bCs/>
          <w:sz w:val="22"/>
          <w:szCs w:val="22"/>
        </w:rPr>
        <w:t xml:space="preserve">Zapis w kolumnie 3. „TAK” należy traktować, jako wymóg graniczny (wymagany), którego </w:t>
      </w:r>
      <w:r>
        <w:rPr>
          <w:rFonts w:ascii="Calibri" w:hAnsi="Calibri" w:cs="Calibri"/>
          <w:sz w:val="22"/>
          <w:szCs w:val="22"/>
        </w:rPr>
        <w:t>niespełnienie skutkować będzie odrzuceniem oferty, jako</w:t>
      </w:r>
      <w:r>
        <w:rPr>
          <w:rFonts w:ascii="Calibri" w:hAnsi="Calibri" w:cs="Calibri"/>
          <w:bCs/>
          <w:sz w:val="22"/>
          <w:szCs w:val="22"/>
        </w:rPr>
        <w:t xml:space="preserve"> niezgodnej ze SWZ.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>Niespełnienie któregokolwiek z wymaganych powyżej parametrów techniczno-użytkowych oraz wymagań, co do ich wartości minimalnych spowoduje odrzucenie oferty bez dalszej jej oceny.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 xml:space="preserve">Brak opisu w kolumnie 4. </w:t>
      </w:r>
      <w:proofErr w:type="gramStart"/>
      <w:r>
        <w:rPr>
          <w:rFonts w:ascii="Calibri" w:eastAsia="Batang" w:hAnsi="Calibri" w:cs="Calibri"/>
          <w:color w:val="000000"/>
          <w:sz w:val="22"/>
          <w:szCs w:val="22"/>
        </w:rPr>
        <w:t>traktowany</w:t>
      </w:r>
      <w:proofErr w:type="gramEnd"/>
      <w:r>
        <w:rPr>
          <w:rFonts w:ascii="Calibri" w:eastAsia="Batang" w:hAnsi="Calibri" w:cs="Calibri"/>
          <w:color w:val="000000"/>
          <w:sz w:val="22"/>
          <w:szCs w:val="22"/>
        </w:rPr>
        <w:t xml:space="preserve"> będzie, jako brak danego parametru.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sprawdzenia podanych przez wykonawcę parametrów w dostępnych materiałach technicznych lub u producenta w przypadku powstania wątpliwości, co do ich prawdziwości.</w:t>
      </w:r>
    </w:p>
    <w:p w:rsidR="00C414C1" w:rsidRDefault="00C414C1">
      <w:pPr>
        <w:jc w:val="both"/>
        <w:rPr>
          <w:rFonts w:ascii="Calibri" w:hAnsi="Calibri" w:cs="Calibri"/>
          <w:b/>
          <w:sz w:val="22"/>
          <w:szCs w:val="22"/>
        </w:rPr>
      </w:pPr>
    </w:p>
    <w:p w:rsidR="00C414C1" w:rsidRDefault="00554556">
      <w:pPr>
        <w:jc w:val="both"/>
      </w:pPr>
      <w:r>
        <w:rPr>
          <w:rFonts w:ascii="Calibri" w:hAnsi="Calibri" w:cs="Calibri"/>
          <w:sz w:val="22"/>
          <w:szCs w:val="22"/>
        </w:rPr>
        <w:lastRenderedPageBreak/>
        <w:t>Niniejszym oświadczam/y</w:t>
      </w:r>
      <w:r>
        <w:rPr>
          <w:rFonts w:ascii="Calibri" w:hAnsi="Calibri" w:cs="Calibri"/>
          <w:bCs/>
          <w:sz w:val="22"/>
          <w:szCs w:val="22"/>
        </w:rPr>
        <w:t>, że przedstawione powyżej dane są prawdziwe oraz zobowiązuję/</w:t>
      </w:r>
      <w:proofErr w:type="spellStart"/>
      <w:r>
        <w:rPr>
          <w:rFonts w:ascii="Calibri" w:hAnsi="Calibri" w:cs="Calibri"/>
          <w:bCs/>
          <w:sz w:val="22"/>
          <w:szCs w:val="22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się, w przypadku wygrania przetargu, do dostarczenia sprzętu spełniającego wyspecyfikowane parametry.</w:t>
      </w:r>
    </w:p>
    <w:p w:rsidR="00C414C1" w:rsidRDefault="0055455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Oświadczam/y, iż wyspecyfikowane powyżej urządzenia są kompletne i będą, po montażu i zainstalowaniu, gotowe do podjęcia prawidłowej pracy bez żadnych dodatkowych zakupów.</w:t>
      </w: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554556">
      <w:pPr>
        <w:ind w:right="-35"/>
        <w:rPr>
          <w:sz w:val="22"/>
          <w:szCs w:val="22"/>
        </w:rPr>
      </w:pPr>
      <w:r>
        <w:rPr>
          <w:sz w:val="22"/>
          <w:szCs w:val="22"/>
        </w:rPr>
        <w:t>...................................</w:t>
      </w:r>
      <w:r>
        <w:rPr>
          <w:sz w:val="22"/>
          <w:szCs w:val="22"/>
        </w:rPr>
        <w:tab/>
        <w:t xml:space="preserve">                                                                         ....................................................</w:t>
      </w:r>
    </w:p>
    <w:p w:rsidR="00C414C1" w:rsidRPr="001B18B2" w:rsidRDefault="00554556" w:rsidP="001B18B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proofErr w:type="gramStart"/>
      <w:r>
        <w:rPr>
          <w:sz w:val="22"/>
          <w:szCs w:val="22"/>
        </w:rPr>
        <w:t xml:space="preserve">data                                                  </w:t>
      </w:r>
      <w:proofErr w:type="gramEnd"/>
      <w:r>
        <w:rPr>
          <w:sz w:val="22"/>
          <w:szCs w:val="22"/>
        </w:rPr>
        <w:t xml:space="preserve">                                        Podpis osoby upoważnionej</w:t>
      </w:r>
    </w:p>
    <w:sectPr w:rsidR="00C414C1" w:rsidRPr="001B18B2">
      <w:pgSz w:w="11906" w:h="16838"/>
      <w:pgMar w:top="993" w:right="1417" w:bottom="851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Times New Roman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F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31559F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B977B1"/>
    <w:multiLevelType w:val="hybridMultilevel"/>
    <w:tmpl w:val="1C6A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9777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0F94E90"/>
    <w:multiLevelType w:val="multilevel"/>
    <w:tmpl w:val="3FF2AA8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1DC7159B"/>
    <w:multiLevelType w:val="hybridMultilevel"/>
    <w:tmpl w:val="A2E8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52FCC"/>
    <w:multiLevelType w:val="hybridMultilevel"/>
    <w:tmpl w:val="B79C5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352EF"/>
    <w:multiLevelType w:val="multilevel"/>
    <w:tmpl w:val="30A21B3E"/>
    <w:lvl w:ilvl="0">
      <w:start w:val="2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2EA80D96"/>
    <w:multiLevelType w:val="hybridMultilevel"/>
    <w:tmpl w:val="F16C5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C2A3D"/>
    <w:multiLevelType w:val="multilevel"/>
    <w:tmpl w:val="562EA5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30F608B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9E914A4"/>
    <w:multiLevelType w:val="multilevel"/>
    <w:tmpl w:val="EEA02DC2"/>
    <w:lvl w:ilvl="0">
      <w:start w:val="90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hint="default"/>
      </w:rPr>
    </w:lvl>
  </w:abstractNum>
  <w:abstractNum w:abstractNumId="12" w15:restartNumberingAfterBreak="0">
    <w:nsid w:val="5FBC6B5B"/>
    <w:multiLevelType w:val="hybridMultilevel"/>
    <w:tmpl w:val="AAACF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D7B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82628A3"/>
    <w:multiLevelType w:val="multilevel"/>
    <w:tmpl w:val="9CF287CA"/>
    <w:lvl w:ilvl="0">
      <w:start w:val="3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7BD20221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E694CB4"/>
    <w:multiLevelType w:val="hybridMultilevel"/>
    <w:tmpl w:val="2E943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14"/>
  </w:num>
  <w:num w:numId="6">
    <w:abstractNumId w:val="8"/>
  </w:num>
  <w:num w:numId="7">
    <w:abstractNumId w:val="15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16"/>
  </w:num>
  <w:num w:numId="16">
    <w:abstractNumId w:val="5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C1"/>
    <w:rsid w:val="00027F00"/>
    <w:rsid w:val="00030B8E"/>
    <w:rsid w:val="00034F03"/>
    <w:rsid w:val="000A64C2"/>
    <w:rsid w:val="000B3538"/>
    <w:rsid w:val="0018283D"/>
    <w:rsid w:val="001B18B2"/>
    <w:rsid w:val="001B29F0"/>
    <w:rsid w:val="001C37B1"/>
    <w:rsid w:val="001D27AD"/>
    <w:rsid w:val="001E2951"/>
    <w:rsid w:val="00281DD3"/>
    <w:rsid w:val="002925E3"/>
    <w:rsid w:val="00295574"/>
    <w:rsid w:val="002C02B1"/>
    <w:rsid w:val="002C1484"/>
    <w:rsid w:val="002C6C47"/>
    <w:rsid w:val="00315C3C"/>
    <w:rsid w:val="003672FD"/>
    <w:rsid w:val="00376BF3"/>
    <w:rsid w:val="00391508"/>
    <w:rsid w:val="003A5470"/>
    <w:rsid w:val="003A55D6"/>
    <w:rsid w:val="003B0245"/>
    <w:rsid w:val="003D4A34"/>
    <w:rsid w:val="003E08EC"/>
    <w:rsid w:val="003F3501"/>
    <w:rsid w:val="0046165D"/>
    <w:rsid w:val="004736F8"/>
    <w:rsid w:val="00482B14"/>
    <w:rsid w:val="004E1841"/>
    <w:rsid w:val="0052157F"/>
    <w:rsid w:val="0053095A"/>
    <w:rsid w:val="00537D57"/>
    <w:rsid w:val="0055049F"/>
    <w:rsid w:val="00554556"/>
    <w:rsid w:val="00563054"/>
    <w:rsid w:val="005850CE"/>
    <w:rsid w:val="005B2CF0"/>
    <w:rsid w:val="00627A55"/>
    <w:rsid w:val="006345F5"/>
    <w:rsid w:val="00660105"/>
    <w:rsid w:val="006633AE"/>
    <w:rsid w:val="00675E17"/>
    <w:rsid w:val="006C5786"/>
    <w:rsid w:val="006D4D16"/>
    <w:rsid w:val="0071164C"/>
    <w:rsid w:val="00723921"/>
    <w:rsid w:val="007458AA"/>
    <w:rsid w:val="00745A8D"/>
    <w:rsid w:val="00775CFA"/>
    <w:rsid w:val="007A2028"/>
    <w:rsid w:val="007D7E9D"/>
    <w:rsid w:val="00822078"/>
    <w:rsid w:val="008630B9"/>
    <w:rsid w:val="008818CF"/>
    <w:rsid w:val="00886898"/>
    <w:rsid w:val="008871DB"/>
    <w:rsid w:val="008B5721"/>
    <w:rsid w:val="008D6945"/>
    <w:rsid w:val="008E086D"/>
    <w:rsid w:val="008E13EE"/>
    <w:rsid w:val="008E3A72"/>
    <w:rsid w:val="008F7602"/>
    <w:rsid w:val="00906F3F"/>
    <w:rsid w:val="00912D4E"/>
    <w:rsid w:val="00917758"/>
    <w:rsid w:val="00940265"/>
    <w:rsid w:val="009415DF"/>
    <w:rsid w:val="009539A0"/>
    <w:rsid w:val="009853DD"/>
    <w:rsid w:val="009B201E"/>
    <w:rsid w:val="009C7229"/>
    <w:rsid w:val="00A210E5"/>
    <w:rsid w:val="00A24650"/>
    <w:rsid w:val="00A658BE"/>
    <w:rsid w:val="00AC1E28"/>
    <w:rsid w:val="00AC3234"/>
    <w:rsid w:val="00AF6EC7"/>
    <w:rsid w:val="00B017F6"/>
    <w:rsid w:val="00B42E26"/>
    <w:rsid w:val="00B4654F"/>
    <w:rsid w:val="00B77AEE"/>
    <w:rsid w:val="00B92C1C"/>
    <w:rsid w:val="00BE20A0"/>
    <w:rsid w:val="00BE5556"/>
    <w:rsid w:val="00C40B27"/>
    <w:rsid w:val="00C414C1"/>
    <w:rsid w:val="00CC2D45"/>
    <w:rsid w:val="00CC55CB"/>
    <w:rsid w:val="00CD4EFA"/>
    <w:rsid w:val="00D0306B"/>
    <w:rsid w:val="00D5461D"/>
    <w:rsid w:val="00D61CEF"/>
    <w:rsid w:val="00D86841"/>
    <w:rsid w:val="00D949B0"/>
    <w:rsid w:val="00DA2B3F"/>
    <w:rsid w:val="00DF49A0"/>
    <w:rsid w:val="00E64BE1"/>
    <w:rsid w:val="00ED1CC3"/>
    <w:rsid w:val="00EE3C54"/>
    <w:rsid w:val="00F2214D"/>
    <w:rsid w:val="00F27922"/>
    <w:rsid w:val="00F42F5B"/>
    <w:rsid w:val="00F53E5E"/>
    <w:rsid w:val="00F81712"/>
    <w:rsid w:val="00F95EA7"/>
    <w:rsid w:val="00F960FE"/>
    <w:rsid w:val="00FB637D"/>
    <w:rsid w:val="00FD3384"/>
    <w:rsid w:val="00FD40AA"/>
    <w:rsid w:val="00FE0B57"/>
    <w:rsid w:val="00F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2CDA3-C23B-421C-9649-D89E7A60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47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/>
      <w:outlineLvl w:val="1"/>
    </w:pPr>
    <w:rPr>
      <w:rFonts w:ascii="Calibri Light" w:eastAsia="Calibri" w:hAnsi="Calibri Light"/>
      <w:color w:val="2F5496"/>
      <w:sz w:val="26"/>
      <w:szCs w:val="26"/>
    </w:rPr>
  </w:style>
  <w:style w:type="paragraph" w:styleId="Nagwek3">
    <w:name w:val="heading 3"/>
    <w:basedOn w:val="Akapitzlist"/>
    <w:next w:val="Normalny"/>
    <w:link w:val="Nagwek3Znak"/>
    <w:qFormat/>
    <w:pPr>
      <w:spacing w:before="240" w:after="27" w:line="290" w:lineRule="auto"/>
      <w:ind w:left="0"/>
      <w:contextualSpacing/>
      <w:outlineLvl w:val="2"/>
    </w:pPr>
    <w:rPr>
      <w:rFonts w:ascii="Cambria" w:hAnsi="Cambria" w:cs="Cambria"/>
      <w:b/>
      <w:color w:val="000000"/>
      <w:sz w:val="24"/>
      <w:szCs w:val="24"/>
      <w:lang w:val="pl-PL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line="290" w:lineRule="auto"/>
      <w:ind w:left="10" w:hanging="1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00" w:after="40" w:line="259" w:lineRule="auto"/>
      <w:jc w:val="right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link w:val="Tekstpodstawowywcity"/>
    <w:qFormat/>
    <w:rPr>
      <w:lang w:val="x-none" w:eastAsia="x-none"/>
    </w:rPr>
  </w:style>
  <w:style w:type="character" w:customStyle="1" w:styleId="TekstdymkaZnak">
    <w:name w:val="Tekst dymka Znak"/>
    <w:link w:val="Tekstdymka"/>
    <w:qFormat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qFormat/>
    <w:rPr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cs="Calibri"/>
      <w:color w:val="000000"/>
      <w:u w:val="none"/>
      <w:lang w:val="de-DE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Times New Roman" w:hAnsi="Cambria"/>
      <w:b/>
      <w:bCs/>
      <w:i/>
      <w:iCs/>
      <w:color w:val="4F81BD"/>
      <w:lang w:val="x-none"/>
    </w:rPr>
  </w:style>
  <w:style w:type="character" w:customStyle="1" w:styleId="A2">
    <w:name w:val="A2"/>
    <w:qFormat/>
    <w:rPr>
      <w:rFonts w:cs="Siemens Sans"/>
      <w:color w:val="000000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/>
      <w:sz w:val="24"/>
      <w:szCs w:val="24"/>
    </w:rPr>
  </w:style>
  <w:style w:type="character" w:customStyle="1" w:styleId="Podpistabeli">
    <w:name w:val="Podpis tabeli_"/>
    <w:basedOn w:val="Domylnaczcionkaakapitu"/>
    <w:link w:val="Podpistabeli0"/>
    <w:qFormat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 Light" w:eastAsia="Calibri" w:hAnsi="Calibri Light" w:cs="Times New Roman"/>
      <w:color w:val="2F5496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Cambria" w:eastAsia="Times New Roman" w:hAnsi="Cambria" w:cs="Cambria"/>
      <w:b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qFormat/>
    <w:rPr>
      <w:rFonts w:ascii="Cambria" w:eastAsia="Times New Roman" w:hAnsi="Cambria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qFormat/>
    <w:rPr>
      <w:rFonts w:cs="Calibri"/>
      <w:b/>
      <w:color w:val="000000"/>
    </w:rPr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"/>
    <w:qFormat/>
  </w:style>
  <w:style w:type="character" w:customStyle="1" w:styleId="MapadokumentuZnak">
    <w:name w:val="Mapa dokumentu Znak"/>
    <w:basedOn w:val="Domylnaczcionkaakapitu"/>
    <w:link w:val="Mapadokumentu"/>
    <w:qFormat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ttributenametext">
    <w:name w:val="attribute_name_text"/>
    <w:qFormat/>
  </w:style>
  <w:style w:type="character" w:styleId="Pogrubienie">
    <w:name w:val="Strong"/>
    <w:qFormat/>
    <w:rPr>
      <w:b/>
      <w:bCs/>
    </w:rPr>
  </w:style>
  <w:style w:type="character" w:customStyle="1" w:styleId="fontstyle01">
    <w:name w:val="fontstyle01"/>
    <w:qFormat/>
    <w:rPr>
      <w:rFonts w:ascii="Helvetica" w:hAnsi="Helvetic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Times New Roman" w:eastAsia="Times New Roman" w:hAnsi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tyle5">
    <w:name w:val="style5"/>
    <w:qFormat/>
  </w:style>
  <w:style w:type="character" w:customStyle="1" w:styleId="TytuZnak">
    <w:name w:val="Tytuł Znak"/>
    <w:link w:val="Tytu"/>
    <w:qFormat/>
    <w:rPr>
      <w:sz w:val="36"/>
    </w:rPr>
  </w:style>
  <w:style w:type="character" w:customStyle="1" w:styleId="TytuZnak1">
    <w:name w:val="Tytuł Znak1"/>
    <w:basedOn w:val="Domylnaczcionkaakapitu"/>
    <w:qFormat/>
    <w:rPr>
      <w:rFonts w:ascii="Calibri Light" w:eastAsia="Calibri" w:hAnsi="Calibri Light" w:cs="Times New Roman"/>
      <w:spacing w:val="-10"/>
      <w:kern w:val="2"/>
      <w:sz w:val="56"/>
      <w:szCs w:val="56"/>
    </w:rPr>
  </w:style>
  <w:style w:type="character" w:customStyle="1" w:styleId="UnresolvedMention1">
    <w:name w:val="Unresolved Mention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mbria" w:eastAsia="Times New Roman" w:hAnsi="Cambria" w:cs="Cambria"/>
      <w:b/>
      <w:bCs/>
      <w:color w:val="000000"/>
      <w:u w:val="none"/>
      <w:lang w:val="de-DE"/>
    </w:rPr>
  </w:style>
  <w:style w:type="character" w:customStyle="1" w:styleId="HTML-wstpniesformatowanyZnak">
    <w:name w:val="HTML - wstępnie sformatowany Znak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Pr>
      <w:rFonts w:ascii="Times New Roman" w:eastAsia="Times New Roman" w:hAnsi="Times New Roman"/>
      <w:sz w:val="24"/>
      <w:szCs w:val="24"/>
    </w:rPr>
  </w:style>
  <w:style w:type="character" w:customStyle="1" w:styleId="FontStyle41">
    <w:name w:val="Font Style41"/>
    <w:qFormat/>
    <w:rPr>
      <w:rFonts w:ascii="Calibri" w:hAnsi="Calibri" w:cs="Calibri"/>
      <w:sz w:val="18"/>
      <w:szCs w:val="18"/>
    </w:rPr>
  </w:style>
  <w:style w:type="character" w:customStyle="1" w:styleId="abcZnakZnak">
    <w:name w:val="abc Znak Znak"/>
    <w:qFormat/>
    <w:rPr>
      <w:rFonts w:ascii="Arial Narrow" w:eastAsia="Times New Roman" w:hAnsi="Arial Narrow"/>
      <w:b/>
      <w:color w:val="000000"/>
      <w:sz w:val="24"/>
      <w:szCs w:val="24"/>
    </w:rPr>
  </w:style>
  <w:style w:type="character" w:customStyle="1" w:styleId="normaltextrun">
    <w:name w:val="normaltextrun"/>
    <w:basedOn w:val="Domylnaczcionkaakapitu"/>
    <w:qFormat/>
  </w:style>
  <w:style w:type="character" w:customStyle="1" w:styleId="eop">
    <w:name w:val="eop"/>
    <w:basedOn w:val="Domylnaczcionkaakapitu"/>
    <w:qFormat/>
  </w:style>
  <w:style w:type="character" w:customStyle="1" w:styleId="normaltextrun1">
    <w:name w:val="normaltextrun1"/>
    <w:basedOn w:val="Domylnaczcionkaakapitu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Wzmianka1">
    <w:name w:val="Wzmianka1"/>
    <w:qFormat/>
    <w:rPr>
      <w:color w:val="2B579A"/>
      <w:shd w:val="clear" w:color="auto" w:fill="E1DFDD"/>
    </w:rPr>
  </w:style>
  <w:style w:type="character" w:customStyle="1" w:styleId="HTML-wstpniesformatowanyZnak1">
    <w:name w:val="HTML - wstępnie sformatowany Znak1"/>
    <w:link w:val="HTML-wstpniesformatowany"/>
    <w:qFormat/>
    <w:rPr>
      <w:rFonts w:ascii="Courier New" w:hAnsi="Courier New" w:cs="Courier New"/>
    </w:rPr>
  </w:style>
  <w:style w:type="character" w:customStyle="1" w:styleId="TekstdymkaZnak1">
    <w:name w:val="Tekst dymka Znak1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NagwekZnak1">
    <w:name w:val="Nagłówek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StopkaZnak1">
    <w:name w:val="Stopka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HTML-wstpniesformatowanyZnak2">
    <w:name w:val="HTML - wstępnie sformatowany Znak2"/>
    <w:basedOn w:val="Domylnaczcionkaakapitu"/>
    <w:qFormat/>
    <w:rPr>
      <w:rFonts w:ascii="Consolas" w:eastAsia="Times New Roman" w:hAnsi="Consolas"/>
    </w:rPr>
  </w:style>
  <w:style w:type="character" w:customStyle="1" w:styleId="PodtytuZnak">
    <w:name w:val="Podtytuł Znak"/>
    <w:basedOn w:val="Domylnaczcionkaakapitu"/>
    <w:link w:val="Podtytu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Lucida Sans"/>
      <w:sz w:val="22"/>
      <w:szCs w:val="19"/>
    </w:rPr>
  </w:style>
  <w:style w:type="paragraph" w:customStyle="1" w:styleId="Gwkaistopka">
    <w:name w:val="Główka i stopka"/>
    <w:basedOn w:val="Normalny"/>
    <w:qFormat/>
    <w:rPr>
      <w:rFonts w:ascii="Arial" w:hAnsi="Arial"/>
      <w:sz w:val="22"/>
      <w:szCs w:val="19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paragraph" w:styleId="Bezodstpw">
    <w:name w:val="No Spacing"/>
    <w:link w:val="BezodstpwZnak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paragraph" w:customStyle="1" w:styleId="Bezodstpw1">
    <w:name w:val="Bez odstępów1"/>
    <w:qFormat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qFormat/>
    <w:pPr>
      <w:widowControl w:val="0"/>
      <w:spacing w:before="280" w:after="280" w:line="100" w:lineRule="atLeast"/>
      <w:textAlignment w:val="baseline"/>
    </w:pPr>
    <w:rPr>
      <w:rFonts w:eastAsia="Andale Sans UI" w:cs="Tahoma"/>
      <w:kern w:val="2"/>
      <w:lang w:val="de-DE" w:eastAsia="fa-IR" w:bidi="fa-IR"/>
    </w:rPr>
  </w:style>
  <w:style w:type="paragraph" w:customStyle="1" w:styleId="Default">
    <w:name w:val="Default"/>
    <w:qFormat/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qFormat/>
    <w:pPr>
      <w:spacing w:after="200"/>
    </w:pPr>
    <w:rPr>
      <w:rFonts w:ascii="Calibri" w:eastAsia="Calibri" w:hAnsi="Calibri" w:cs="Calibri"/>
      <w:color w:val="000000"/>
      <w:sz w:val="20"/>
      <w:szCs w:val="20"/>
      <w:lang w:val="de-DE"/>
    </w:rPr>
  </w:style>
  <w:style w:type="paragraph" w:customStyle="1" w:styleId="Akapitzlist2">
    <w:name w:val="Akapit z listą2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paragraph" w:customStyle="1" w:styleId="AbsatzTableFormat">
    <w:name w:val="AbsatzTableFormat"/>
    <w:basedOn w:val="Normalny"/>
    <w:qFormat/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qFormat/>
    <w:pPr>
      <w:spacing w:line="241" w:lineRule="atLeast"/>
    </w:pPr>
    <w:rPr>
      <w:rFonts w:cs="Times New Roman"/>
      <w:color w:val="auto"/>
    </w:rPr>
  </w:style>
  <w:style w:type="paragraph" w:styleId="Zwykytekst">
    <w:name w:val="Plain Text"/>
    <w:basedOn w:val="Normalny"/>
    <w:link w:val="ZwykytekstZnak"/>
    <w:qFormat/>
    <w:rPr>
      <w:rFonts w:ascii="Arial" w:eastAsia="Calibri" w:hAnsi="Arial" w:cs="Arial"/>
      <w:sz w:val="20"/>
      <w:szCs w:val="20"/>
      <w:lang w:eastAsia="en-US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Podpistabeli0">
    <w:name w:val="Podpis tabeli"/>
    <w:basedOn w:val="Normalny"/>
    <w:link w:val="Podpistabeli"/>
    <w:qFormat/>
    <w:pPr>
      <w:widowControl w:val="0"/>
      <w:shd w:val="clear" w:color="auto" w:fill="FFFFFF"/>
      <w:spacing w:line="240" w:lineRule="atLeast"/>
    </w:pPr>
    <w:rPr>
      <w:rFonts w:eastAsia="Calibr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Arial" w:hAnsi="Arial"/>
      <w:sz w:val="22"/>
      <w:szCs w:val="19"/>
    </w:rPr>
  </w:style>
  <w:style w:type="paragraph" w:customStyle="1" w:styleId="western">
    <w:name w:val="western"/>
    <w:basedOn w:val="Normalny"/>
    <w:qFormat/>
    <w:pPr>
      <w:spacing w:before="280" w:after="142" w:line="276" w:lineRule="auto"/>
    </w:pPr>
  </w:style>
  <w:style w:type="paragraph" w:customStyle="1" w:styleId="tekstwstpny">
    <w:name w:val="tekst wstępny"/>
    <w:basedOn w:val="Normalny"/>
    <w:qFormat/>
    <w:pPr>
      <w:spacing w:before="60" w:after="60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qFormat/>
    <w:rPr>
      <w:rFonts w:ascii="Tahoma" w:hAnsi="Tahoma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paragraph" w:customStyle="1" w:styleId="AK2">
    <w:name w:val="AK_2"/>
    <w:basedOn w:val="pp2"/>
    <w:qFormat/>
    <w:pPr>
      <w:ind w:left="540" w:firstLine="540"/>
    </w:pPr>
  </w:style>
  <w:style w:type="paragraph" w:customStyle="1" w:styleId="pp2">
    <w:name w:val="pp_2"/>
    <w:basedOn w:val="Normalny"/>
    <w:qFormat/>
    <w:pPr>
      <w:spacing w:before="120"/>
      <w:ind w:left="1078" w:hanging="539"/>
      <w:jc w:val="both"/>
      <w:textAlignment w:val="baseline"/>
    </w:pPr>
    <w:rPr>
      <w:rFonts w:eastAsia="Arial"/>
      <w:szCs w:val="20"/>
      <w:lang w:eastAsia="ar-SA"/>
    </w:rPr>
  </w:style>
  <w:style w:type="paragraph" w:styleId="Tytu">
    <w:name w:val="Title"/>
    <w:basedOn w:val="Normalny"/>
    <w:link w:val="TytuZnak"/>
    <w:qFormat/>
    <w:pPr>
      <w:widowControl w:val="0"/>
      <w:spacing w:before="160"/>
      <w:jc w:val="center"/>
    </w:pPr>
    <w:rPr>
      <w:rFonts w:ascii="Calibri" w:eastAsia="Calibri" w:hAnsi="Calibri"/>
      <w:sz w:val="36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pPr>
      <w:spacing w:after="27"/>
      <w:ind w:left="10" w:hanging="10"/>
    </w:pPr>
    <w:rPr>
      <w:rFonts w:ascii="Cambria" w:eastAsia="Times New Roman" w:hAnsi="Cambria" w:cs="Cambria"/>
      <w:b/>
      <w:bCs/>
      <w:lang w:val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Next w:val="0"/>
      <w:spacing w:before="0" w:after="27" w:line="259" w:lineRule="auto"/>
      <w:contextualSpacing/>
      <w:outlineLvl w:val="9"/>
    </w:pPr>
    <w:rPr>
      <w:rFonts w:ascii="Cambria" w:hAnsi="Cambria" w:cs="Cambria"/>
      <w:b w:val="0"/>
      <w:bCs w:val="0"/>
      <w:color w:val="000000"/>
      <w:kern w:val="0"/>
      <w:szCs w:val="24"/>
    </w:rPr>
  </w:style>
  <w:style w:type="paragraph" w:styleId="Spistreci1">
    <w:name w:val="toc 1"/>
    <w:basedOn w:val="Normalny"/>
    <w:next w:val="Normalny"/>
    <w:autoRedefine/>
    <w:pPr>
      <w:spacing w:after="100" w:line="290" w:lineRule="auto"/>
      <w:ind w:hanging="10"/>
    </w:pPr>
    <w:rPr>
      <w:rFonts w:ascii="Cambria" w:hAnsi="Cambria" w:cs="Cambria"/>
      <w:color w:val="000000"/>
    </w:rPr>
  </w:style>
  <w:style w:type="paragraph" w:styleId="Spistreci2">
    <w:name w:val="toc 2"/>
    <w:basedOn w:val="Normalny"/>
    <w:next w:val="Normalny"/>
    <w:autoRedefine/>
    <w:pPr>
      <w:spacing w:after="100" w:line="290" w:lineRule="auto"/>
      <w:ind w:left="220" w:hanging="10"/>
    </w:pPr>
    <w:rPr>
      <w:rFonts w:ascii="Cambria" w:hAnsi="Cambria" w:cs="Cambria"/>
      <w:color w:val="000000"/>
    </w:rPr>
  </w:style>
  <w:style w:type="paragraph" w:styleId="Spistreci3">
    <w:name w:val="toc 3"/>
    <w:basedOn w:val="Normalny"/>
    <w:next w:val="Normalny"/>
    <w:autoRedefine/>
    <w:pPr>
      <w:spacing w:after="100" w:line="290" w:lineRule="auto"/>
      <w:ind w:left="480" w:hanging="10"/>
    </w:pPr>
    <w:rPr>
      <w:rFonts w:ascii="Cambria" w:hAnsi="Cambria" w:cs="Cambria"/>
      <w:color w:val="000000"/>
    </w:rPr>
  </w:style>
  <w:style w:type="paragraph" w:customStyle="1" w:styleId="Tekstpodstawowy1">
    <w:name w:val="Tekst podstawowy1"/>
    <w:basedOn w:val="Normalny"/>
    <w:qFormat/>
    <w:rPr>
      <w:rFonts w:ascii="Arial" w:hAnsi="Arial"/>
      <w:sz w:val="20"/>
      <w:szCs w:val="20"/>
    </w:rPr>
  </w:style>
  <w:style w:type="paragraph" w:customStyle="1" w:styleId="TableParagraph">
    <w:name w:val="Table Paragraph"/>
    <w:basedOn w:val="Normalny"/>
    <w:qFormat/>
    <w:pPr>
      <w:widowControl w:val="0"/>
    </w:pPr>
    <w:rPr>
      <w:rFonts w:ascii="Carlito" w:eastAsia="Carlito" w:hAnsi="Carlito" w:cs="Carli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customStyle="1" w:styleId="ZnakZnak5">
    <w:name w:val="Znak Znak5"/>
    <w:basedOn w:val="Normalny"/>
    <w:qFormat/>
  </w:style>
  <w:style w:type="paragraph" w:customStyle="1" w:styleId="abcZnak">
    <w:name w:val="abc Znak"/>
    <w:basedOn w:val="Normalny"/>
    <w:qFormat/>
    <w:pPr>
      <w:widowControl w:val="0"/>
    </w:pPr>
    <w:rPr>
      <w:rFonts w:ascii="Arial Narrow" w:hAnsi="Arial Narrow"/>
      <w:b/>
      <w:color w:val="000000"/>
    </w:rPr>
  </w:style>
  <w:style w:type="paragraph" w:customStyle="1" w:styleId="paragraph">
    <w:name w:val="paragraph"/>
    <w:basedOn w:val="Normalny"/>
    <w:qFormat/>
    <w:pPr>
      <w:spacing w:before="280" w:after="280"/>
    </w:pPr>
  </w:style>
  <w:style w:type="paragraph" w:styleId="Poprawka">
    <w:name w:val="Revision"/>
    <w:qFormat/>
    <w:pPr>
      <w:jc w:val="right"/>
    </w:pPr>
    <w:rPr>
      <w:rFonts w:ascii="Arial" w:eastAsia="Times New Roman" w:hAnsi="Arial"/>
      <w:sz w:val="19"/>
      <w:szCs w:val="19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Indeks1">
    <w:name w:val="index 1"/>
    <w:basedOn w:val="Normalny"/>
    <w:next w:val="Normalny"/>
    <w:autoRedefine/>
    <w:qFormat/>
    <w:pPr>
      <w:ind w:left="240" w:hanging="240"/>
    </w:pPr>
    <w:rPr>
      <w:rFonts w:ascii="Cambria" w:hAnsi="Cambria" w:cs="Cambria"/>
      <w:color w:val="000000"/>
    </w:rPr>
  </w:style>
  <w:style w:type="paragraph" w:styleId="Lista-kontynuacja2">
    <w:name w:val="List Continue 2"/>
    <w:basedOn w:val="Normalny"/>
    <w:qFormat/>
    <w:pPr>
      <w:spacing w:after="120" w:line="259" w:lineRule="auto"/>
      <w:ind w:left="566"/>
      <w:contextualSpacing/>
      <w:jc w:val="right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msonormal0">
    <w:name w:val="msonormal"/>
    <w:basedOn w:val="Normalny"/>
    <w:qFormat/>
    <w:pPr>
      <w:spacing w:before="280" w:after="280"/>
    </w:p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05496"/>
      <w:spacing w:before="280" w:after="28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D7EE"/>
      <w:spacing w:before="280" w:after="28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9">
    <w:name w:val="xl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ny"/>
    <w:qFormat/>
    <w:pPr>
      <w:spacing w:before="280" w:after="280"/>
    </w:p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88">
    <w:name w:val="xl8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89">
    <w:name w:val="xl89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1">
    <w:name w:val="xl9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93">
    <w:name w:val="xl9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 w:line="259" w:lineRule="auto"/>
      <w:jc w:val="right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owyArial11">
    <w:name w:val="Standardowy + Arial 11"/>
    <w:basedOn w:val="tekstwstpny"/>
    <w:qFormat/>
    <w:pPr>
      <w:tabs>
        <w:tab w:val="left" w:pos="360"/>
      </w:tabs>
      <w:ind w:left="360" w:hanging="360"/>
      <w:jc w:val="both"/>
    </w:pPr>
    <w:rPr>
      <w:rFonts w:ascii="Arial" w:hAnsi="Arial" w:cs="Arial"/>
      <w:sz w:val="22"/>
      <w:szCs w:val="22"/>
    </w:rPr>
  </w:style>
  <w:style w:type="numbering" w:customStyle="1" w:styleId="Styl1">
    <w:name w:val="Styl1"/>
    <w:qFormat/>
  </w:style>
  <w:style w:type="numbering" w:customStyle="1" w:styleId="Biecalista1">
    <w:name w:val="Bieżąca list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5386</Words>
  <Characters>32321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MZ. Zapłotna</dc:creator>
  <dc:description/>
  <cp:lastModifiedBy>Marta MZ. Zapłotna</cp:lastModifiedBy>
  <cp:revision>3</cp:revision>
  <cp:lastPrinted>2024-07-05T12:13:00Z</cp:lastPrinted>
  <dcterms:created xsi:type="dcterms:W3CDTF">2024-09-30T09:40:00Z</dcterms:created>
  <dcterms:modified xsi:type="dcterms:W3CDTF">2024-11-13T08:48:00Z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ActionId">
    <vt:lpwstr>58cf59a1-3d40-445e-804f-0ca24a154858</vt:lpwstr>
  </property>
  <property fmtid="{D5CDD505-2E9C-101B-9397-08002B2CF9AE}" pid="3" name="MSIP_Label_ff6dbec8-95a8-4638-9f5f-bd076536645c_ContentBits">
    <vt:lpwstr>0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Method">
    <vt:lpwstr>Standard</vt:lpwstr>
  </property>
  <property fmtid="{D5CDD505-2E9C-101B-9397-08002B2CF9AE}" pid="6" name="MSIP_Label_ff6dbec8-95a8-4638-9f5f-bd076536645c_Name">
    <vt:lpwstr>Restricted - Default</vt:lpwstr>
  </property>
  <property fmtid="{D5CDD505-2E9C-101B-9397-08002B2CF9AE}" pid="7" name="MSIP_Label_ff6dbec8-95a8-4638-9f5f-bd076536645c_SetDate">
    <vt:lpwstr>2024-01-03T11:08:12Z</vt:lpwstr>
  </property>
  <property fmtid="{D5CDD505-2E9C-101B-9397-08002B2CF9AE}" pid="8" name="MSIP_Label_ff6dbec8-95a8-4638-9f5f-bd076536645c_SiteId">
    <vt:lpwstr>5dbf1add-202a-4b8d-815b-bf0fb024e033</vt:lpwstr>
  </property>
</Properties>
</file>