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Wędliny wieprzowe</w:t>
      </w:r>
    </w:p>
    <w:p>
      <w:pPr>
        <w:pStyle w:val="Normal"/>
        <w:jc w:val="both"/>
        <w:rPr>
          <w:b/>
          <w:sz w:val="24"/>
          <w:szCs w:val="24"/>
        </w:rPr>
      </w:pPr>
      <w:r>
        <w:rPr>
          <w:b/>
          <w:sz w:val="24"/>
          <w:szCs w:val="24"/>
        </w:rPr>
        <w:t>1. Przewidywane ilości i terminy dostaw</w:t>
      </w:r>
    </w:p>
    <w:tbl>
      <w:tblPr>
        <w:tblW w:w="9649" w:type="dxa"/>
        <w:jc w:val="left"/>
        <w:tblInd w:w="98" w:type="dxa"/>
        <w:tblLayout w:type="fixed"/>
        <w:tblCellMar>
          <w:top w:w="0" w:type="dxa"/>
          <w:left w:w="108" w:type="dxa"/>
          <w:bottom w:w="0" w:type="dxa"/>
          <w:right w:w="108" w:type="dxa"/>
        </w:tblCellMar>
        <w:tblLook w:val="0000"/>
      </w:tblPr>
      <w:tblGrid>
        <w:gridCol w:w="716"/>
        <w:gridCol w:w="2835"/>
        <w:gridCol w:w="1944"/>
        <w:gridCol w:w="1883"/>
        <w:gridCol w:w="2271"/>
      </w:tblGrid>
      <w:tr>
        <w:trPr/>
        <w:tc>
          <w:tcPr>
            <w:tcW w:w="716"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44"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83"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1"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6" w:type="dxa"/>
            <w:vMerge w:val="restart"/>
            <w:tcBorders>
              <w:top w:val="single" w:sz="4" w:space="0" w:color="000000"/>
              <w:left w:val="single" w:sz="4" w:space="0" w:color="000000"/>
            </w:tcBorders>
            <w:shd w:color="auto" w:fill="auto" w:val="clear"/>
          </w:tcPr>
          <w:p>
            <w:pPr>
              <w:pStyle w:val="Normal"/>
              <w:widowControl w:val="false"/>
              <w:spacing w:before="100" w:after="160"/>
              <w:jc w:val="center"/>
              <w:rPr/>
            </w:pPr>
            <w:r>
              <w:rPr/>
              <w:t>Zad.1</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rFonts w:cs="Calibri"/>
                <w:sz w:val="20"/>
                <w:szCs w:val="20"/>
              </w:rPr>
            </w:pPr>
            <w:r>
              <w:rPr>
                <w:rFonts w:cs="Calibri"/>
                <w:b/>
                <w:sz w:val="20"/>
                <w:szCs w:val="20"/>
              </w:rPr>
              <w:t>Kiełbasa biała parzona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sz w:val="20"/>
                <w:szCs w:val="20"/>
              </w:rPr>
              <w:t>500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mortadela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sz w:val="20"/>
                <w:szCs w:val="20"/>
              </w:rPr>
              <w:t>3 200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parówkowa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rFonts w:eastAsia="EUAlbertina" w:cs="Arial"/>
                <w:sz w:val="20"/>
                <w:szCs w:val="20"/>
              </w:rPr>
              <w:t>2 000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wiejska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1 000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bukowa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1 500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żywiecka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700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śląska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2 000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serdelowa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cs="Arial"/>
                <w:color w:val="000000"/>
                <w:sz w:val="20"/>
                <w:szCs w:val="20"/>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1 200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zwyczajna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cs="Arial"/>
                <w:color w:val="000000"/>
                <w:sz w:val="20"/>
                <w:szCs w:val="20"/>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3 000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luncheon</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cs="Arial"/>
                <w:color w:val="000000"/>
                <w:sz w:val="20"/>
                <w:szCs w:val="20"/>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2 300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Kaszanka gryczana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cs="Arial"/>
                <w:color w:val="000000"/>
                <w:sz w:val="20"/>
                <w:szCs w:val="20"/>
              </w:rPr>
            </w:pPr>
            <w:r>
              <w:rPr>
                <w:rFonts w:cs="Calibri"/>
                <w:sz w:val="20"/>
                <w:szCs w:val="20"/>
              </w:rPr>
              <w:t>CPV 15131134-3</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4 500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targowa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cs="Arial"/>
                <w:color w:val="000000"/>
                <w:sz w:val="20"/>
                <w:szCs w:val="20"/>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2 500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Kiełbasa krakowska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cs="Arial"/>
                <w:color w:val="000000"/>
                <w:sz w:val="20"/>
                <w:szCs w:val="20"/>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900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Salceson biały</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cs="Arial"/>
                <w:color w:val="000000"/>
                <w:sz w:val="20"/>
                <w:szCs w:val="20"/>
              </w:rPr>
            </w:pPr>
            <w:r>
              <w:rPr>
                <w:rFonts w:cs="Calibri"/>
                <w:sz w:val="20"/>
                <w:szCs w:val="20"/>
              </w:rPr>
              <w:t>CPV 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2 000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Pasztetowa wieprzowa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cs="Arial"/>
                <w:color w:val="000000"/>
                <w:sz w:val="20"/>
                <w:szCs w:val="20"/>
              </w:rPr>
            </w:pPr>
            <w:r>
              <w:rPr>
                <w:rFonts w:cs="Calibri"/>
                <w:sz w:val="20"/>
                <w:szCs w:val="20"/>
              </w:rPr>
              <w:t xml:space="preserve">CPV </w:t>
            </w:r>
            <w:r>
              <w:rPr>
                <w:rFonts w:cs="Calibri"/>
                <w:color w:val="000000"/>
                <w:sz w:val="20"/>
                <w:szCs w:val="20"/>
              </w:rPr>
              <w:t>15131131-2</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2 000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Mielonka wieprzowa</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cs="Arial"/>
                <w:color w:val="000000"/>
                <w:sz w:val="20"/>
                <w:szCs w:val="20"/>
              </w:rPr>
            </w:pPr>
            <w:r>
              <w:rPr>
                <w:rFonts w:cs="Calibri"/>
                <w:sz w:val="20"/>
                <w:szCs w:val="20"/>
              </w:rPr>
              <w:t xml:space="preserve">CPV </w:t>
            </w:r>
            <w:r>
              <w:rPr>
                <w:rFonts w:cs="Calibri"/>
                <w:color w:val="000000"/>
                <w:sz w:val="20"/>
                <w:szCs w:val="20"/>
              </w:rPr>
              <w:t>15131133-6</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500</w:t>
            </w:r>
          </w:p>
        </w:tc>
      </w:tr>
      <w:tr>
        <w:trPr/>
        <w:tc>
          <w:tcPr>
            <w:tcW w:w="716"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lineRule="atLeast" w:line="100" w:before="0" w:after="160"/>
              <w:jc w:val="both"/>
              <w:rPr/>
            </w:pPr>
            <w:r>
              <w:rPr>
                <w:rFonts w:cs="Calibri"/>
                <w:b/>
                <w:sz w:val="20"/>
                <w:szCs w:val="20"/>
              </w:rPr>
              <w:t>Smalec</w:t>
            </w:r>
          </w:p>
        </w:tc>
        <w:tc>
          <w:tcPr>
            <w:tcW w:w="1944"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cs="Arial"/>
                <w:color w:val="000000"/>
                <w:sz w:val="20"/>
                <w:szCs w:val="20"/>
              </w:rPr>
            </w:pPr>
            <w:r>
              <w:rPr>
                <w:rFonts w:cs="Calibri"/>
                <w:sz w:val="20"/>
                <w:szCs w:val="20"/>
              </w:rPr>
              <w:t xml:space="preserve">CPV </w:t>
            </w:r>
            <w:r>
              <w:rPr>
                <w:rFonts w:cs="Calibri"/>
                <w:color w:val="000000"/>
                <w:sz w:val="20"/>
                <w:szCs w:val="20"/>
              </w:rPr>
              <w:t>15412100-0</w:t>
            </w:r>
          </w:p>
        </w:tc>
        <w:tc>
          <w:tcPr>
            <w:tcW w:w="1883"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1 500</w:t>
            </w:r>
          </w:p>
        </w:tc>
      </w:tr>
      <w:tr>
        <w:trPr/>
        <w:tc>
          <w:tcPr>
            <w:tcW w:w="716" w:type="dxa"/>
            <w:tcBorders>
              <w:left w:val="single" w:sz="4" w:space="0" w:color="000000"/>
            </w:tcBorders>
            <w:shd w:color="auto" w:fill="auto" w:val="clear"/>
          </w:tcPr>
          <w:p>
            <w:pPr>
              <w:pStyle w:val="Normal"/>
              <w:widowControl w:val="false"/>
              <w:spacing w:before="100" w:after="160"/>
              <w:jc w:val="center"/>
              <w:rPr/>
            </w:pPr>
            <w:r>
              <w:rPr/>
            </w:r>
          </w:p>
        </w:tc>
        <w:tc>
          <w:tcPr>
            <w:tcW w:w="2835" w:type="dxa"/>
            <w:tcBorders>
              <w:left w:val="single" w:sz="4" w:space="0" w:color="000000"/>
              <w:bottom w:val="single" w:sz="4" w:space="0" w:color="000000"/>
            </w:tcBorders>
            <w:shd w:color="auto" w:fill="auto" w:val="clear"/>
          </w:tcPr>
          <w:p>
            <w:pPr>
              <w:pStyle w:val="Normal"/>
              <w:widowControl w:val="false"/>
              <w:spacing w:lineRule="atLeast" w:line="100" w:before="0" w:after="160"/>
              <w:jc w:val="both"/>
              <w:rPr>
                <w:b/>
                <w:bCs/>
              </w:rPr>
            </w:pPr>
            <w:r>
              <w:rPr>
                <w:b/>
                <w:bCs/>
              </w:rPr>
              <w:t>Pasztetowa borowikowa</w:t>
            </w:r>
          </w:p>
        </w:tc>
        <w:tc>
          <w:tcPr>
            <w:tcW w:w="1944" w:type="dxa"/>
            <w:tcBorders>
              <w:left w:val="single" w:sz="4" w:space="0" w:color="000000"/>
              <w:bottom w:val="single" w:sz="4" w:space="0" w:color="000000"/>
            </w:tcBorders>
          </w:tcPr>
          <w:p>
            <w:pPr>
              <w:pStyle w:val="ListParagraph"/>
              <w:widowControl w:val="false"/>
              <w:spacing w:lineRule="auto" w:line="240" w:before="119" w:after="0"/>
              <w:ind w:hanging="0"/>
              <w:contextualSpacing w:val="false"/>
              <w:jc w:val="center"/>
              <w:rPr/>
            </w:pPr>
            <w:r>
              <w:rPr>
                <w:rFonts w:cs="Calibri"/>
                <w:sz w:val="20"/>
                <w:szCs w:val="20"/>
              </w:rPr>
              <w:t>CPV 15131131-2</w:t>
            </w:r>
          </w:p>
        </w:tc>
        <w:tc>
          <w:tcPr>
            <w:tcW w:w="1883" w:type="dxa"/>
            <w:tcBorders>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2 000</w:t>
            </w:r>
          </w:p>
        </w:tc>
      </w:tr>
      <w:tr>
        <w:trPr/>
        <w:tc>
          <w:tcPr>
            <w:tcW w:w="716" w:type="dxa"/>
            <w:tcBorders>
              <w:left w:val="single" w:sz="4" w:space="0" w:color="000000"/>
            </w:tcBorders>
            <w:shd w:color="auto" w:fill="auto" w:val="clear"/>
          </w:tcPr>
          <w:p>
            <w:pPr>
              <w:pStyle w:val="Normal"/>
              <w:widowControl w:val="false"/>
              <w:spacing w:before="100" w:after="160"/>
              <w:jc w:val="center"/>
              <w:rPr/>
            </w:pPr>
            <w:r>
              <w:rPr/>
            </w:r>
          </w:p>
        </w:tc>
        <w:tc>
          <w:tcPr>
            <w:tcW w:w="2835" w:type="dxa"/>
            <w:tcBorders>
              <w:left w:val="single" w:sz="4" w:space="0" w:color="000000"/>
              <w:bottom w:val="single" w:sz="4" w:space="0" w:color="000000"/>
            </w:tcBorders>
            <w:shd w:color="auto" w:fill="auto" w:val="clear"/>
          </w:tcPr>
          <w:p>
            <w:pPr>
              <w:pStyle w:val="Normal"/>
              <w:widowControl w:val="false"/>
              <w:spacing w:lineRule="atLeast" w:line="100" w:before="0" w:after="160"/>
              <w:jc w:val="both"/>
              <w:rPr>
                <w:b/>
                <w:bCs/>
              </w:rPr>
            </w:pPr>
            <w:r>
              <w:rPr>
                <w:b/>
                <w:bCs/>
              </w:rPr>
              <w:t>Salceson czarny</w:t>
            </w:r>
          </w:p>
        </w:tc>
        <w:tc>
          <w:tcPr>
            <w:tcW w:w="1944" w:type="dxa"/>
            <w:tcBorders>
              <w:left w:val="single" w:sz="4" w:space="0" w:color="000000"/>
              <w:bottom w:val="single" w:sz="4" w:space="0" w:color="000000"/>
            </w:tcBorders>
          </w:tcPr>
          <w:p>
            <w:pPr>
              <w:pStyle w:val="ListParagraph"/>
              <w:widowControl w:val="false"/>
              <w:spacing w:lineRule="auto" w:line="240" w:before="119" w:after="0"/>
              <w:ind w:hanging="0"/>
              <w:contextualSpacing w:val="false"/>
              <w:jc w:val="center"/>
              <w:rPr/>
            </w:pPr>
            <w:r>
              <w:rPr>
                <w:rFonts w:cs="Calibri"/>
                <w:sz w:val="20"/>
                <w:szCs w:val="20"/>
              </w:rPr>
              <w:t>CPV 15131133-6</w:t>
            </w:r>
          </w:p>
        </w:tc>
        <w:tc>
          <w:tcPr>
            <w:tcW w:w="1883" w:type="dxa"/>
            <w:tcBorders>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2 000</w:t>
            </w:r>
          </w:p>
        </w:tc>
      </w:tr>
      <w:tr>
        <w:trPr/>
        <w:tc>
          <w:tcPr>
            <w:tcW w:w="716" w:type="dxa"/>
            <w:tcBorders>
              <w:left w:val="single" w:sz="4" w:space="0" w:color="000000"/>
            </w:tcBorders>
            <w:shd w:color="auto" w:fill="auto" w:val="clear"/>
          </w:tcPr>
          <w:p>
            <w:pPr>
              <w:pStyle w:val="Normal"/>
              <w:widowControl w:val="false"/>
              <w:spacing w:before="100" w:after="160"/>
              <w:jc w:val="center"/>
              <w:rPr/>
            </w:pPr>
            <w:r>
              <w:rPr/>
            </w:r>
          </w:p>
        </w:tc>
        <w:tc>
          <w:tcPr>
            <w:tcW w:w="2835" w:type="dxa"/>
            <w:tcBorders>
              <w:left w:val="single" w:sz="4" w:space="0" w:color="000000"/>
              <w:bottom w:val="single" w:sz="4" w:space="0" w:color="000000"/>
            </w:tcBorders>
            <w:shd w:color="auto" w:fill="auto" w:val="clear"/>
          </w:tcPr>
          <w:p>
            <w:pPr>
              <w:pStyle w:val="Normal"/>
              <w:widowControl w:val="false"/>
              <w:spacing w:lineRule="atLeast" w:line="100" w:before="0" w:after="160"/>
              <w:jc w:val="both"/>
              <w:rPr>
                <w:b/>
                <w:bCs/>
              </w:rPr>
            </w:pPr>
            <w:r>
              <w:rPr>
                <w:b/>
                <w:bCs/>
              </w:rPr>
              <w:t>Pasztet zapiekany</w:t>
            </w:r>
          </w:p>
        </w:tc>
        <w:tc>
          <w:tcPr>
            <w:tcW w:w="1944" w:type="dxa"/>
            <w:tcBorders>
              <w:left w:val="single" w:sz="4" w:space="0" w:color="000000"/>
              <w:bottom w:val="single" w:sz="4" w:space="0" w:color="000000"/>
            </w:tcBorders>
          </w:tcPr>
          <w:p>
            <w:pPr>
              <w:pStyle w:val="ListParagraph"/>
              <w:widowControl w:val="false"/>
              <w:spacing w:lineRule="auto" w:line="240" w:before="119" w:after="0"/>
              <w:ind w:hanging="0"/>
              <w:contextualSpacing w:val="false"/>
              <w:jc w:val="center"/>
              <w:rPr/>
            </w:pPr>
            <w:r>
              <w:rPr>
                <w:rFonts w:cs="Calibri"/>
                <w:sz w:val="20"/>
                <w:szCs w:val="20"/>
              </w:rPr>
              <w:t>CPV 15131131-2</w:t>
            </w:r>
          </w:p>
        </w:tc>
        <w:tc>
          <w:tcPr>
            <w:tcW w:w="1883" w:type="dxa"/>
            <w:tcBorders>
              <w:left w:val="single" w:sz="4" w:space="0" w:color="000000"/>
              <w:bottom w:val="single" w:sz="4" w:space="0" w:color="000000"/>
            </w:tcBorders>
          </w:tcPr>
          <w:p>
            <w:pPr>
              <w:pStyle w:val="Normal"/>
              <w:widowControl w:val="false"/>
              <w:snapToGrid w:val="false"/>
              <w:spacing w:before="100" w:after="160"/>
              <w:jc w:val="center"/>
              <w:rPr/>
            </w:pPr>
            <w:r>
              <w:rPr/>
              <w:t>kg</w:t>
            </w:r>
          </w:p>
        </w:tc>
        <w:tc>
          <w:tcPr>
            <w:tcW w:w="2271" w:type="dxa"/>
            <w:tcBorders>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2 000</w:t>
            </w:r>
          </w:p>
        </w:tc>
      </w:tr>
    </w:tbl>
    <w:p>
      <w:pPr>
        <w:pStyle w:val="Normal"/>
        <w:jc w:val="both"/>
        <w:rPr>
          <w:sz w:val="24"/>
          <w:szCs w:val="24"/>
        </w:rPr>
      </w:pPr>
      <w:r>
        <w:rPr>
          <w:sz w:val="24"/>
          <w:szCs w:val="24"/>
        </w:rPr>
        <w:tab/>
      </w:r>
    </w:p>
    <w:p>
      <w:pPr>
        <w:pStyle w:val="Normal"/>
        <w:jc w:val="both"/>
        <w:rPr/>
      </w:pPr>
      <w:bookmarkStart w:id="0" w:name="_Hlk12441212"/>
      <w:bookmarkEnd w:id="0"/>
      <w:r>
        <w:rPr/>
        <w:t xml:space="preserve">1.1. Zamawiający przewiduje realizację dostaw w okresie 12 miesięcy, </w:t>
      </w:r>
      <w:r>
        <w:rPr>
          <w:b/>
          <w:bCs/>
        </w:rPr>
        <w:t>od 1 stycznia do 31 grudnia 2025 r.</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tygodniu,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(materiał opakowaniowy stykający się z mięsem) - folia dopuszczona do kontaktu z żywnością ,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tygodniu,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7 dni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bookmarkStart w:id="1" w:name="_Hlk12441212_kopia_1"/>
      <w:bookmarkStart w:id="2" w:name="_Hlk12441212_kopia_1"/>
      <w:bookmarkEnd w:id="2"/>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502322059"/>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4</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4</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DKW.2232.17.2024</w:t>
      <w:tab/>
      <w:tab/>
      <w:t>Załącznik nr 1.1.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20ef9"/>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paragraph" w:styleId="ListParagraph">
    <w:name w:val="List Paragraph"/>
    <w:basedOn w:val="Normal"/>
    <w:qFormat/>
    <w:pPr>
      <w:spacing w:before="0" w:after="20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8B3A5-EC6D-4F09-8188-0DDC9C740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Application>LibreOffice/7.5.4.2$Windows_X86_64 LibreOffice_project/36ccfdc35048b057fd9854c757a8b67ec53977b6</Application>
  <AppVersion>15.0000</AppVersion>
  <Pages>4</Pages>
  <Words>1140</Words>
  <Characters>7686</Characters>
  <CharactersWithSpaces>8746</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2019-04-03T11:05:00Z</dcterms:created>
  <dc:creator>Paweł Kowalski</dc:creator>
  <dc:description/>
  <dc:language>pl-PL</dc:language>
  <cp:lastModifiedBy/>
  <cp:lastPrinted>2023-12-12T14:28:00Z</cp:lastPrinted>
  <dcterms:modified xsi:type="dcterms:W3CDTF">2024-11-07T10:31:02Z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