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13D" w:rsidRPr="007B413D" w:rsidRDefault="007B413D" w:rsidP="007B413D">
      <w:pPr>
        <w:spacing w:after="0" w:line="240" w:lineRule="auto"/>
        <w:ind w:left="0" w:firstLine="0"/>
        <w:jc w:val="left"/>
        <w:rPr>
          <w:rFonts w:ascii="Times New Roman" w:eastAsia="Times New Roman" w:hAnsi="Times New Roman" w:cs="Times New Roman"/>
          <w:b/>
          <w:color w:val="auto"/>
          <w:szCs w:val="20"/>
        </w:rPr>
      </w:pPr>
      <w:r w:rsidRPr="007B413D">
        <w:rPr>
          <w:rFonts w:ascii="Times New Roman" w:eastAsia="Times New Roman" w:hAnsi="Times New Roman" w:cs="Times New Roman"/>
          <w:b/>
          <w:color w:val="auto"/>
          <w:szCs w:val="20"/>
        </w:rPr>
        <w:t>Nr sprawy: ORIV.272.18.2024</w:t>
      </w:r>
      <w:r w:rsidRPr="007B413D">
        <w:rPr>
          <w:rFonts w:ascii="Times New Roman" w:eastAsia="Times New Roman" w:hAnsi="Times New Roman" w:cs="Times New Roman"/>
          <w:b/>
          <w:color w:val="auto"/>
          <w:szCs w:val="20"/>
        </w:rPr>
        <w:tab/>
      </w:r>
      <w:r w:rsidRPr="007B413D">
        <w:rPr>
          <w:rFonts w:ascii="Times New Roman" w:eastAsia="Times New Roman" w:hAnsi="Times New Roman" w:cs="Times New Roman"/>
          <w:b/>
          <w:color w:val="auto"/>
          <w:szCs w:val="20"/>
        </w:rPr>
        <w:tab/>
      </w:r>
      <w:r w:rsidRPr="007B413D">
        <w:rPr>
          <w:rFonts w:ascii="Times New Roman" w:eastAsia="Times New Roman" w:hAnsi="Times New Roman" w:cs="Times New Roman"/>
          <w:b/>
          <w:color w:val="auto"/>
          <w:szCs w:val="20"/>
        </w:rPr>
        <w:tab/>
      </w:r>
      <w:r w:rsidRPr="007B413D">
        <w:rPr>
          <w:rFonts w:ascii="Times New Roman" w:eastAsia="Times New Roman" w:hAnsi="Times New Roman" w:cs="Times New Roman"/>
          <w:b/>
          <w:color w:val="auto"/>
          <w:szCs w:val="20"/>
        </w:rPr>
        <w:tab/>
      </w:r>
      <w:r w:rsidRPr="007B413D">
        <w:rPr>
          <w:rFonts w:ascii="Times New Roman" w:eastAsia="Times New Roman" w:hAnsi="Times New Roman" w:cs="Times New Roman"/>
          <w:b/>
          <w:color w:val="auto"/>
          <w:szCs w:val="20"/>
        </w:rPr>
        <w:tab/>
      </w:r>
      <w:r w:rsidRPr="007B413D">
        <w:rPr>
          <w:rFonts w:ascii="Times New Roman" w:eastAsia="Times New Roman" w:hAnsi="Times New Roman" w:cs="Times New Roman"/>
          <w:b/>
          <w:color w:val="auto"/>
          <w:szCs w:val="20"/>
        </w:rPr>
        <w:tab/>
      </w:r>
    </w:p>
    <w:p w:rsidR="007B413D" w:rsidRPr="007B413D" w:rsidRDefault="007B413D" w:rsidP="007B413D">
      <w:pPr>
        <w:spacing w:after="0" w:line="240" w:lineRule="auto"/>
        <w:ind w:left="0" w:firstLine="0"/>
        <w:jc w:val="left"/>
        <w:rPr>
          <w:rFonts w:ascii="Times New Roman" w:eastAsia="Times New Roman" w:hAnsi="Times New Roman" w:cs="Times New Roman"/>
          <w:b/>
          <w:color w:val="auto"/>
          <w:szCs w:val="20"/>
        </w:rPr>
      </w:pPr>
      <w:r w:rsidRPr="007B413D">
        <w:rPr>
          <w:rFonts w:ascii="Times New Roman" w:eastAsia="Times New Roman" w:hAnsi="Times New Roman" w:cs="Times New Roman"/>
          <w:b/>
          <w:color w:val="auto"/>
          <w:szCs w:val="20"/>
        </w:rPr>
        <w:t xml:space="preserve">                                            </w:t>
      </w:r>
    </w:p>
    <w:p w:rsidR="007B413D" w:rsidRPr="007B413D" w:rsidRDefault="007B413D" w:rsidP="007B413D">
      <w:pPr>
        <w:spacing w:after="0" w:line="240" w:lineRule="auto"/>
        <w:ind w:left="0" w:firstLine="0"/>
        <w:jc w:val="right"/>
        <w:rPr>
          <w:rFonts w:ascii="Times New Roman" w:eastAsia="Times New Roman" w:hAnsi="Times New Roman" w:cs="Times New Roman"/>
          <w:b/>
          <w:color w:val="auto"/>
          <w:szCs w:val="20"/>
        </w:rPr>
      </w:pPr>
      <w:r w:rsidRPr="007B413D">
        <w:rPr>
          <w:rFonts w:ascii="Times New Roman" w:eastAsia="Times New Roman" w:hAnsi="Times New Roman" w:cs="Times New Roman"/>
          <w:b/>
          <w:color w:val="auto"/>
          <w:szCs w:val="20"/>
        </w:rPr>
        <w:tab/>
      </w:r>
      <w:r w:rsidRPr="007B413D">
        <w:rPr>
          <w:rFonts w:ascii="Times New Roman" w:eastAsia="Times New Roman" w:hAnsi="Times New Roman" w:cs="Times New Roman"/>
          <w:b/>
          <w:color w:val="auto"/>
          <w:szCs w:val="20"/>
        </w:rPr>
        <w:tab/>
        <w:t xml:space="preserve">                      </w:t>
      </w:r>
      <w:r>
        <w:rPr>
          <w:rFonts w:ascii="Times New Roman" w:eastAsia="Times New Roman" w:hAnsi="Times New Roman" w:cs="Times New Roman"/>
          <w:b/>
          <w:color w:val="auto"/>
          <w:szCs w:val="20"/>
        </w:rPr>
        <w:t xml:space="preserve">                         zał. nr 1</w:t>
      </w:r>
      <w:r w:rsidRPr="007B413D">
        <w:rPr>
          <w:rFonts w:ascii="Times New Roman" w:eastAsia="Times New Roman" w:hAnsi="Times New Roman" w:cs="Times New Roman"/>
          <w:b/>
          <w:color w:val="auto"/>
          <w:szCs w:val="20"/>
        </w:rPr>
        <w:t xml:space="preserve"> do SWZ</w:t>
      </w:r>
    </w:p>
    <w:p w:rsidR="007B413D" w:rsidRDefault="007B413D" w:rsidP="007B413D">
      <w:pPr>
        <w:pStyle w:val="Nagwek1"/>
        <w:spacing w:after="22"/>
        <w:ind w:right="4"/>
      </w:pPr>
      <w:r w:rsidRPr="007B413D">
        <w:rPr>
          <w:rFonts w:ascii="Times New Roman" w:eastAsia="Times New Roman" w:hAnsi="Times New Roman" w:cs="Times New Roman"/>
          <w:b w:val="0"/>
          <w:color w:val="auto"/>
          <w:szCs w:val="20"/>
        </w:rPr>
        <w:t xml:space="preserve">                                                                        </w:t>
      </w:r>
    </w:p>
    <w:p w:rsidR="00D91336" w:rsidRDefault="00C05490">
      <w:pPr>
        <w:pStyle w:val="Nagwek1"/>
        <w:spacing w:after="22"/>
        <w:ind w:right="4"/>
      </w:pPr>
      <w:r>
        <w:t xml:space="preserve">Umowa nr …………/2024 </w:t>
      </w:r>
    </w:p>
    <w:p w:rsidR="00D91336" w:rsidRDefault="00C05490">
      <w:pPr>
        <w:spacing w:after="20" w:line="259" w:lineRule="auto"/>
        <w:ind w:left="0" w:firstLine="0"/>
        <w:jc w:val="left"/>
      </w:pPr>
      <w:r>
        <w:t xml:space="preserve"> </w:t>
      </w:r>
    </w:p>
    <w:p w:rsidR="009C561E" w:rsidRPr="009C561E" w:rsidRDefault="00C05490" w:rsidP="009C561E">
      <w:pPr>
        <w:ind w:left="55" w:firstLine="0"/>
      </w:pPr>
      <w:r>
        <w:t xml:space="preserve">zawarta w dniu ………………………………………..2024 r. pomiędzy </w:t>
      </w:r>
      <w:r w:rsidR="009C561E" w:rsidRPr="009C561E">
        <w:t>Powiatem Kwidzyńskim  mającym siedzibę w Kwidzynie</w:t>
      </w:r>
      <w:r w:rsidR="00081F49">
        <w:t xml:space="preserve"> przy ul. Kościuszki 29b</w:t>
      </w:r>
      <w:r w:rsidR="009C561E" w:rsidRPr="009C561E">
        <w:t>, reprezentowanym przez:</w:t>
      </w:r>
    </w:p>
    <w:p w:rsidR="009C561E" w:rsidRPr="009C561E" w:rsidRDefault="009C561E" w:rsidP="009C561E">
      <w:pPr>
        <w:ind w:left="55" w:firstLine="0"/>
      </w:pPr>
      <w:r w:rsidRPr="009C561E">
        <w:t>1.</w:t>
      </w:r>
      <w:r w:rsidRPr="009C561E">
        <w:tab/>
        <w:t xml:space="preserve">Starostę                    - ……………………….. </w:t>
      </w:r>
    </w:p>
    <w:p w:rsidR="009C561E" w:rsidRPr="009C561E" w:rsidRDefault="009C561E" w:rsidP="009C561E">
      <w:pPr>
        <w:ind w:left="55" w:firstLine="0"/>
      </w:pPr>
      <w:r w:rsidRPr="009C561E">
        <w:t>2.</w:t>
      </w:r>
      <w:r w:rsidRPr="009C561E">
        <w:tab/>
        <w:t>Wicestarostę            - ………………………..</w:t>
      </w:r>
    </w:p>
    <w:p w:rsidR="00081F49" w:rsidRDefault="00081F49" w:rsidP="00954F2C">
      <w:pPr>
        <w:spacing w:after="0" w:line="276" w:lineRule="auto"/>
        <w:ind w:right="1908"/>
        <w:jc w:val="left"/>
      </w:pPr>
      <w:r>
        <w:t>z</w:t>
      </w:r>
      <w:r w:rsidR="00954F2C">
        <w:t xml:space="preserve">wanym </w:t>
      </w:r>
      <w:r w:rsidR="00C05490">
        <w:t>dalej „</w:t>
      </w:r>
      <w:r w:rsidR="00C05490">
        <w:rPr>
          <w:b/>
        </w:rPr>
        <w:t>Zamawiającym”</w:t>
      </w:r>
      <w:r w:rsidR="00C05490">
        <w:t xml:space="preserve">,  </w:t>
      </w:r>
    </w:p>
    <w:p w:rsidR="00D91336" w:rsidRDefault="00C05490" w:rsidP="00954F2C">
      <w:pPr>
        <w:spacing w:after="0" w:line="276" w:lineRule="auto"/>
        <w:ind w:right="1908"/>
        <w:jc w:val="left"/>
      </w:pPr>
      <w:r>
        <w:t xml:space="preserve">a </w:t>
      </w:r>
    </w:p>
    <w:p w:rsidR="00D91336" w:rsidRDefault="00C05490">
      <w:pPr>
        <w:spacing w:after="9"/>
        <w:ind w:left="55" w:firstLine="0"/>
      </w:pPr>
      <w:r>
        <w:t>……………………………………………………………………………………………………………………………………………… zwanym dalej</w:t>
      </w:r>
      <w:r>
        <w:rPr>
          <w:b/>
        </w:rPr>
        <w:t xml:space="preserve"> „Wykonawcą”. </w:t>
      </w:r>
    </w:p>
    <w:p w:rsidR="00D91336" w:rsidRDefault="00C05490">
      <w:pPr>
        <w:spacing w:after="22" w:line="259" w:lineRule="auto"/>
        <w:ind w:left="0" w:firstLine="0"/>
        <w:jc w:val="left"/>
      </w:pPr>
      <w:r>
        <w:rPr>
          <w:b/>
        </w:rPr>
        <w:t xml:space="preserve"> </w:t>
      </w:r>
    </w:p>
    <w:p w:rsidR="00D91336" w:rsidRDefault="00C05490">
      <w:pPr>
        <w:spacing w:after="8"/>
        <w:ind w:left="55" w:firstLine="0"/>
      </w:pPr>
      <w:r>
        <w:t>Strony zgodnie oświadczają, że niniejsza umowa zawarta jest zgodnie z wymogami ustawy z dnia 11 września 2019r. Prawo zamówień</w:t>
      </w:r>
      <w:r w:rsidR="00165D9D">
        <w:t xml:space="preserve"> publicznych (tj. Dz.U. z 2024 poz. 1320</w:t>
      </w:r>
      <w:r>
        <w:t xml:space="preserve">.), a Wykonawca został wybrany przez Zamawiającego w wyniku rozstrzygnięcia postępowania prowadzonego w trybie podstawowym bez negocjacji. </w:t>
      </w:r>
    </w:p>
    <w:p w:rsidR="00D91336" w:rsidRDefault="00C05490">
      <w:pPr>
        <w:spacing w:after="22" w:line="259" w:lineRule="auto"/>
        <w:ind w:left="0" w:firstLine="0"/>
        <w:jc w:val="left"/>
      </w:pPr>
      <w:r>
        <w:rPr>
          <w:b/>
        </w:rPr>
        <w:t xml:space="preserve"> </w:t>
      </w:r>
    </w:p>
    <w:p w:rsidR="00D91336" w:rsidRDefault="00C05490">
      <w:pPr>
        <w:pStyle w:val="Nagwek1"/>
      </w:pPr>
      <w:r>
        <w:t xml:space="preserve">§ 1 </w:t>
      </w:r>
    </w:p>
    <w:p w:rsidR="00D91336" w:rsidRDefault="00C05490">
      <w:pPr>
        <w:numPr>
          <w:ilvl w:val="0"/>
          <w:numId w:val="2"/>
        </w:numPr>
        <w:ind w:hanging="360"/>
      </w:pPr>
      <w:r>
        <w:t xml:space="preserve">Przedmiotem umowy jest dostawa tablic rejestracyjnych oraz odbiór zużytych tablic przeznaczonych do złomowania.  </w:t>
      </w:r>
    </w:p>
    <w:p w:rsidR="00D91336" w:rsidRDefault="00C05490">
      <w:pPr>
        <w:numPr>
          <w:ilvl w:val="0"/>
          <w:numId w:val="2"/>
        </w:numPr>
        <w:ind w:hanging="360"/>
      </w:pPr>
      <w:r>
        <w:t xml:space="preserve">Koszt odbioru i kasacji wliczony jest w cenę tablic.  </w:t>
      </w:r>
    </w:p>
    <w:p w:rsidR="00D91336" w:rsidRDefault="00C05490">
      <w:pPr>
        <w:numPr>
          <w:ilvl w:val="0"/>
          <w:numId w:val="2"/>
        </w:numPr>
        <w:spacing w:after="0"/>
        <w:ind w:hanging="360"/>
      </w:pPr>
      <w:r>
        <w:t xml:space="preserve">Ilość oraz rodzaje tablic, które będą dostarczane w ramach niniejszej umowy: </w:t>
      </w:r>
    </w:p>
    <w:tbl>
      <w:tblPr>
        <w:tblpPr w:leftFromText="141" w:rightFromText="141" w:vertAnchor="page" w:horzAnchor="margin" w:tblpY="87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5748"/>
        <w:gridCol w:w="2775"/>
      </w:tblGrid>
      <w:tr w:rsidR="00B56081" w:rsidRPr="00B56081" w:rsidTr="00B56081">
        <w:trPr>
          <w:trHeight w:val="269"/>
        </w:trPr>
        <w:tc>
          <w:tcPr>
            <w:tcW w:w="544" w:type="dxa"/>
            <w:vMerge w:val="restart"/>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Lp.</w:t>
            </w:r>
          </w:p>
        </w:tc>
        <w:tc>
          <w:tcPr>
            <w:tcW w:w="5748" w:type="dxa"/>
            <w:vMerge w:val="restart"/>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Opis tablicy</w:t>
            </w:r>
          </w:p>
        </w:tc>
        <w:tc>
          <w:tcPr>
            <w:tcW w:w="2775" w:type="dxa"/>
            <w:vMerge w:val="restart"/>
            <w:shd w:val="clear" w:color="auto" w:fill="auto"/>
            <w:hideMark/>
          </w:tcPr>
          <w:p w:rsidR="00B56081" w:rsidRPr="00B56081" w:rsidRDefault="00B56081" w:rsidP="00B56081">
            <w:pPr>
              <w:spacing w:after="0" w:line="240" w:lineRule="auto"/>
              <w:ind w:left="0" w:firstLine="0"/>
              <w:jc w:val="center"/>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Szacunkowe zapotrzebowanie przez okres trwania umowy w szt.</w:t>
            </w:r>
          </w:p>
        </w:tc>
      </w:tr>
      <w:tr w:rsidR="00B56081" w:rsidRPr="00B56081" w:rsidTr="00B56081">
        <w:trPr>
          <w:trHeight w:val="476"/>
        </w:trPr>
        <w:tc>
          <w:tcPr>
            <w:tcW w:w="544" w:type="dxa"/>
            <w:vMerge/>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p>
        </w:tc>
        <w:tc>
          <w:tcPr>
            <w:tcW w:w="5748" w:type="dxa"/>
            <w:vMerge/>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p>
        </w:tc>
        <w:tc>
          <w:tcPr>
            <w:tcW w:w="2775" w:type="dxa"/>
            <w:vMerge/>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p>
        </w:tc>
      </w:tr>
      <w:tr w:rsidR="00B56081" w:rsidRPr="00B56081" w:rsidTr="00B56081">
        <w:trPr>
          <w:trHeight w:val="444"/>
        </w:trPr>
        <w:tc>
          <w:tcPr>
            <w:tcW w:w="544" w:type="dxa"/>
            <w:vMerge w:val="restart"/>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1.</w:t>
            </w:r>
          </w:p>
        </w:tc>
        <w:tc>
          <w:tcPr>
            <w:tcW w:w="5748" w:type="dxa"/>
            <w:vMerge w:val="restart"/>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samochodowe zwyczajne (jednorzędowe lub dwurzędowe lub jednorzędowe (tło białe lub zielone), w tym obce wyróżniki</w:t>
            </w:r>
          </w:p>
        </w:tc>
        <w:tc>
          <w:tcPr>
            <w:tcW w:w="2775" w:type="dxa"/>
            <w:vMerge w:val="restart"/>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6000</w:t>
            </w:r>
          </w:p>
        </w:tc>
      </w:tr>
      <w:tr w:rsidR="00B56081" w:rsidRPr="00B56081" w:rsidTr="00B56081">
        <w:trPr>
          <w:trHeight w:val="476"/>
        </w:trPr>
        <w:tc>
          <w:tcPr>
            <w:tcW w:w="544" w:type="dxa"/>
            <w:vMerge/>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p>
        </w:tc>
        <w:tc>
          <w:tcPr>
            <w:tcW w:w="5748" w:type="dxa"/>
            <w:vMerge/>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p>
        </w:tc>
        <w:tc>
          <w:tcPr>
            <w:tcW w:w="2775" w:type="dxa"/>
            <w:vMerge/>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p>
        </w:tc>
      </w:tr>
      <w:tr w:rsidR="00B56081" w:rsidRPr="00B56081" w:rsidTr="00B56081">
        <w:trPr>
          <w:trHeight w:val="188"/>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2.</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motocyklowe/ciągnikowe zwyczajne (tło białe lub zielone)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480</w:t>
            </w:r>
          </w:p>
        </w:tc>
      </w:tr>
      <w:tr w:rsidR="00B56081" w:rsidRPr="00B56081" w:rsidTr="00B56081">
        <w:trPr>
          <w:trHeight w:val="334"/>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3.</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motorowerowe (tło białe lub zielone)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380</w:t>
            </w:r>
          </w:p>
        </w:tc>
      </w:tr>
      <w:tr w:rsidR="00B56081" w:rsidRPr="00B56081" w:rsidTr="00B56081">
        <w:trPr>
          <w:trHeight w:val="409"/>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4.</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 xml:space="preserve">samochodowe zabytkowe (jednorzędowe lub dwurzędowe lub jednorzędowe </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40</w:t>
            </w:r>
          </w:p>
        </w:tc>
      </w:tr>
      <w:tr w:rsidR="00B56081" w:rsidRPr="00B56081" w:rsidTr="00B56081">
        <w:trPr>
          <w:trHeight w:val="275"/>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5.</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motocyklowe/ciągnikowe zabytkowe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40</w:t>
            </w:r>
          </w:p>
        </w:tc>
      </w:tr>
      <w:tr w:rsidR="00B56081" w:rsidRPr="00B56081" w:rsidTr="00B56081">
        <w:trPr>
          <w:trHeight w:val="324"/>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6.</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 xml:space="preserve">motorowerowe zabytkowe </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40</w:t>
            </w:r>
          </w:p>
        </w:tc>
      </w:tr>
      <w:tr w:rsidR="00B56081" w:rsidRPr="00B56081" w:rsidTr="00B56081">
        <w:trPr>
          <w:trHeight w:val="227"/>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7.</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tymczasowe samochodowe (jedno lub dwurzędowe)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40</w:t>
            </w:r>
          </w:p>
        </w:tc>
      </w:tr>
      <w:tr w:rsidR="00B56081" w:rsidRPr="00B56081" w:rsidTr="00B56081">
        <w:trPr>
          <w:trHeight w:val="324"/>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8.</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tymczasowe motocyklowe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20</w:t>
            </w:r>
          </w:p>
        </w:tc>
      </w:tr>
      <w:tr w:rsidR="00B56081" w:rsidRPr="00B56081" w:rsidTr="00B56081">
        <w:trPr>
          <w:trHeight w:val="324"/>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9</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tymczasowe motorowerowe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20</w:t>
            </w:r>
          </w:p>
        </w:tc>
      </w:tr>
      <w:tr w:rsidR="00B56081" w:rsidRPr="00B56081" w:rsidTr="00B56081">
        <w:trPr>
          <w:trHeight w:val="255"/>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10.</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profesjonalne samochodowe (jedno i dwurzędowe)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4</w:t>
            </w:r>
          </w:p>
        </w:tc>
      </w:tr>
      <w:tr w:rsidR="00B56081" w:rsidRPr="00B56081" w:rsidTr="00B56081">
        <w:trPr>
          <w:trHeight w:val="324"/>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11.</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profesjonalne motocyklowe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2</w:t>
            </w:r>
          </w:p>
        </w:tc>
      </w:tr>
      <w:tr w:rsidR="00B56081" w:rsidRPr="00B56081" w:rsidTr="00B56081">
        <w:trPr>
          <w:trHeight w:val="324"/>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12.</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profesjonalne motorowerowe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2</w:t>
            </w:r>
          </w:p>
        </w:tc>
      </w:tr>
      <w:tr w:rsidR="00B56081" w:rsidRPr="00B56081" w:rsidTr="00B56081">
        <w:trPr>
          <w:trHeight w:val="290"/>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13.</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samochodowe indywidualne (tło białe lub zielone)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50</w:t>
            </w:r>
          </w:p>
        </w:tc>
      </w:tr>
      <w:tr w:rsidR="00B56081" w:rsidRPr="00B56081" w:rsidTr="00B56081">
        <w:trPr>
          <w:trHeight w:val="274"/>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14.</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motocyklowe indywidualne (tło białe lub zielone)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10</w:t>
            </w:r>
          </w:p>
        </w:tc>
      </w:tr>
      <w:tr w:rsidR="00B56081" w:rsidRPr="00B56081" w:rsidTr="00B56081">
        <w:trPr>
          <w:trHeight w:val="277"/>
        </w:trPr>
        <w:tc>
          <w:tcPr>
            <w:tcW w:w="544"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15.</w:t>
            </w:r>
          </w:p>
        </w:tc>
        <w:tc>
          <w:tcPr>
            <w:tcW w:w="5748" w:type="dxa"/>
            <w:shd w:val="clear" w:color="auto" w:fill="auto"/>
            <w:hideMark/>
          </w:tcPr>
          <w:p w:rsidR="00B56081" w:rsidRPr="00B56081" w:rsidRDefault="00B56081" w:rsidP="00B56081">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wtórniki tablic/dodatkowe w tym wyróżniki obce</w:t>
            </w:r>
          </w:p>
        </w:tc>
        <w:tc>
          <w:tcPr>
            <w:tcW w:w="2775" w:type="dxa"/>
            <w:shd w:val="clear" w:color="auto" w:fill="auto"/>
            <w:hideMark/>
          </w:tcPr>
          <w:p w:rsidR="00B56081" w:rsidRPr="00B56081" w:rsidRDefault="00B56081" w:rsidP="00B56081">
            <w:pPr>
              <w:spacing w:after="0" w:line="240" w:lineRule="auto"/>
              <w:ind w:left="0" w:firstLine="0"/>
              <w:jc w:val="righ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400</w:t>
            </w:r>
          </w:p>
        </w:tc>
      </w:tr>
    </w:tbl>
    <w:p w:rsidR="00B56081" w:rsidRDefault="00B56081" w:rsidP="00B56081">
      <w:pPr>
        <w:spacing w:after="0"/>
      </w:pPr>
    </w:p>
    <w:p w:rsidR="00D91336" w:rsidRDefault="00C05490">
      <w:pPr>
        <w:numPr>
          <w:ilvl w:val="0"/>
          <w:numId w:val="2"/>
        </w:numPr>
        <w:spacing w:after="0" w:line="276" w:lineRule="auto"/>
        <w:ind w:hanging="360"/>
      </w:pPr>
      <w:r>
        <w:rPr>
          <w:color w:val="0D0D0D"/>
        </w:rPr>
        <w:lastRenderedPageBreak/>
        <w:t xml:space="preserve">Z racji tego, że przedstawione w tabeli ilości tablic stanowią jedynie wartości szacunkowe, faktyczna realizacja dostaw zamawianych tablic może zostać zwiększona lub zmniejszona o 15% łącznej ilości wszystkich rodzajów tablic. Zmiany w zakresie ilości poszczególnych rodzajów tablic, o ile mieszczą się w limicie wskazanym w zdaniu pierwszym, nie stanowią zmiany umowy. </w:t>
      </w:r>
    </w:p>
    <w:p w:rsidR="00D91336" w:rsidRDefault="00C05490">
      <w:pPr>
        <w:spacing w:after="22" w:line="259" w:lineRule="auto"/>
        <w:ind w:left="50" w:firstLine="0"/>
        <w:jc w:val="center"/>
      </w:pPr>
      <w:r>
        <w:rPr>
          <w:b/>
        </w:rPr>
        <w:t xml:space="preserve"> </w:t>
      </w:r>
    </w:p>
    <w:p w:rsidR="00D91336" w:rsidRDefault="00C05490">
      <w:pPr>
        <w:pStyle w:val="Nagwek1"/>
      </w:pPr>
      <w:r>
        <w:t xml:space="preserve">§ 2 </w:t>
      </w:r>
    </w:p>
    <w:p w:rsidR="00D91336" w:rsidRDefault="00C05490">
      <w:pPr>
        <w:numPr>
          <w:ilvl w:val="0"/>
          <w:numId w:val="3"/>
        </w:numPr>
        <w:ind w:hanging="360"/>
      </w:pPr>
      <w:r>
        <w:t>Dostarczane tablice rejestracyjne muszą być wykonane zgodnie z wymaganiami określonymi  w Rozporządzeniu Ministra Infrastruktury z dnia 31 sierpnia 2022 r. w sprawie rejestracji i oznaczenia pojazdów, wymagań dla tablic rejestracyjnych  oraz wzorów innych dokumentów związanych z rejestracją pojazdów (Dz. U. z 2022 r. poz. 1847) i w Rozporządzeniu Ministra Transportu, Budownictwa i Gospodarki Morskiej z dnia 2 maja 2012 r. w sprawie warunków produkcji i sposobu dystrybucji tablic rejestracyjnych i znaków legalizacy</w:t>
      </w:r>
      <w:r w:rsidR="00530BD4">
        <w:t xml:space="preserve">jnych (Dz. U. z 2022 r. poz.  </w:t>
      </w:r>
      <w:r w:rsidR="00530BD4" w:rsidRPr="004D3EF4">
        <w:rPr>
          <w:color w:val="auto"/>
        </w:rPr>
        <w:t xml:space="preserve">1885 </w:t>
      </w:r>
      <w:r>
        <w:t xml:space="preserve"> z </w:t>
      </w:r>
      <w:proofErr w:type="spellStart"/>
      <w:r>
        <w:t>późn</w:t>
      </w:r>
      <w:proofErr w:type="spellEnd"/>
      <w:r>
        <w:t xml:space="preserve">. zm.). </w:t>
      </w:r>
    </w:p>
    <w:p w:rsidR="00D91336" w:rsidRDefault="00C05490">
      <w:pPr>
        <w:numPr>
          <w:ilvl w:val="0"/>
          <w:numId w:val="3"/>
        </w:numPr>
        <w:ind w:hanging="360"/>
      </w:pPr>
      <w:r>
        <w:t xml:space="preserve">Dostawa tablic nie spełniających wyżej określonych wymagań spowoduje odmowę ich przyjęcia z winy Wykonawcy. W takiej sytuacji Wykonawca zobowiązuje się do wymiany nieprawidłowych tablic na właściwe, bez wad i dostarczenie ich Zamawiającemu w terminie 1 dnia roboczego od uznania dostawy za nieprawidłowo wykonaną. </w:t>
      </w:r>
    </w:p>
    <w:p w:rsidR="00D91336" w:rsidRDefault="00C05490">
      <w:pPr>
        <w:numPr>
          <w:ilvl w:val="0"/>
          <w:numId w:val="3"/>
        </w:numPr>
        <w:spacing w:after="8"/>
        <w:ind w:hanging="360"/>
      </w:pPr>
      <w:r>
        <w:t xml:space="preserve">Wykonawca przez cały okres realizacji zamówienia obowiązany jest posiadać aktualne certyfikaty ITS (Instytutu Transportu Samochodowego) dla każdego rodzaju dostarczanych tablic rejestracyjnych.   </w:t>
      </w:r>
    </w:p>
    <w:p w:rsidR="00B56081" w:rsidRDefault="00B56081">
      <w:pPr>
        <w:pStyle w:val="Nagwek1"/>
        <w:spacing w:after="20"/>
      </w:pPr>
    </w:p>
    <w:p w:rsidR="00D91336" w:rsidRDefault="00C05490">
      <w:pPr>
        <w:pStyle w:val="Nagwek1"/>
        <w:spacing w:after="20"/>
      </w:pPr>
      <w:r>
        <w:t xml:space="preserve">§ 3 </w:t>
      </w:r>
    </w:p>
    <w:p w:rsidR="00D91336" w:rsidRDefault="00C05490">
      <w:pPr>
        <w:spacing w:after="9"/>
        <w:ind w:left="55" w:firstLine="0"/>
      </w:pPr>
      <w:r>
        <w:t xml:space="preserve">Przekazanie Wykonawcy zużytych tablic do złomowania następować będzie przy odbiorze poszczególnych dostaw przez Zamawiającego. </w:t>
      </w:r>
    </w:p>
    <w:p w:rsidR="00D91336" w:rsidRDefault="00C05490">
      <w:pPr>
        <w:spacing w:after="20" w:line="259" w:lineRule="auto"/>
        <w:ind w:left="0" w:firstLine="0"/>
        <w:jc w:val="left"/>
      </w:pPr>
      <w:r>
        <w:t xml:space="preserve"> </w:t>
      </w:r>
    </w:p>
    <w:p w:rsidR="00D91336" w:rsidRDefault="00C05490">
      <w:pPr>
        <w:pStyle w:val="Nagwek1"/>
      </w:pPr>
      <w:r>
        <w:t xml:space="preserve">§ 4 </w:t>
      </w:r>
    </w:p>
    <w:p w:rsidR="00D91336" w:rsidRDefault="00C05490">
      <w:pPr>
        <w:numPr>
          <w:ilvl w:val="0"/>
          <w:numId w:val="4"/>
        </w:numPr>
        <w:ind w:hanging="360"/>
      </w:pPr>
      <w:r>
        <w:t xml:space="preserve">Sukcesywna dostawa tablic następować będzie na podstawie pisemnego lub za pośrednictwem komunikacji elektronicznej złożonego zamówienia Wydziału Komunikacji i Transportu Starostwa, w którym podana będzie wymagana ilość tablic poszczególnych rodzajów.  </w:t>
      </w:r>
    </w:p>
    <w:p w:rsidR="00D91336" w:rsidRDefault="00C05490">
      <w:pPr>
        <w:numPr>
          <w:ilvl w:val="0"/>
          <w:numId w:val="4"/>
        </w:numPr>
        <w:ind w:hanging="360"/>
      </w:pPr>
      <w:r>
        <w:t xml:space="preserve">Planowana partia tablic będzie dostarczana partiami po 25-1000 szt., w ciągu pięciu dni od dnia przesłania zamówienia. </w:t>
      </w:r>
    </w:p>
    <w:p w:rsidR="00D91336" w:rsidRDefault="00C05490">
      <w:pPr>
        <w:numPr>
          <w:ilvl w:val="0"/>
          <w:numId w:val="4"/>
        </w:numPr>
        <w:ind w:hanging="360"/>
      </w:pPr>
      <w:r>
        <w:t xml:space="preserve">Awaryjna partia tablic będzie dostarczana w ilości 1-20 szt. w ciągu 24 godzin od dnia przesłania zamówienia. </w:t>
      </w:r>
    </w:p>
    <w:p w:rsidR="00D91336" w:rsidRDefault="00C05490">
      <w:pPr>
        <w:numPr>
          <w:ilvl w:val="0"/>
          <w:numId w:val="4"/>
        </w:numPr>
        <w:spacing w:after="9"/>
        <w:ind w:hanging="360"/>
      </w:pPr>
      <w:r>
        <w:t xml:space="preserve">Wraz z dostawą tablic, Wykonawca odbierze tablice rejestracyjne przeznaczone do zezłomowania. </w:t>
      </w:r>
    </w:p>
    <w:p w:rsidR="00D91336" w:rsidRDefault="00C05490">
      <w:pPr>
        <w:numPr>
          <w:ilvl w:val="0"/>
          <w:numId w:val="4"/>
        </w:numPr>
        <w:spacing w:after="8"/>
        <w:ind w:hanging="360"/>
      </w:pPr>
      <w:r>
        <w:t xml:space="preserve">Dostarczenie tablic rejestracyjnych do Wydziału </w:t>
      </w:r>
      <w:r w:rsidR="00B56081">
        <w:t xml:space="preserve">Komunikacji, Bezpieczeństwa Obywateli </w:t>
      </w:r>
      <w:r>
        <w:t>i</w:t>
      </w:r>
      <w:r w:rsidR="00B56081">
        <w:t xml:space="preserve"> Zarządzania Kryzysowego </w:t>
      </w:r>
      <w:r>
        <w:t>St</w:t>
      </w:r>
      <w:r w:rsidR="00B56081">
        <w:t xml:space="preserve">arostwa Powiatowego w Kwidzynie </w:t>
      </w:r>
      <w:r>
        <w:t xml:space="preserve">oraz odbiór zużytych tablic przeznaczonych do złomowania następuje transportem i na koszt Wykonawcy. </w:t>
      </w:r>
    </w:p>
    <w:p w:rsidR="00D91336" w:rsidRDefault="00C05490">
      <w:pPr>
        <w:spacing w:after="0" w:line="259" w:lineRule="auto"/>
        <w:ind w:left="50" w:firstLine="0"/>
        <w:jc w:val="center"/>
      </w:pPr>
      <w:r>
        <w:rPr>
          <w:b/>
        </w:rPr>
        <w:t xml:space="preserve"> </w:t>
      </w:r>
    </w:p>
    <w:p w:rsidR="00D91336" w:rsidRPr="00165D9D" w:rsidRDefault="00C05490">
      <w:pPr>
        <w:pStyle w:val="Nagwek1"/>
      </w:pPr>
      <w:r w:rsidRPr="00165D9D">
        <w:t xml:space="preserve">§ 5 </w:t>
      </w:r>
    </w:p>
    <w:p w:rsidR="00BF4998" w:rsidRPr="009716E7" w:rsidRDefault="00C05490" w:rsidP="009716E7">
      <w:pPr>
        <w:numPr>
          <w:ilvl w:val="0"/>
          <w:numId w:val="5"/>
        </w:numPr>
        <w:ind w:hanging="360"/>
        <w:rPr>
          <w:strike/>
          <w:color w:val="auto"/>
        </w:rPr>
      </w:pPr>
      <w:r w:rsidRPr="009716E7">
        <w:rPr>
          <w:color w:val="auto"/>
        </w:rPr>
        <w:t>U</w:t>
      </w:r>
      <w:r w:rsidR="009716E7">
        <w:rPr>
          <w:color w:val="auto"/>
        </w:rPr>
        <w:t xml:space="preserve">mowa zostaje zawarta </w:t>
      </w:r>
      <w:r w:rsidR="00BF4998" w:rsidRPr="009716E7">
        <w:rPr>
          <w:rFonts w:ascii="Times New Roman" w:eastAsia="Times New Roman" w:hAnsi="Times New Roman" w:cs="Times New Roman"/>
          <w:color w:val="auto"/>
          <w:szCs w:val="24"/>
        </w:rPr>
        <w:t>od 01.01.2025 przez 365 dni kalendarzowych.</w:t>
      </w:r>
    </w:p>
    <w:p w:rsidR="00D91336" w:rsidRDefault="00C05490">
      <w:pPr>
        <w:numPr>
          <w:ilvl w:val="0"/>
          <w:numId w:val="5"/>
        </w:numPr>
        <w:ind w:hanging="360"/>
      </w:pPr>
      <w:r>
        <w:t xml:space="preserve">Zamawiający uprawniony jest do rozwiązania umowy bez zachowania terminu wypowiedzenia w następujących sytuacjach: </w:t>
      </w:r>
    </w:p>
    <w:p w:rsidR="00D91336" w:rsidRDefault="00C05490">
      <w:pPr>
        <w:numPr>
          <w:ilvl w:val="1"/>
          <w:numId w:val="5"/>
        </w:numPr>
        <w:ind w:hanging="360"/>
      </w:pPr>
      <w:r>
        <w:lastRenderedPageBreak/>
        <w:t xml:space="preserve">Wykonawca uchybił trzykrotnie terminowi dostawy poszczególnej partii zamówienia, o których mowa w § 4 ust. 2 i 3 umowy, </w:t>
      </w:r>
    </w:p>
    <w:p w:rsidR="00D91336" w:rsidRDefault="00C05490">
      <w:pPr>
        <w:numPr>
          <w:ilvl w:val="1"/>
          <w:numId w:val="5"/>
        </w:numPr>
        <w:ind w:hanging="360"/>
      </w:pPr>
      <w:r>
        <w:t xml:space="preserve">trzykrotnie stwierdzonej dostawie wadliwych jakościowo tablic, co skutkowało koniecznością powtórnej realizacji danej dostawy. </w:t>
      </w:r>
    </w:p>
    <w:p w:rsidR="00D91336" w:rsidRDefault="00C05490">
      <w:pPr>
        <w:numPr>
          <w:ilvl w:val="0"/>
          <w:numId w:val="5"/>
        </w:numPr>
        <w:spacing w:after="8"/>
        <w:ind w:hanging="360"/>
      </w:pPr>
      <w:r>
        <w:t xml:space="preserve">Zamawiający każdorazowo poinformuje Wykonawcę o wystąpieniu sytuacji, o której mowa w ust. 2. Rozwiązanie umowy nastąpi za pismem Zamawiającego wskazującego przyczynę rozwiązania umowy.  </w:t>
      </w:r>
    </w:p>
    <w:p w:rsidR="00D91336" w:rsidRDefault="00C05490">
      <w:pPr>
        <w:numPr>
          <w:ilvl w:val="0"/>
          <w:numId w:val="5"/>
        </w:numPr>
        <w:spacing w:after="0"/>
        <w:ind w:hanging="360"/>
      </w:pPr>
      <w:r>
        <w:t xml:space="preserve">Umowa ulega natychmiastowemu rozwiązaniu w przypadku wykreślenia z rejestru przedsiębiorców produkujących tablice rejestracyjne lub utraty certyfikatu. </w:t>
      </w:r>
    </w:p>
    <w:p w:rsidR="00D91336" w:rsidRDefault="00C05490">
      <w:pPr>
        <w:spacing w:after="20" w:line="259" w:lineRule="auto"/>
        <w:ind w:left="0" w:firstLine="0"/>
        <w:jc w:val="left"/>
      </w:pPr>
      <w:r>
        <w:t xml:space="preserve"> </w:t>
      </w:r>
    </w:p>
    <w:p w:rsidR="00D91336" w:rsidRDefault="00C05490">
      <w:pPr>
        <w:pStyle w:val="Nagwek1"/>
      </w:pPr>
      <w:r>
        <w:t xml:space="preserve">§ 6 </w:t>
      </w:r>
    </w:p>
    <w:p w:rsidR="00D91336" w:rsidRDefault="00C05490">
      <w:pPr>
        <w:numPr>
          <w:ilvl w:val="0"/>
          <w:numId w:val="6"/>
        </w:numPr>
        <w:spacing w:after="0"/>
        <w:ind w:hanging="360"/>
      </w:pPr>
      <w:r>
        <w:t xml:space="preserve">Zamawiający zobowiązuje się zapłacić za dostawę zgodnie z podanym poniżej cennikiem: </w:t>
      </w:r>
    </w:p>
    <w:tbl>
      <w:tblPr>
        <w:tblpPr w:leftFromText="141" w:rightFromText="141" w:vertAnchor="page" w:horzAnchor="margin" w:tblpXSpec="center" w:tblpY="70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8"/>
        <w:gridCol w:w="1449"/>
      </w:tblGrid>
      <w:tr w:rsidR="001B4EF2" w:rsidRPr="00B56081" w:rsidTr="0047740F">
        <w:trPr>
          <w:trHeight w:val="269"/>
        </w:trPr>
        <w:tc>
          <w:tcPr>
            <w:tcW w:w="5748" w:type="dxa"/>
            <w:vMerge w:val="restart"/>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Opis tablicy</w:t>
            </w:r>
          </w:p>
        </w:tc>
        <w:tc>
          <w:tcPr>
            <w:tcW w:w="1449" w:type="dxa"/>
            <w:vMerge w:val="restart"/>
            <w:shd w:val="clear" w:color="auto" w:fill="auto"/>
          </w:tcPr>
          <w:p w:rsidR="001B4EF2" w:rsidRPr="00B56081" w:rsidRDefault="001B4EF2" w:rsidP="0047740F">
            <w:pPr>
              <w:spacing w:after="0" w:line="240" w:lineRule="auto"/>
              <w:ind w:left="0" w:firstLine="0"/>
              <w:jc w:val="center"/>
              <w:rPr>
                <w:rFonts w:asciiTheme="minorHAnsi" w:eastAsia="Times New Roman" w:hAnsiTheme="minorHAnsi" w:cstheme="minorHAnsi"/>
                <w:color w:val="auto"/>
                <w:sz w:val="22"/>
              </w:rPr>
            </w:pPr>
            <w:bookmarkStart w:id="0" w:name="_GoBack"/>
            <w:bookmarkEnd w:id="0"/>
            <w:r>
              <w:rPr>
                <w:rFonts w:asciiTheme="minorHAnsi" w:eastAsia="Times New Roman" w:hAnsiTheme="minorHAnsi" w:cstheme="minorHAnsi"/>
                <w:color w:val="auto"/>
                <w:sz w:val="22"/>
              </w:rPr>
              <w:t>Cena jedn. brutto</w:t>
            </w:r>
          </w:p>
        </w:tc>
      </w:tr>
      <w:tr w:rsidR="001B4EF2" w:rsidRPr="00B56081" w:rsidTr="0047740F">
        <w:trPr>
          <w:trHeight w:val="476"/>
        </w:trPr>
        <w:tc>
          <w:tcPr>
            <w:tcW w:w="5748" w:type="dxa"/>
            <w:vMerge/>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p>
        </w:tc>
        <w:tc>
          <w:tcPr>
            <w:tcW w:w="1449" w:type="dxa"/>
            <w:vMerge/>
            <w:shd w:val="clear" w:color="auto" w:fill="auto"/>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p>
        </w:tc>
      </w:tr>
      <w:tr w:rsidR="001B4EF2" w:rsidRPr="00B56081" w:rsidTr="0047740F">
        <w:trPr>
          <w:trHeight w:val="444"/>
        </w:trPr>
        <w:tc>
          <w:tcPr>
            <w:tcW w:w="5748" w:type="dxa"/>
            <w:vMerge w:val="restart"/>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samochodowe zwyczajne (jednorzędowe lub dwurzędowe lub jednorzędowe (tło białe lub zielone), w tym obce wyróżniki</w:t>
            </w:r>
          </w:p>
        </w:tc>
        <w:tc>
          <w:tcPr>
            <w:tcW w:w="1449" w:type="dxa"/>
            <w:vMerge w:val="restart"/>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476"/>
        </w:trPr>
        <w:tc>
          <w:tcPr>
            <w:tcW w:w="5748" w:type="dxa"/>
            <w:vMerge/>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p>
        </w:tc>
        <w:tc>
          <w:tcPr>
            <w:tcW w:w="1449" w:type="dxa"/>
            <w:vMerge/>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188"/>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motocyklowe/ciągnikowe zwyczajne (tło białe lub zielone)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334"/>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motorowerowe (tło białe lub zielone)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409"/>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 xml:space="preserve">samochodowe zabytkowe (jednorzędowe lub dwurzędowe lub jednorzędowe </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275"/>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motocyklowe/ciągnikowe zabytkowe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324"/>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 xml:space="preserve">motorowerowe zabytkowe </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227"/>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tymczasowe samochodowe (jedno lub dwurzędowe)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324"/>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tymczasowe motocyklowe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324"/>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tymczasowe motorowerowe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255"/>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profesjonalne samochodowe (jedno i dwurzędowe)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324"/>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profesjonalne motocyklowe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324"/>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profesjonalne motorowerowe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290"/>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samochodowe indywidualne (tło białe lub zielone)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274"/>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motocyklowe indywidualne (tło białe lub zielone)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r w:rsidR="001B4EF2" w:rsidRPr="00B56081" w:rsidTr="0047740F">
        <w:trPr>
          <w:trHeight w:val="277"/>
        </w:trPr>
        <w:tc>
          <w:tcPr>
            <w:tcW w:w="5748" w:type="dxa"/>
            <w:shd w:val="clear" w:color="auto" w:fill="auto"/>
            <w:hideMark/>
          </w:tcPr>
          <w:p w:rsidR="001B4EF2" w:rsidRPr="00B56081" w:rsidRDefault="001B4EF2" w:rsidP="0047740F">
            <w:pPr>
              <w:spacing w:after="0" w:line="240" w:lineRule="auto"/>
              <w:ind w:left="0" w:firstLine="0"/>
              <w:jc w:val="left"/>
              <w:rPr>
                <w:rFonts w:asciiTheme="minorHAnsi" w:eastAsia="Times New Roman" w:hAnsiTheme="minorHAnsi" w:cstheme="minorHAnsi"/>
                <w:color w:val="auto"/>
                <w:sz w:val="22"/>
              </w:rPr>
            </w:pPr>
            <w:r w:rsidRPr="00B56081">
              <w:rPr>
                <w:rFonts w:asciiTheme="minorHAnsi" w:eastAsia="Times New Roman" w:hAnsiTheme="minorHAnsi" w:cstheme="minorHAnsi"/>
                <w:color w:val="auto"/>
                <w:sz w:val="22"/>
              </w:rPr>
              <w:t>wtórniki tablic/dodatkowe w tym wyróżniki obce</w:t>
            </w:r>
          </w:p>
        </w:tc>
        <w:tc>
          <w:tcPr>
            <w:tcW w:w="1449" w:type="dxa"/>
            <w:shd w:val="clear" w:color="auto" w:fill="auto"/>
          </w:tcPr>
          <w:p w:rsidR="001B4EF2" w:rsidRPr="00B56081" w:rsidRDefault="001B4EF2" w:rsidP="0047740F">
            <w:pPr>
              <w:spacing w:after="0" w:line="240" w:lineRule="auto"/>
              <w:ind w:left="0" w:firstLine="0"/>
              <w:jc w:val="right"/>
              <w:rPr>
                <w:rFonts w:asciiTheme="minorHAnsi" w:eastAsia="Times New Roman" w:hAnsiTheme="minorHAnsi" w:cstheme="minorHAnsi"/>
                <w:color w:val="auto"/>
                <w:sz w:val="22"/>
              </w:rPr>
            </w:pPr>
          </w:p>
        </w:tc>
      </w:tr>
    </w:tbl>
    <w:p w:rsidR="00F059C7" w:rsidRDefault="00F059C7" w:rsidP="00F059C7">
      <w:pPr>
        <w:spacing w:after="0"/>
      </w:pPr>
    </w:p>
    <w:p w:rsidR="00D91336" w:rsidRDefault="00C05490" w:rsidP="0047740F">
      <w:pPr>
        <w:pStyle w:val="Akapitzlist"/>
        <w:numPr>
          <w:ilvl w:val="0"/>
          <w:numId w:val="6"/>
        </w:numPr>
        <w:spacing w:after="57" w:line="259" w:lineRule="auto"/>
        <w:jc w:val="left"/>
      </w:pPr>
      <w:r>
        <w:t xml:space="preserve">Łączna </w:t>
      </w:r>
      <w:r w:rsidR="0047740F">
        <w:t xml:space="preserve">szacunkowa </w:t>
      </w:r>
      <w:r>
        <w:t>wartość umowy</w:t>
      </w:r>
      <w:r w:rsidR="0047740F">
        <w:t>: kwota brutto:  ………………………… zł., słownie: ………………………………………………. w tym podatek VAT: ………………………………..  zł.</w:t>
      </w:r>
      <w:r w:rsidRPr="0047740F">
        <w:rPr>
          <w:b/>
        </w:rPr>
        <w:t xml:space="preserve"> </w:t>
      </w:r>
    </w:p>
    <w:p w:rsidR="00D91336" w:rsidRDefault="00C05490">
      <w:pPr>
        <w:numPr>
          <w:ilvl w:val="0"/>
          <w:numId w:val="6"/>
        </w:numPr>
        <w:ind w:hanging="360"/>
      </w:pPr>
      <w:r>
        <w:t>Ceny jednostkowe przewidziane w ofercie Wykonawcy mogą ulec zmianie w sytuacji, gdy poziom zmiany ceny materiałów użytych przez Wykonawcę do wykonania zlecanych prac lub kosztów związanych z ich wykonaniem przekroczy poziom 10</w:t>
      </w:r>
      <w:r w:rsidR="006F4BCF">
        <w:t xml:space="preserve">% w stosunku do cen materiałów </w:t>
      </w:r>
      <w:r>
        <w:t>i kosztów ba</w:t>
      </w:r>
      <w:r w:rsidR="006F4BCF">
        <w:t xml:space="preserve">zowych stanowiących podstawę sporządzenia </w:t>
      </w:r>
      <w:r>
        <w:t xml:space="preserve">oferty Wykonawcy. </w:t>
      </w:r>
    </w:p>
    <w:p w:rsidR="00D91336" w:rsidRDefault="00C05490">
      <w:pPr>
        <w:numPr>
          <w:ilvl w:val="0"/>
          <w:numId w:val="6"/>
        </w:numPr>
        <w:ind w:hanging="360"/>
      </w:pPr>
      <w:r>
        <w:t xml:space="preserve">W sytuacji, o której mowa w ust. 3, Wykonawca zobowiązany jest przedłożyć Zamawiającemu zestawienie obrazujące zwiększenie cen materiałów lub kosztów, potwierdzające ich wzrost o wskazany wskaźnik. </w:t>
      </w:r>
    </w:p>
    <w:p w:rsidR="00D91336" w:rsidRDefault="00C05490">
      <w:pPr>
        <w:numPr>
          <w:ilvl w:val="0"/>
          <w:numId w:val="6"/>
        </w:numPr>
        <w:ind w:hanging="360"/>
      </w:pPr>
      <w:r>
        <w:t xml:space="preserve">Zmiana cen jednostkowych zostanie dokonana od następnego miesiąca następującego po miesiącu, w którym potwierdzone zostanie przez Zamawiającego spełnienie warunku przekroczenia wskaźnika, o którym mowa w ust. 3. Zmiana nastąpi w oparciu o ostatni średnioroczny wskaźnik cen towarów i usług konsumpcyjnych ogółem, opublikowany  w </w:t>
      </w:r>
      <w:r>
        <w:lastRenderedPageBreak/>
        <w:t xml:space="preserve">Komunikacie Prezesa Głównego Urzędu Statystycznego sprzed wystąpienia zmiany, o której mowa w ust. 3, lecz nie więcej niż o udokumentowany, wyliczony wzrost kosztów lub cen jednostkowych. </w:t>
      </w:r>
    </w:p>
    <w:p w:rsidR="00D91336" w:rsidRDefault="00C05490">
      <w:pPr>
        <w:numPr>
          <w:ilvl w:val="0"/>
          <w:numId w:val="6"/>
        </w:numPr>
        <w:ind w:hanging="360"/>
      </w:pPr>
      <w:r>
        <w:t xml:space="preserve">Jeżeli w danym okresie zostanie przekroczony poziom wzrostu, o którym mowa w ust. 3, zmiana cen jednostkowych będzie dokonana po upływie 6 miesięcy od ostatniej zmiany. </w:t>
      </w:r>
    </w:p>
    <w:p w:rsidR="00D91336" w:rsidRDefault="00C05490">
      <w:pPr>
        <w:numPr>
          <w:ilvl w:val="0"/>
          <w:numId w:val="6"/>
        </w:numPr>
        <w:spacing w:after="9"/>
        <w:ind w:hanging="360"/>
      </w:pPr>
      <w:r>
        <w:t xml:space="preserve">Maksymalna wysokość zmiany cen jednostkowych dokonanych w trakcie obowiązywania umowy na podstawie zapisów niniejszego </w:t>
      </w:r>
      <w:r w:rsidR="006F4BCF">
        <w:t>paragrafu nie może przekroczyć 1</w:t>
      </w:r>
      <w:r>
        <w:t xml:space="preserve">0%. </w:t>
      </w:r>
    </w:p>
    <w:p w:rsidR="00D91336" w:rsidRDefault="00C05490">
      <w:pPr>
        <w:spacing w:after="20" w:line="259" w:lineRule="auto"/>
        <w:ind w:left="0" w:firstLine="0"/>
        <w:jc w:val="left"/>
      </w:pPr>
      <w:r>
        <w:rPr>
          <w:i/>
        </w:rPr>
        <w:t xml:space="preserve"> </w:t>
      </w:r>
    </w:p>
    <w:p w:rsidR="00D91336" w:rsidRDefault="00C05490">
      <w:pPr>
        <w:pStyle w:val="Nagwek1"/>
      </w:pPr>
      <w:r>
        <w:t xml:space="preserve">§ 7 </w:t>
      </w:r>
    </w:p>
    <w:p w:rsidR="00D91336" w:rsidRDefault="00C05490">
      <w:pPr>
        <w:numPr>
          <w:ilvl w:val="0"/>
          <w:numId w:val="7"/>
        </w:numPr>
        <w:ind w:hanging="360"/>
      </w:pPr>
      <w:r>
        <w:t xml:space="preserve">Strony dopuszczają możliwość zmiany wysokości wynagrodzenia należnego Wykonawcy, o którym mowa w § 6 umowy w formie pisemnego aneksu, każdorazowo w przypadku wystąpienia jednej z następujących okoliczności: </w:t>
      </w:r>
    </w:p>
    <w:p w:rsidR="00D91336" w:rsidRDefault="00C05490">
      <w:pPr>
        <w:numPr>
          <w:ilvl w:val="1"/>
          <w:numId w:val="7"/>
        </w:numPr>
        <w:ind w:hanging="427"/>
      </w:pPr>
      <w:r>
        <w:t xml:space="preserve">zmiany stawki podatku VAT od towarów i usług lub podatku akcyzowego, </w:t>
      </w:r>
    </w:p>
    <w:p w:rsidR="00D91336" w:rsidRDefault="00C05490">
      <w:pPr>
        <w:numPr>
          <w:ilvl w:val="1"/>
          <w:numId w:val="7"/>
        </w:numPr>
        <w:ind w:hanging="427"/>
      </w:pPr>
      <w:r>
        <w:t xml:space="preserve">zmiany wysokości minimalnego wynagrodzenia za pracę lub minimalnej stawki godzinowej ustalonych na podstawie przepisów o minimalnym wynagrodzeniu za pracę, </w:t>
      </w:r>
    </w:p>
    <w:p w:rsidR="00D91336" w:rsidRDefault="00C05490">
      <w:pPr>
        <w:numPr>
          <w:ilvl w:val="1"/>
          <w:numId w:val="7"/>
        </w:numPr>
        <w:ind w:hanging="427"/>
      </w:pPr>
      <w:r>
        <w:t>zmiany zasad podlegania ubezpieczeniom społecznym lub ubezpieczeniu zdrowotnemu lub wysokości składki na ubezpieczenia społeczne lub zdrowotne,</w:t>
      </w:r>
      <w:r>
        <w:rPr>
          <w:b/>
        </w:rPr>
        <w:t xml:space="preserve"> </w:t>
      </w:r>
    </w:p>
    <w:p w:rsidR="00D91336" w:rsidRDefault="00C05490">
      <w:pPr>
        <w:numPr>
          <w:ilvl w:val="1"/>
          <w:numId w:val="7"/>
        </w:numPr>
        <w:spacing w:after="8"/>
        <w:ind w:hanging="427"/>
      </w:pPr>
      <w:r>
        <w:t xml:space="preserve">zasad gromadzenia i wysokości wpłat do pracowniczych planów kapitałowych, o których mowa w ustawie z dnia 4 października 2018 r. o pracowniczych planach kapitałowych  </w:t>
      </w:r>
    </w:p>
    <w:p w:rsidR="00D91336" w:rsidRDefault="00C05490">
      <w:pPr>
        <w:ind w:left="708" w:hanging="142"/>
      </w:pPr>
      <w:r>
        <w:t>- jeżeli zmiany te będą miały wpływ na koszty wykonania Umowy, na zasadach i w sposób określony w ust. 2 - 11.</w:t>
      </w:r>
      <w:r>
        <w:rPr>
          <w:b/>
        </w:rPr>
        <w:t xml:space="preserve"> </w:t>
      </w:r>
    </w:p>
    <w:p w:rsidR="00D91336" w:rsidRDefault="00C05490">
      <w:pPr>
        <w:numPr>
          <w:ilvl w:val="0"/>
          <w:numId w:val="7"/>
        </w:numPr>
        <w:ind w:hanging="360"/>
      </w:pPr>
      <w:r>
        <w:t xml:space="preserve">W przypadku zmiany, o której mowa w ust. 1 pkt 1, wartość wynagrodzenia netto nie zmieni się, a wartość wynagrodzenia brutto zostanie wyliczona na podstawie nowych przepisów. Zmiana wysokości wynagrodzenia należnego Wykonawcy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t>
      </w:r>
    </w:p>
    <w:p w:rsidR="00D91336" w:rsidRDefault="00C05490">
      <w:pPr>
        <w:numPr>
          <w:ilvl w:val="0"/>
          <w:numId w:val="7"/>
        </w:numPr>
        <w:ind w:hanging="360"/>
      </w:pPr>
      <w:r>
        <w:t xml:space="preserve">Zmiana wysokości wynagrodzenia w przypadku zaistnienia przesłanki, o której mowa w ust. 1 pkt 2 - 4,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minimalnej stawki godzinowej lub dokonujących zmian w zakresie zasad podlegania ubezpieczeniom społecznym lub ubezpieczeniu zdrowotnemu lub w zakresie wysokości stawki składki na ubezpieczenia społeczne lub zdrowotne, lub zasad gromadzenia środków w pracowniczych planach kapitałowych. </w:t>
      </w:r>
    </w:p>
    <w:p w:rsidR="00D91336" w:rsidRDefault="00C05490">
      <w:pPr>
        <w:numPr>
          <w:ilvl w:val="0"/>
          <w:numId w:val="7"/>
        </w:numPr>
        <w:ind w:hanging="360"/>
      </w:pPr>
      <w:r>
        <w:t xml:space="preserve">W przypadku zmiany, o której mowa w ust. 1 pkt 2 i 4, wynagrodzenie Wykonawcy ulegnie zmianie o kwotę odpowiadającą zmianie kosztu Wykonawcy w związku z dostosowaniem wysokości wynagrodzeń Pracowników lub zleceniobiorców Wykonawcy do zmienionej wysokości minimalnego wynagrodzenia za pracę lub minimalnej stawki godzinowej. Kwota odpowiadająca zmianie kosztów Wykonawcy będzie odnosić się wyłącznie do części wynagrodzenia Pracowników lub zleceniobiorców Wykonawcy, o których mowa w </w:t>
      </w:r>
      <w:r>
        <w:lastRenderedPageBreak/>
        <w:t xml:space="preserve">zdaniu poprzedzającym, odpowiadającej zakresowi, w jakim wykonują oni prace bezpośrednio związane z realizacją przedmiotu Umowy. </w:t>
      </w:r>
    </w:p>
    <w:p w:rsidR="00D91336" w:rsidRDefault="00C05490">
      <w:pPr>
        <w:numPr>
          <w:ilvl w:val="0"/>
          <w:numId w:val="7"/>
        </w:numPr>
        <w:ind w:hanging="360"/>
      </w:pPr>
      <w:r>
        <w:t xml:space="preserve">W przypadku zmiany, o której mowa w ust. 1 pkt 3, wynagrodzenie Wykonawcy ulegnie zmianie o kwotę odpowiadającą zmianie kosztu Wykonawcy ponoszonego w związku z wypłatą wynagrodzenia osobom zatrudnionym u Wykonawcy na podstawie umów  o pracę lub umów cywilno-prawnych. Kwota odpowiadająca zmianie kosztu Wykonawcy będzie odnosić się wyłącznie do części wynagrodzenia tych osób, o których mowa w zdaniu poprzedzającym, odpowiadającej zakresowi, w jakim wykonują oni prace bezpośrednio związane z realizacją przedmiotu Umowy. </w:t>
      </w:r>
    </w:p>
    <w:p w:rsidR="00D91336" w:rsidRDefault="00C05490">
      <w:pPr>
        <w:numPr>
          <w:ilvl w:val="0"/>
          <w:numId w:val="7"/>
        </w:numPr>
        <w:ind w:hanging="360"/>
      </w:pPr>
      <w:r>
        <w:t xml:space="preserve">W celu zawarcia aneksu, o którym mowa w ust. 1, każda ze Stron może wystąpić do drugiej Strony z wnioskiem o dokonanie zmiany wysokości wynagrodzenia należnego Wykonawcy, wraz z uzasadnieniem zawierającym m.in.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D91336" w:rsidRDefault="00C05490">
      <w:pPr>
        <w:numPr>
          <w:ilvl w:val="0"/>
          <w:numId w:val="7"/>
        </w:numPr>
        <w:ind w:hanging="360"/>
      </w:pPr>
      <w:r>
        <w:t xml:space="preserve">W przypadku zmian, o których mowa w ust. 1 pkt 2 - 4, jeżeli z wnioskiem występuje Wykonawca, jest on zobowiązany dołączyć do wniosku dokumenty, z których będzie wynikać, w jakim zakresie zmiany te mają wpływ na koszty wykonania Umowy, w szczególności: </w:t>
      </w:r>
    </w:p>
    <w:p w:rsidR="00D91336" w:rsidRDefault="00C05490">
      <w:pPr>
        <w:numPr>
          <w:ilvl w:val="1"/>
          <w:numId w:val="7"/>
        </w:numPr>
        <w:ind w:hanging="427"/>
      </w:pPr>
      <w:r>
        <w:t xml:space="preserve">pisemne zestawienie wynagrodzeń (zarówno przed jak i po zmianie) Pracowników lub zleceniobiorców Wykonawcy, wraz z określeniem zakresu (części etatu), w jakim wykonują oni prace bezpośrednio związane z realizacją przedmiotu Umowy oraz części wynagrodzenia odpowiadającej temu zakresowi - w przypadku zmiany, o której mowa w ust. 1 pkt 2 lub 4, lub </w:t>
      </w:r>
    </w:p>
    <w:p w:rsidR="00D91336" w:rsidRDefault="00C05490">
      <w:pPr>
        <w:numPr>
          <w:ilvl w:val="1"/>
          <w:numId w:val="7"/>
        </w:numPr>
        <w:ind w:hanging="427"/>
      </w:pPr>
      <w:r>
        <w:t xml:space="preserve">pisemne zestawienie wynagrodzeń (zarówno przed jak i po zmianie) osób zatrudnionych u Wykonawcy,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w:t>
      </w:r>
    </w:p>
    <w:p w:rsidR="00D91336" w:rsidRDefault="00C05490">
      <w:pPr>
        <w:numPr>
          <w:ilvl w:val="0"/>
          <w:numId w:val="7"/>
        </w:numPr>
        <w:ind w:hanging="360"/>
      </w:pPr>
      <w:r>
        <w:t xml:space="preserve">W przypadku zmian, o których mowa w ust. 1 pkt 2 - 4, jeżeli z wnioskiem zamierza wystąpić  Zamawiający, jest on uprawniony do zobowiązania Wykonawcy do przedstawienia w wyznaczonym terminie, nie krótszym niż 10 dni roboczych, dokumentów, z których będzie wynikać w jakim zakresie zmiany te mają wpływ na koszty wykonania Umowy,  w tym pisemnego zestawienia wynagrodzeń, o którym mowa w ust. 7 pkt 1 i 2. </w:t>
      </w:r>
    </w:p>
    <w:p w:rsidR="00D91336" w:rsidRDefault="00C05490">
      <w:pPr>
        <w:numPr>
          <w:ilvl w:val="0"/>
          <w:numId w:val="7"/>
        </w:numPr>
        <w:ind w:hanging="360"/>
      </w:pPr>
      <w:r>
        <w:t xml:space="preserve">W terminie  10 dni roboczych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z uzasadnieniem. </w:t>
      </w:r>
    </w:p>
    <w:p w:rsidR="00D91336" w:rsidRDefault="00C05490">
      <w:pPr>
        <w:numPr>
          <w:ilvl w:val="0"/>
          <w:numId w:val="7"/>
        </w:numPr>
        <w:ind w:hanging="360"/>
      </w:pPr>
      <w:r>
        <w:t xml:space="preserve">W przypadku otrzymania przez Stronę informacji o niezatwierdzeniu wniosku lub częściowym zatwierdzeniu wniosku, Strona ta może ponownie wystąpić z wnioskiem, o którym mowa w ust. 6. W takim przypadku przepisy ust. 7 - 9 oraz 11 stosuje się odpowiednio. </w:t>
      </w:r>
    </w:p>
    <w:p w:rsidR="00D91336" w:rsidRDefault="00C05490">
      <w:pPr>
        <w:numPr>
          <w:ilvl w:val="0"/>
          <w:numId w:val="7"/>
        </w:numPr>
        <w:spacing w:after="9"/>
        <w:ind w:hanging="360"/>
      </w:pPr>
      <w:r>
        <w:lastRenderedPageBreak/>
        <w:t xml:space="preserve">Zawarcie aneksu nastąpi nie później niż w terminie 10 dni roboczych od dnia zatwierdzenia wniosku o dokonanie zmiany wysokości wynagrodzenia należnego Wykonawcy. </w:t>
      </w:r>
    </w:p>
    <w:p w:rsidR="00D91336" w:rsidRDefault="00C05490">
      <w:pPr>
        <w:spacing w:after="20" w:line="259" w:lineRule="auto"/>
        <w:ind w:left="0" w:firstLine="0"/>
        <w:jc w:val="left"/>
      </w:pPr>
      <w:r>
        <w:rPr>
          <w:b/>
        </w:rPr>
        <w:t xml:space="preserve"> </w:t>
      </w:r>
    </w:p>
    <w:p w:rsidR="00D91336" w:rsidRDefault="00C05490">
      <w:pPr>
        <w:pStyle w:val="Nagwek1"/>
      </w:pPr>
      <w:r>
        <w:t xml:space="preserve">§ 8 </w:t>
      </w:r>
    </w:p>
    <w:p w:rsidR="005D1BF9" w:rsidRDefault="005D1BF9" w:rsidP="005D1BF9">
      <w:pPr>
        <w:numPr>
          <w:ilvl w:val="0"/>
          <w:numId w:val="14"/>
        </w:numPr>
      </w:pPr>
      <w:r>
        <w:t>Dopuszcza się wystawianie faktur częściowych</w:t>
      </w:r>
      <w:r w:rsidR="0047740F">
        <w:t>, za dostarczone i odebrane przez Zamaw</w:t>
      </w:r>
      <w:r w:rsidR="009C561E">
        <w:t>iającego partie tablic</w:t>
      </w:r>
      <w:r>
        <w:t xml:space="preserve">. Wynagrodzenie, zgodne z cenami jednostkowymi podanymi w § 6,  płatne będzie przelewem na konto Wykonawcy wskazane na fakturze, w terminie  30 dni od daty dostarczenia faktury </w:t>
      </w:r>
      <w:r w:rsidRPr="005139F8">
        <w:t>z zachowaniem mechanizmu podzielonej płatności vat.</w:t>
      </w:r>
    </w:p>
    <w:p w:rsidR="005139F8" w:rsidRPr="005139F8" w:rsidRDefault="005D1BF9" w:rsidP="005139F8">
      <w:pPr>
        <w:numPr>
          <w:ilvl w:val="0"/>
          <w:numId w:val="14"/>
        </w:numPr>
      </w:pPr>
      <w:r>
        <w:t>Wykonawca</w:t>
      </w:r>
      <w:r w:rsidR="005139F8" w:rsidRPr="005139F8">
        <w:t xml:space="preserve"> będzie wystawiał faktury na Zamawiającego – Nabywca - Powiat Kwidzyński,              ul. Kościuszki 29b, 82-500 Kwidzyn, NIP 581-19-608-02, Odbiorca (płatnik) – Starostwo Powiatowe w Kwidzynie, ul. Kościuszki 29B, 82-500 Kwidzyn.</w:t>
      </w:r>
    </w:p>
    <w:p w:rsidR="005139F8" w:rsidRPr="005139F8" w:rsidRDefault="005139F8" w:rsidP="005139F8">
      <w:pPr>
        <w:numPr>
          <w:ilvl w:val="0"/>
          <w:numId w:val="14"/>
        </w:numPr>
      </w:pPr>
      <w:r w:rsidRPr="005139F8">
        <w:t>Do faktur dołączone będą kopie zamówień Zamawiającego wraz z wykazem dostarczonyc</w:t>
      </w:r>
      <w:r w:rsidR="0047740F">
        <w:t>h i odebranych tablic</w:t>
      </w:r>
      <w:r w:rsidR="009C561E">
        <w:t xml:space="preserve">. </w:t>
      </w:r>
      <w:r w:rsidRPr="005139F8">
        <w:t xml:space="preserve">  </w:t>
      </w:r>
    </w:p>
    <w:p w:rsidR="005139F8" w:rsidRPr="005139F8" w:rsidRDefault="005139F8" w:rsidP="005139F8">
      <w:pPr>
        <w:numPr>
          <w:ilvl w:val="0"/>
          <w:numId w:val="14"/>
        </w:numPr>
      </w:pPr>
      <w:r w:rsidRPr="005139F8">
        <w:t>Zapłata będzie dokonywana przelewem na konto Dostawcy w banku     ................................................................  Nr .....................</w:t>
      </w:r>
      <w:r>
        <w:t>...............</w:t>
      </w:r>
      <w:r w:rsidRPr="005139F8">
        <w:t xml:space="preserve">.................................... . </w:t>
      </w:r>
    </w:p>
    <w:p w:rsidR="005139F8" w:rsidRDefault="005139F8" w:rsidP="005139F8">
      <w:pPr>
        <w:numPr>
          <w:ilvl w:val="0"/>
          <w:numId w:val="14"/>
        </w:numPr>
      </w:pPr>
      <w:r w:rsidRPr="005139F8">
        <w:t xml:space="preserve">Dostawcy nie przysługuje dodatkowe wynagrodzenie za usługę odbierania i złomowania wycofanych z użytku tablic rejestracyjnych. </w:t>
      </w:r>
    </w:p>
    <w:p w:rsidR="00D91336" w:rsidRDefault="00C05490" w:rsidP="005D1BF9">
      <w:pPr>
        <w:numPr>
          <w:ilvl w:val="0"/>
          <w:numId w:val="14"/>
        </w:numPr>
      </w:pPr>
      <w:r>
        <w:t xml:space="preserve">Wykonawca nie może przenieść wierzytelności wynikających z niniejszej umowy na osobę trzecią. </w:t>
      </w:r>
    </w:p>
    <w:p w:rsidR="00D91336" w:rsidRDefault="00C05490">
      <w:pPr>
        <w:spacing w:after="22" w:line="259" w:lineRule="auto"/>
        <w:ind w:left="50" w:firstLine="0"/>
        <w:jc w:val="center"/>
      </w:pPr>
      <w:r>
        <w:rPr>
          <w:b/>
        </w:rPr>
        <w:t xml:space="preserve"> </w:t>
      </w:r>
    </w:p>
    <w:p w:rsidR="00D91336" w:rsidRDefault="00C05490">
      <w:pPr>
        <w:pStyle w:val="Nagwek1"/>
      </w:pPr>
      <w:r>
        <w:t xml:space="preserve">§ 9 </w:t>
      </w:r>
    </w:p>
    <w:p w:rsidR="00D91336" w:rsidRDefault="00C05490">
      <w:pPr>
        <w:numPr>
          <w:ilvl w:val="0"/>
          <w:numId w:val="9"/>
        </w:numPr>
        <w:ind w:hanging="360"/>
      </w:pPr>
      <w:r>
        <w:t xml:space="preserve">Wykonawca zobowiązuje się wykonać siłami własnymi cały zakres umowy. </w:t>
      </w:r>
    </w:p>
    <w:p w:rsidR="00D91336" w:rsidRDefault="00C05490">
      <w:pPr>
        <w:numPr>
          <w:ilvl w:val="0"/>
          <w:numId w:val="9"/>
        </w:numPr>
        <w:ind w:hanging="360"/>
      </w:pPr>
      <w:r>
        <w:t xml:space="preserve">Następujące prace zostaną wykonane przez podwykonawcę/podwykonawców, za którego odpowiada Wykonawca: </w:t>
      </w:r>
    </w:p>
    <w:p w:rsidR="00D91336" w:rsidRDefault="00C05490">
      <w:pPr>
        <w:numPr>
          <w:ilvl w:val="1"/>
          <w:numId w:val="9"/>
        </w:numPr>
        <w:ind w:left="993" w:hanging="422"/>
      </w:pPr>
      <w:r>
        <w:t>……</w:t>
      </w:r>
      <w:r w:rsidR="009C561E">
        <w:t>….………………………..</w:t>
      </w:r>
      <w:r>
        <w:t xml:space="preserve">-………………… </w:t>
      </w:r>
    </w:p>
    <w:p w:rsidR="00D91336" w:rsidRDefault="00C05490">
      <w:pPr>
        <w:numPr>
          <w:ilvl w:val="1"/>
          <w:numId w:val="9"/>
        </w:numPr>
        <w:ind w:left="993" w:hanging="422"/>
      </w:pPr>
      <w:r>
        <w:t>…</w:t>
      </w:r>
      <w:r w:rsidR="009C561E">
        <w:t>……………………………</w:t>
      </w:r>
      <w:r>
        <w:t xml:space="preserve">…-………………… </w:t>
      </w:r>
    </w:p>
    <w:p w:rsidR="00D91336" w:rsidRDefault="00C05490">
      <w:pPr>
        <w:numPr>
          <w:ilvl w:val="0"/>
          <w:numId w:val="9"/>
        </w:numPr>
        <w:ind w:hanging="360"/>
      </w:pPr>
      <w:r>
        <w:t xml:space="preserve">Przed zawarciem umowy z podwykonawcą, Wykonawca zobowiązuje się przedłożyć Zamawiającemu projekt umowy oraz udzielić wszelkich informacji dotyczących podwykonawców. </w:t>
      </w:r>
    </w:p>
    <w:p w:rsidR="00D91336" w:rsidRDefault="00C05490">
      <w:pPr>
        <w:numPr>
          <w:ilvl w:val="0"/>
          <w:numId w:val="9"/>
        </w:numPr>
        <w:spacing w:after="9"/>
        <w:ind w:hanging="360"/>
      </w:pPr>
      <w:r>
        <w:t xml:space="preserve">Wykonawca ponosi wobec Zamawiającego pełną odpowiedzialność za zakres, który wykonuje przy pomocy tych podwykonawców. </w:t>
      </w:r>
      <w:r>
        <w:rPr>
          <w:b/>
        </w:rPr>
        <w:t xml:space="preserve"> </w:t>
      </w:r>
    </w:p>
    <w:p w:rsidR="00D91336" w:rsidRDefault="00C05490">
      <w:pPr>
        <w:spacing w:after="22" w:line="259" w:lineRule="auto"/>
        <w:ind w:left="427" w:firstLine="0"/>
        <w:jc w:val="left"/>
      </w:pPr>
      <w:r>
        <w:rPr>
          <w:b/>
        </w:rPr>
        <w:t xml:space="preserve"> </w:t>
      </w:r>
    </w:p>
    <w:p w:rsidR="00D91336" w:rsidRDefault="00C05490">
      <w:pPr>
        <w:pStyle w:val="Nagwek1"/>
        <w:ind w:right="2"/>
      </w:pPr>
      <w:r>
        <w:t xml:space="preserve">§ 10 </w:t>
      </w:r>
    </w:p>
    <w:p w:rsidR="00D91336" w:rsidRDefault="00C05490">
      <w:pPr>
        <w:numPr>
          <w:ilvl w:val="0"/>
          <w:numId w:val="10"/>
        </w:numPr>
        <w:ind w:hanging="360"/>
      </w:pPr>
      <w:r>
        <w:t>Wykonaw</w:t>
      </w:r>
      <w:r w:rsidR="005D1BF9">
        <w:t xml:space="preserve">ca udziela gwarancji na </w:t>
      </w:r>
      <w:r w:rsidR="005D1BF9" w:rsidRPr="00165D9D">
        <w:rPr>
          <w:color w:val="auto"/>
        </w:rPr>
        <w:t>okres 36</w:t>
      </w:r>
      <w:r w:rsidRPr="00165D9D">
        <w:rPr>
          <w:color w:val="auto"/>
        </w:rPr>
        <w:t xml:space="preserve"> miesięcy </w:t>
      </w:r>
      <w:r>
        <w:t>od momentu dostarczenia tablic rejestracyjnych do Wydziału Komunikacji</w:t>
      </w:r>
      <w:r w:rsidR="005D1BF9">
        <w:t>, Bezpieczeństwa Obywateli i Zarządzania Kryzysowego Starostwa Powiatowego  w Kwidzynie</w:t>
      </w:r>
      <w:r>
        <w:t xml:space="preserve">. </w:t>
      </w:r>
    </w:p>
    <w:p w:rsidR="00D91336" w:rsidRDefault="00C05490">
      <w:pPr>
        <w:numPr>
          <w:ilvl w:val="0"/>
          <w:numId w:val="10"/>
        </w:numPr>
        <w:ind w:hanging="360"/>
      </w:pPr>
      <w:r>
        <w:t xml:space="preserve">Gwarancja obejmuje wszelkie wady produkcyjne i materiałowe.  </w:t>
      </w:r>
    </w:p>
    <w:p w:rsidR="00D91336" w:rsidRDefault="00C05490">
      <w:pPr>
        <w:numPr>
          <w:ilvl w:val="0"/>
          <w:numId w:val="10"/>
        </w:numPr>
        <w:ind w:hanging="360"/>
      </w:pPr>
      <w:r>
        <w:t xml:space="preserve">Gwarantem całości przedmiotu zamówienia jest Wykonawca. </w:t>
      </w:r>
    </w:p>
    <w:p w:rsidR="00D91336" w:rsidRDefault="00C05490">
      <w:pPr>
        <w:numPr>
          <w:ilvl w:val="0"/>
          <w:numId w:val="10"/>
        </w:numPr>
        <w:spacing w:after="8"/>
        <w:ind w:hanging="360"/>
      </w:pPr>
      <w:r>
        <w:t xml:space="preserve">Zamawiający zgłasza roszczenia gwarancyjne Wykonawcy na piśmie lub za pośrednictwem poczty elektronicznej na adres: ………………….. Wykonawca zobligowany jest do usunięcia wskazanych wad w terminie nie dłuższym niż 2 dni od dnia zgłoszenia wystąpienia wady. </w:t>
      </w:r>
    </w:p>
    <w:p w:rsidR="00D91336" w:rsidRDefault="00C05490">
      <w:pPr>
        <w:spacing w:after="22" w:line="259" w:lineRule="auto"/>
        <w:ind w:left="360" w:firstLine="0"/>
        <w:jc w:val="left"/>
      </w:pPr>
      <w:r>
        <w:t xml:space="preserve"> </w:t>
      </w:r>
    </w:p>
    <w:p w:rsidR="00D91336" w:rsidRDefault="00C05490">
      <w:pPr>
        <w:pStyle w:val="Nagwek1"/>
        <w:spacing w:after="20"/>
        <w:ind w:right="2"/>
      </w:pPr>
      <w:r>
        <w:lastRenderedPageBreak/>
        <w:t xml:space="preserve">§ 11 </w:t>
      </w:r>
    </w:p>
    <w:p w:rsidR="00D91336" w:rsidRDefault="00C05490">
      <w:pPr>
        <w:spacing w:after="9"/>
        <w:ind w:left="55" w:firstLine="0"/>
      </w:pPr>
      <w:r>
        <w:t xml:space="preserve">W przypadku niezgodności w ocenie zasadności roszczeń gwarancyjnych Wykonawca przekazuje przedmiotowe tablice do niezależnej jednostki badawczej w celu wykonania ekspertyzy decydującej o uwzględnieniu lub odrzuceniu reklamacji. Tablice te powinny być przekazane do ekspertyzy w terminie 7 dni od przekazania Wykonawcy tablic przez Zamawiającego. Ekspertyza powinna być wykonana na koszt Wykonawcy. Nie wykonanie ekspertyzy lub nie przekazanie przedmiotowej tablicy do ekspertyzy w w/w. terminie powoduje uznanie reklamacji jako uwzględnionej. Wynik ekspertyzy Wykonawca przekazuje Zamawiającemu na piśmie. Jeżeli w wyniku ekspertyzy reklamacja zostanie uznana za nieuzasadnioną, Zamawiający dokona zwrotu kosztów ekspertyzy Wykonawcy zgodnie  z przedstawionymi przez Wykonawcę fakturami wystawionymi przez jednostkę badawczą. Uznane reklamacje rekompensowane będą w formie ponownego wykonania usługi w terminie 24 godzin od daty uznania reklamacji. </w:t>
      </w:r>
    </w:p>
    <w:p w:rsidR="00D91336" w:rsidRDefault="00C05490">
      <w:pPr>
        <w:spacing w:after="20" w:line="259" w:lineRule="auto"/>
        <w:ind w:left="360" w:firstLine="0"/>
        <w:jc w:val="left"/>
      </w:pPr>
      <w:r>
        <w:t xml:space="preserve"> </w:t>
      </w:r>
    </w:p>
    <w:p w:rsidR="00D91336" w:rsidRDefault="00C05490">
      <w:pPr>
        <w:pStyle w:val="Nagwek1"/>
        <w:ind w:right="2"/>
      </w:pPr>
      <w:r>
        <w:t xml:space="preserve">§ 12 </w:t>
      </w:r>
    </w:p>
    <w:p w:rsidR="00D91336" w:rsidRDefault="00C05490">
      <w:pPr>
        <w:numPr>
          <w:ilvl w:val="0"/>
          <w:numId w:val="11"/>
        </w:numPr>
        <w:spacing w:after="9"/>
        <w:ind w:hanging="360"/>
      </w:pPr>
      <w:r>
        <w:t xml:space="preserve">Odpowiedzialność z tytułu niewykonania lub nienależytego wykonania przedmiotu umowy strony ustalają w formie kar umownych. Kary te będą naliczone w następujących wypadkach i wysokościach:  </w:t>
      </w:r>
    </w:p>
    <w:p w:rsidR="00D91336" w:rsidRDefault="00C05490">
      <w:pPr>
        <w:numPr>
          <w:ilvl w:val="1"/>
          <w:numId w:val="11"/>
        </w:numPr>
        <w:spacing w:after="7"/>
        <w:ind w:firstLine="0"/>
      </w:pPr>
      <w:r>
        <w:t xml:space="preserve">Wykonawca płaci Zamawiającemu karę umowną w wysokości 0,2% wartości zamówionej partii tablic za zwłokę w terminie dostawy tej partii, za każdy rozpoczęty dzień zwłoki; </w:t>
      </w:r>
    </w:p>
    <w:p w:rsidR="00D91336" w:rsidRDefault="00C05490">
      <w:pPr>
        <w:numPr>
          <w:ilvl w:val="1"/>
          <w:numId w:val="11"/>
        </w:numPr>
        <w:spacing w:after="9"/>
        <w:ind w:firstLine="0"/>
      </w:pPr>
      <w:r>
        <w:t xml:space="preserve">Wykonawca zapłaci Zamawiającemu karę umowną w wysokości 10% niezrealizowanej części całego zamówienia, w odniesieniu do szacunkowej ilości tablic, o których mowa w § 1, w przypadku odstąpienia od umowy z przyczyn leżących po stronie Wykonawcy, </w:t>
      </w:r>
    </w:p>
    <w:p w:rsidR="00D91336" w:rsidRDefault="00C05490">
      <w:pPr>
        <w:numPr>
          <w:ilvl w:val="1"/>
          <w:numId w:val="11"/>
        </w:numPr>
        <w:ind w:firstLine="0"/>
      </w:pPr>
      <w:r>
        <w:t xml:space="preserve">Wykonawca płaci Zamawiającemu karę umowną w wysokości 100 zł za zwłokę w usunięciu wad tablic w terminie, o którym mowa w § 10 ust. 4, za każdy rozpoczęty dzień zwłoki. </w:t>
      </w:r>
    </w:p>
    <w:p w:rsidR="00D91336" w:rsidRDefault="00C05490">
      <w:pPr>
        <w:numPr>
          <w:ilvl w:val="0"/>
          <w:numId w:val="11"/>
        </w:numPr>
        <w:ind w:hanging="360"/>
      </w:pPr>
      <w:r>
        <w:t xml:space="preserve">Zamawiający potrąci przysługujące mu kary umowne z wynagrodzenia należnego wykonawcy. </w:t>
      </w:r>
    </w:p>
    <w:p w:rsidR="00D91336" w:rsidRDefault="00C05490">
      <w:pPr>
        <w:numPr>
          <w:ilvl w:val="0"/>
          <w:numId w:val="11"/>
        </w:numPr>
        <w:spacing w:after="36" w:line="276" w:lineRule="auto"/>
        <w:ind w:hanging="360"/>
      </w:pPr>
      <w:r>
        <w:t xml:space="preserve">Zamawiający zapłaci Wykonawcy karę umowną w wysokości 10% niezrealizowanej części całego zamówienia, w odniesieniu do szacunkowej ilości tablic, o których mowa w § 1, w przypadku odstąpienia od umowy z przyczyn leżących po stronie Zamawiającego. </w:t>
      </w:r>
    </w:p>
    <w:p w:rsidR="00D91336" w:rsidRDefault="00C05490">
      <w:pPr>
        <w:numPr>
          <w:ilvl w:val="0"/>
          <w:numId w:val="11"/>
        </w:numPr>
        <w:ind w:hanging="360"/>
      </w:pPr>
      <w:r>
        <w:t xml:space="preserve">Strony zastrzegają sobie prawo do odszkodowania uzupełniającego przenoszącego wysokość kar umownych do wysokości rzeczywiście poniesionej szkody. </w:t>
      </w:r>
    </w:p>
    <w:p w:rsidR="00D91336" w:rsidRDefault="00C05490">
      <w:pPr>
        <w:numPr>
          <w:ilvl w:val="0"/>
          <w:numId w:val="11"/>
        </w:numPr>
        <w:spacing w:after="9"/>
        <w:ind w:hanging="360"/>
      </w:pPr>
      <w:r>
        <w:t xml:space="preserve">Łączna wysokość kar umownych nie przekroczy 10% wartości wynagrodzenia określonego w § 6 ust. 2. </w:t>
      </w:r>
    </w:p>
    <w:p w:rsidR="00D91336" w:rsidRDefault="00C05490">
      <w:pPr>
        <w:spacing w:after="20" w:line="259" w:lineRule="auto"/>
        <w:ind w:left="50" w:firstLine="0"/>
        <w:jc w:val="center"/>
      </w:pPr>
      <w:r>
        <w:rPr>
          <w:b/>
        </w:rPr>
        <w:t xml:space="preserve"> </w:t>
      </w:r>
    </w:p>
    <w:p w:rsidR="00D91336" w:rsidRDefault="00C05490">
      <w:pPr>
        <w:pStyle w:val="Nagwek1"/>
        <w:spacing w:after="22"/>
        <w:ind w:right="2"/>
      </w:pPr>
      <w:r>
        <w:t xml:space="preserve">§ 13 </w:t>
      </w:r>
    </w:p>
    <w:p w:rsidR="00D91336" w:rsidRDefault="00C05490">
      <w:pPr>
        <w:spacing w:after="8"/>
        <w:ind w:left="55" w:firstLine="0"/>
      </w:pPr>
      <w:r>
        <w:t>Na podstawie art. 456 ust. 1 ustawy Prawo zamówień publicznych - Zamawiający może odstąpić od umowy w terminie 30 dni od powzięcia wiadomości o zaistnieniu istotnej zmiany okoliczności powodującej, że wykonanie umowy nie leży w interesie publicznym, czego  nie można było przewidzieć w chwili zawarcia umowy</w:t>
      </w:r>
      <w:r>
        <w:rPr>
          <w:color w:val="333333"/>
        </w:rPr>
        <w:t xml:space="preserve"> </w:t>
      </w:r>
      <w:r>
        <w:t xml:space="preserve">lub dalsze wykonywanie umowy może zagrozić podstawowemu interesowi bezpieczeństwa państwa lub bezpieczeństwu publicznemu. </w:t>
      </w:r>
    </w:p>
    <w:p w:rsidR="00D91336" w:rsidRDefault="00C05490">
      <w:pPr>
        <w:spacing w:after="20" w:line="259" w:lineRule="auto"/>
        <w:ind w:left="50" w:firstLine="0"/>
        <w:jc w:val="center"/>
      </w:pPr>
      <w:r>
        <w:rPr>
          <w:b/>
        </w:rPr>
        <w:t xml:space="preserve"> </w:t>
      </w:r>
    </w:p>
    <w:p w:rsidR="00D91336" w:rsidRDefault="00C05490">
      <w:pPr>
        <w:pStyle w:val="Nagwek1"/>
        <w:ind w:right="2"/>
      </w:pPr>
      <w:r>
        <w:lastRenderedPageBreak/>
        <w:t xml:space="preserve">§ 14 </w:t>
      </w:r>
    </w:p>
    <w:p w:rsidR="00D91336" w:rsidRDefault="00C05490">
      <w:pPr>
        <w:numPr>
          <w:ilvl w:val="0"/>
          <w:numId w:val="12"/>
        </w:numPr>
        <w:ind w:hanging="360"/>
      </w:pPr>
      <w:r>
        <w:t xml:space="preserve">Zamawiający przewiduje możliwość dokonywania zmian postanowień niniejszej umowy, w stosunku do treści oferty, na podstawie której dokonano wyboru Wykonawcy  w przypadku: </w:t>
      </w:r>
    </w:p>
    <w:p w:rsidR="00D91336" w:rsidRDefault="00C05490">
      <w:pPr>
        <w:numPr>
          <w:ilvl w:val="1"/>
          <w:numId w:val="12"/>
        </w:numPr>
        <w:ind w:left="885" w:hanging="427"/>
      </w:pPr>
      <w:r>
        <w:t xml:space="preserve">zmiany przepisów prawnych rzutujących na wykonanie lub sposób dystrybucji przedmiotu umowy, </w:t>
      </w:r>
    </w:p>
    <w:p w:rsidR="00D91336" w:rsidRDefault="00C05490">
      <w:pPr>
        <w:numPr>
          <w:ilvl w:val="1"/>
          <w:numId w:val="12"/>
        </w:numPr>
        <w:ind w:left="885" w:hanging="427"/>
      </w:pPr>
      <w:r>
        <w:t xml:space="preserve">zmiany terminu realizacji na skutek wystąpienia okoliczności (siły wyższe) uniemożliwiających wykonanie czynności określonych w umowie np. powódź, kataklizmy, o czas ich występowania,  </w:t>
      </w:r>
    </w:p>
    <w:p w:rsidR="00D91336" w:rsidRDefault="00C05490">
      <w:pPr>
        <w:numPr>
          <w:ilvl w:val="0"/>
          <w:numId w:val="12"/>
        </w:numPr>
        <w:spacing w:after="47" w:line="267" w:lineRule="auto"/>
        <w:ind w:hanging="360"/>
      </w:pPr>
      <w:r>
        <w:t xml:space="preserve">Nie stanowi zmiany umowy w rozumieniu art. 454 ustawy </w:t>
      </w:r>
      <w:proofErr w:type="spellStart"/>
      <w:r>
        <w:t>Pzp</w:t>
      </w:r>
      <w:proofErr w:type="spellEnd"/>
      <w:r>
        <w:t xml:space="preserve">: </w:t>
      </w:r>
    </w:p>
    <w:p w:rsidR="00D91336" w:rsidRDefault="00C05490">
      <w:pPr>
        <w:numPr>
          <w:ilvl w:val="1"/>
          <w:numId w:val="12"/>
        </w:numPr>
        <w:ind w:left="885" w:hanging="427"/>
      </w:pPr>
      <w:r>
        <w:t xml:space="preserve">zmiana danych teleadresowych, zmiana formy prowadzenia działalności gospodarczej wykonawcy (np. spółki cywilnej w spółkę jawną), zmiana nazwy firmy, zmiany osób wskazanych do kontaktów między stronami umowy, </w:t>
      </w:r>
    </w:p>
    <w:p w:rsidR="00D91336" w:rsidRDefault="00C05490">
      <w:pPr>
        <w:numPr>
          <w:ilvl w:val="1"/>
          <w:numId w:val="12"/>
        </w:numPr>
        <w:ind w:left="885" w:hanging="427"/>
      </w:pPr>
      <w:r>
        <w:t xml:space="preserve">poprawianie oczywistych omyłek pisarskich i rachunkowych. </w:t>
      </w:r>
    </w:p>
    <w:p w:rsidR="00D91336" w:rsidRDefault="00C05490">
      <w:pPr>
        <w:numPr>
          <w:ilvl w:val="0"/>
          <w:numId w:val="12"/>
        </w:numPr>
        <w:spacing w:after="9"/>
        <w:ind w:hanging="360"/>
      </w:pPr>
      <w:r>
        <w:t xml:space="preserve">Warunkiem dokonania zmian postanowień niniejszej umowy, w zakresie określonym  w  pkt 1, jeżeli zmiany są wnioskowane przez Wykonawcę, jest pod rygorem nieważności złożenie przez niego do Zamawiającego wniosku o zmianę treści umowy. </w:t>
      </w:r>
    </w:p>
    <w:p w:rsidR="00D91336" w:rsidRDefault="00C05490">
      <w:pPr>
        <w:spacing w:after="20" w:line="259" w:lineRule="auto"/>
        <w:ind w:left="50" w:firstLine="0"/>
        <w:jc w:val="center"/>
      </w:pPr>
      <w:r>
        <w:rPr>
          <w:b/>
        </w:rPr>
        <w:t xml:space="preserve"> </w:t>
      </w:r>
    </w:p>
    <w:p w:rsidR="00D91336" w:rsidRDefault="00C05490">
      <w:pPr>
        <w:spacing w:after="22" w:line="259" w:lineRule="auto"/>
        <w:ind w:left="10" w:right="2" w:hanging="10"/>
        <w:jc w:val="center"/>
      </w:pPr>
      <w:r>
        <w:rPr>
          <w:b/>
        </w:rPr>
        <w:t xml:space="preserve">§ 15 </w:t>
      </w:r>
    </w:p>
    <w:p w:rsidR="00D91336" w:rsidRDefault="00C05490">
      <w:pPr>
        <w:spacing w:after="11"/>
        <w:ind w:left="55" w:firstLine="0"/>
      </w:pPr>
      <w:r>
        <w:t xml:space="preserve">W </w:t>
      </w:r>
      <w:r w:rsidR="005D1BF9">
        <w:t>czasie realizacji umowy Wykonawca</w:t>
      </w:r>
      <w:r>
        <w:t xml:space="preserve"> nie będzie miał dostępu do zbioru danych osobowych. </w:t>
      </w:r>
    </w:p>
    <w:p w:rsidR="00D91336" w:rsidRDefault="00C05490">
      <w:pPr>
        <w:spacing w:after="20" w:line="259" w:lineRule="auto"/>
        <w:ind w:left="50" w:firstLine="0"/>
        <w:jc w:val="center"/>
      </w:pPr>
      <w:r>
        <w:rPr>
          <w:b/>
        </w:rPr>
        <w:t xml:space="preserve"> </w:t>
      </w:r>
    </w:p>
    <w:p w:rsidR="00D91336" w:rsidRDefault="00C05490">
      <w:pPr>
        <w:pStyle w:val="Nagwek1"/>
        <w:ind w:right="2"/>
      </w:pPr>
      <w:r>
        <w:t xml:space="preserve">§ 16 </w:t>
      </w:r>
    </w:p>
    <w:p w:rsidR="00D91336" w:rsidRDefault="00C05490">
      <w:pPr>
        <w:numPr>
          <w:ilvl w:val="0"/>
          <w:numId w:val="13"/>
        </w:numPr>
        <w:ind w:hanging="427"/>
      </w:pPr>
      <w:r>
        <w:t xml:space="preserve">W sprawach nieuregulowanych niniejszą umową stosuje się odpowiednie przepisy Kodeksu cywilnego oraz przepisy ustawy Prawo zamówień publicznych. </w:t>
      </w:r>
    </w:p>
    <w:p w:rsidR="00D91336" w:rsidRDefault="00C05490">
      <w:pPr>
        <w:numPr>
          <w:ilvl w:val="0"/>
          <w:numId w:val="13"/>
        </w:numPr>
        <w:spacing w:after="7"/>
        <w:ind w:hanging="427"/>
      </w:pPr>
      <w:r>
        <w:t xml:space="preserve">Ewentualne spory wynikłe w związku z realizacją niniejszej umowy rozstrzygane będą przez sąd powszechny właściwy dla siedziby Zamawiającego. </w:t>
      </w:r>
    </w:p>
    <w:p w:rsidR="00D91336" w:rsidRDefault="00C05490">
      <w:pPr>
        <w:spacing w:after="22" w:line="259" w:lineRule="auto"/>
        <w:ind w:left="50" w:firstLine="0"/>
        <w:jc w:val="center"/>
      </w:pPr>
      <w:r>
        <w:rPr>
          <w:b/>
        </w:rPr>
        <w:t xml:space="preserve"> </w:t>
      </w:r>
    </w:p>
    <w:p w:rsidR="00D91336" w:rsidRDefault="00C05490">
      <w:pPr>
        <w:pStyle w:val="Nagwek1"/>
        <w:spacing w:after="20"/>
        <w:ind w:right="2"/>
      </w:pPr>
      <w:r>
        <w:t xml:space="preserve">§ 17 </w:t>
      </w:r>
    </w:p>
    <w:p w:rsidR="00D91336" w:rsidRDefault="009C561E">
      <w:pPr>
        <w:spacing w:after="9"/>
        <w:ind w:left="55" w:right="192" w:firstLine="0"/>
      </w:pPr>
      <w:r w:rsidRPr="000648AB">
        <w:rPr>
          <w:szCs w:val="24"/>
        </w:rPr>
        <w:t>Umow</w:t>
      </w:r>
      <w:r>
        <w:rPr>
          <w:szCs w:val="24"/>
        </w:rPr>
        <w:t>a została sporządzona w 2</w:t>
      </w:r>
      <w:r w:rsidRPr="000648AB">
        <w:rPr>
          <w:szCs w:val="24"/>
        </w:rPr>
        <w:t xml:space="preserve"> jednobrzmiących  egz</w:t>
      </w:r>
      <w:r>
        <w:rPr>
          <w:szCs w:val="24"/>
        </w:rPr>
        <w:t xml:space="preserve">emplarzach z przeznaczeniem po jednym </w:t>
      </w:r>
      <w:r w:rsidRPr="000648AB">
        <w:rPr>
          <w:szCs w:val="24"/>
        </w:rPr>
        <w:t>egzemplarz</w:t>
      </w:r>
      <w:r>
        <w:rPr>
          <w:szCs w:val="24"/>
        </w:rPr>
        <w:t>u</w:t>
      </w:r>
      <w:r w:rsidRPr="000648AB">
        <w:rPr>
          <w:szCs w:val="24"/>
        </w:rPr>
        <w:t xml:space="preserve"> dla każdej ze stron</w:t>
      </w:r>
      <w:r>
        <w:rPr>
          <w:szCs w:val="24"/>
        </w:rPr>
        <w:t xml:space="preserve">. </w:t>
      </w:r>
      <w:r w:rsidR="00C05490">
        <w:t xml:space="preserve"> </w:t>
      </w:r>
    </w:p>
    <w:p w:rsidR="00D91336" w:rsidRDefault="00C05490">
      <w:pPr>
        <w:spacing w:after="20" w:line="259" w:lineRule="auto"/>
        <w:ind w:left="0" w:firstLine="0"/>
        <w:jc w:val="left"/>
      </w:pPr>
      <w:r>
        <w:t xml:space="preserve"> </w:t>
      </w:r>
    </w:p>
    <w:p w:rsidR="00D91336" w:rsidRDefault="00C05490">
      <w:pPr>
        <w:spacing w:after="38" w:line="259" w:lineRule="auto"/>
        <w:ind w:left="0" w:firstLine="0"/>
        <w:jc w:val="left"/>
      </w:pPr>
      <w:r>
        <w:t xml:space="preserve"> </w:t>
      </w:r>
    </w:p>
    <w:p w:rsidR="001C7B28" w:rsidRDefault="001C7B28">
      <w:pPr>
        <w:spacing w:after="38" w:line="259" w:lineRule="auto"/>
        <w:ind w:left="0" w:firstLine="0"/>
        <w:jc w:val="left"/>
      </w:pPr>
    </w:p>
    <w:p w:rsidR="001C7B28" w:rsidRDefault="001C7B28">
      <w:pPr>
        <w:spacing w:after="38" w:line="259" w:lineRule="auto"/>
        <w:ind w:left="0" w:firstLine="0"/>
        <w:jc w:val="left"/>
      </w:pPr>
    </w:p>
    <w:p w:rsidR="001C7B28" w:rsidRDefault="001C7B28">
      <w:pPr>
        <w:spacing w:after="38" w:line="259" w:lineRule="auto"/>
        <w:ind w:left="0" w:firstLine="0"/>
        <w:jc w:val="left"/>
      </w:pPr>
    </w:p>
    <w:p w:rsidR="00D91336" w:rsidRDefault="00C05490">
      <w:pPr>
        <w:pStyle w:val="Nagwek1"/>
        <w:tabs>
          <w:tab w:val="center" w:pos="1219"/>
          <w:tab w:val="center" w:pos="2696"/>
          <w:tab w:val="center" w:pos="3404"/>
          <w:tab w:val="center" w:pos="4112"/>
          <w:tab w:val="center" w:pos="4820"/>
          <w:tab w:val="center" w:pos="7015"/>
        </w:tabs>
        <w:spacing w:after="20"/>
        <w:ind w:left="0" w:right="0" w:firstLine="0"/>
        <w:jc w:val="left"/>
      </w:pPr>
      <w:r>
        <w:rPr>
          <w:b w:val="0"/>
          <w:sz w:val="22"/>
        </w:rPr>
        <w:tab/>
      </w:r>
      <w:r>
        <w:t xml:space="preserve">Zamawiający  </w:t>
      </w:r>
      <w:r>
        <w:tab/>
        <w:t xml:space="preserve"> </w:t>
      </w:r>
      <w:r>
        <w:tab/>
        <w:t xml:space="preserve"> </w:t>
      </w:r>
      <w:r>
        <w:tab/>
        <w:t xml:space="preserve"> </w:t>
      </w:r>
      <w:r>
        <w:tab/>
        <w:t xml:space="preserve"> </w:t>
      </w:r>
      <w:r>
        <w:tab/>
        <w:t xml:space="preserve">Wykonawca/Upełnomocnieni  </w:t>
      </w:r>
    </w:p>
    <w:p w:rsidR="00D91336" w:rsidRDefault="00C05490">
      <w:pPr>
        <w:spacing w:after="0" w:line="259" w:lineRule="auto"/>
        <w:ind w:left="0" w:right="652" w:firstLine="0"/>
        <w:jc w:val="right"/>
      </w:pPr>
      <w:r>
        <w:rPr>
          <w:b/>
        </w:rPr>
        <w:t xml:space="preserve">przedstawiciele Wykonawcy </w:t>
      </w:r>
    </w:p>
    <w:sectPr w:rsidR="00D91336" w:rsidSect="001C7B28">
      <w:pgSz w:w="11906" w:h="16838"/>
      <w:pgMar w:top="426" w:right="1413" w:bottom="993"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C1EB1"/>
    <w:multiLevelType w:val="hybridMultilevel"/>
    <w:tmpl w:val="44B2CC60"/>
    <w:lvl w:ilvl="0" w:tplc="FD621CB2">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6BE84F6">
      <w:start w:val="1"/>
      <w:numFmt w:val="decimal"/>
      <w:lvlText w:val="%2)"/>
      <w:lvlJc w:val="left"/>
      <w:pPr>
        <w:ind w:left="9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F7C9F14">
      <w:start w:val="1"/>
      <w:numFmt w:val="lowerRoman"/>
      <w:lvlText w:val="%3"/>
      <w:lvlJc w:val="left"/>
      <w:pPr>
        <w:ind w:left="1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D321FF2">
      <w:start w:val="1"/>
      <w:numFmt w:val="decimal"/>
      <w:lvlText w:val="%4"/>
      <w:lvlJc w:val="left"/>
      <w:pPr>
        <w:ind w:left="2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0F2952C">
      <w:start w:val="1"/>
      <w:numFmt w:val="lowerLetter"/>
      <w:lvlText w:val="%5"/>
      <w:lvlJc w:val="left"/>
      <w:pPr>
        <w:ind w:left="3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3288E66">
      <w:start w:val="1"/>
      <w:numFmt w:val="lowerRoman"/>
      <w:lvlText w:val="%6"/>
      <w:lvlJc w:val="left"/>
      <w:pPr>
        <w:ind w:left="3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A9CC6DA">
      <w:start w:val="1"/>
      <w:numFmt w:val="decimal"/>
      <w:lvlText w:val="%7"/>
      <w:lvlJc w:val="left"/>
      <w:pPr>
        <w:ind w:left="4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03C24E0">
      <w:start w:val="1"/>
      <w:numFmt w:val="lowerLetter"/>
      <w:lvlText w:val="%8"/>
      <w:lvlJc w:val="left"/>
      <w:pPr>
        <w:ind w:left="5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A005E66">
      <w:start w:val="1"/>
      <w:numFmt w:val="lowerRoman"/>
      <w:lvlText w:val="%9"/>
      <w:lvlJc w:val="left"/>
      <w:pPr>
        <w:ind w:left="5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2041A3"/>
    <w:multiLevelType w:val="hybridMultilevel"/>
    <w:tmpl w:val="B7BAE76E"/>
    <w:lvl w:ilvl="0" w:tplc="E3FE0758">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52A1756">
      <w:start w:val="1"/>
      <w:numFmt w:val="lowerLetter"/>
      <w:lvlText w:val="%2)"/>
      <w:lvlJc w:val="left"/>
      <w:pPr>
        <w:ind w:left="8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1DAE72C">
      <w:start w:val="1"/>
      <w:numFmt w:val="lowerRoman"/>
      <w:lvlText w:val="%3"/>
      <w:lvlJc w:val="left"/>
      <w:pPr>
        <w:ind w:left="1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820A33A">
      <w:start w:val="1"/>
      <w:numFmt w:val="decimal"/>
      <w:lvlText w:val="%4"/>
      <w:lvlJc w:val="left"/>
      <w:pPr>
        <w:ind w:left="2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B9C9B18">
      <w:start w:val="1"/>
      <w:numFmt w:val="lowerLetter"/>
      <w:lvlText w:val="%5"/>
      <w:lvlJc w:val="left"/>
      <w:pPr>
        <w:ind w:left="3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0CC1B0C">
      <w:start w:val="1"/>
      <w:numFmt w:val="lowerRoman"/>
      <w:lvlText w:val="%6"/>
      <w:lvlJc w:val="left"/>
      <w:pPr>
        <w:ind w:left="3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0A29C8A">
      <w:start w:val="1"/>
      <w:numFmt w:val="decimal"/>
      <w:lvlText w:val="%7"/>
      <w:lvlJc w:val="left"/>
      <w:pPr>
        <w:ind w:left="4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7467F12">
      <w:start w:val="1"/>
      <w:numFmt w:val="lowerLetter"/>
      <w:lvlText w:val="%8"/>
      <w:lvlJc w:val="left"/>
      <w:pPr>
        <w:ind w:left="5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CB8484E">
      <w:start w:val="1"/>
      <w:numFmt w:val="lowerRoman"/>
      <w:lvlText w:val="%9"/>
      <w:lvlJc w:val="left"/>
      <w:pPr>
        <w:ind w:left="5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5311E99"/>
    <w:multiLevelType w:val="hybridMultilevel"/>
    <w:tmpl w:val="DE54CB6E"/>
    <w:lvl w:ilvl="0" w:tplc="AEB85434">
      <w:start w:val="1"/>
      <w:numFmt w:val="decimal"/>
      <w:lvlText w:val="%1."/>
      <w:lvlJc w:val="center"/>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8B46724"/>
    <w:multiLevelType w:val="hybridMultilevel"/>
    <w:tmpl w:val="1922B46A"/>
    <w:lvl w:ilvl="0" w:tplc="F1560FA4">
      <w:start w:val="1"/>
      <w:numFmt w:val="decimal"/>
      <w:lvlText w:val="%1."/>
      <w:lvlJc w:val="left"/>
      <w:pPr>
        <w:ind w:left="1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80A2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4543A6A">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E5C1FA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27EE23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31C15C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124E52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A1AF2B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7484F2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1F85EE0"/>
    <w:multiLevelType w:val="hybridMultilevel"/>
    <w:tmpl w:val="00120E40"/>
    <w:lvl w:ilvl="0" w:tplc="20606CA6">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2A26502">
      <w:start w:val="1"/>
      <w:numFmt w:val="bullet"/>
      <w:lvlText w:val="-"/>
      <w:lvlJc w:val="left"/>
      <w:pPr>
        <w:ind w:left="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85C4AC6">
      <w:start w:val="1"/>
      <w:numFmt w:val="bullet"/>
      <w:lvlText w:val="▪"/>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FAC88EA">
      <w:start w:val="1"/>
      <w:numFmt w:val="bullet"/>
      <w:lvlText w:val="•"/>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4C1E7C">
      <w:start w:val="1"/>
      <w:numFmt w:val="bullet"/>
      <w:lvlText w:val="o"/>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8BE74F0">
      <w:start w:val="1"/>
      <w:numFmt w:val="bullet"/>
      <w:lvlText w:val="▪"/>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F509194">
      <w:start w:val="1"/>
      <w:numFmt w:val="bullet"/>
      <w:lvlText w:val="•"/>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8D0A09E">
      <w:start w:val="1"/>
      <w:numFmt w:val="bullet"/>
      <w:lvlText w:val="o"/>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C6253D2">
      <w:start w:val="1"/>
      <w:numFmt w:val="bullet"/>
      <w:lvlText w:val="▪"/>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42B3E8B"/>
    <w:multiLevelType w:val="hybridMultilevel"/>
    <w:tmpl w:val="14B845BC"/>
    <w:lvl w:ilvl="0" w:tplc="A1FCB464">
      <w:start w:val="1"/>
      <w:numFmt w:val="decimal"/>
      <w:lvlText w:val="%1."/>
      <w:lvlJc w:val="left"/>
      <w:pPr>
        <w:ind w:left="4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7640C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67E2C6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3A6569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A1E359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92E943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0E4F5B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4BCE69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B9E1E3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CA0095"/>
    <w:multiLevelType w:val="hybridMultilevel"/>
    <w:tmpl w:val="0172D6C8"/>
    <w:lvl w:ilvl="0" w:tplc="300A7FDE">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D403454">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A8E117C">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650481A">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8C09652">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C92A3EC">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0C0E99A">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6185E78">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C98044C">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25F34C2"/>
    <w:multiLevelType w:val="hybridMultilevel"/>
    <w:tmpl w:val="63EA8B86"/>
    <w:lvl w:ilvl="0" w:tplc="190C3960">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CB69ED0">
      <w:start w:val="1"/>
      <w:numFmt w:val="lowerLetter"/>
      <w:lvlText w:val="%2"/>
      <w:lvlJc w:val="left"/>
      <w:pPr>
        <w:ind w:left="11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6BA2610">
      <w:start w:val="1"/>
      <w:numFmt w:val="lowerRoman"/>
      <w:lvlText w:val="%3"/>
      <w:lvlJc w:val="left"/>
      <w:pPr>
        <w:ind w:left="18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D61986">
      <w:start w:val="1"/>
      <w:numFmt w:val="decimal"/>
      <w:lvlText w:val="%4"/>
      <w:lvlJc w:val="left"/>
      <w:pPr>
        <w:ind w:left="25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2405556">
      <w:start w:val="1"/>
      <w:numFmt w:val="lowerLetter"/>
      <w:lvlText w:val="%5"/>
      <w:lvlJc w:val="left"/>
      <w:pPr>
        <w:ind w:left="33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ECA2314">
      <w:start w:val="1"/>
      <w:numFmt w:val="lowerRoman"/>
      <w:lvlText w:val="%6"/>
      <w:lvlJc w:val="left"/>
      <w:pPr>
        <w:ind w:left="40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266530A">
      <w:start w:val="1"/>
      <w:numFmt w:val="decimal"/>
      <w:lvlText w:val="%7"/>
      <w:lvlJc w:val="left"/>
      <w:pPr>
        <w:ind w:left="4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77CFC2C">
      <w:start w:val="1"/>
      <w:numFmt w:val="lowerLetter"/>
      <w:lvlText w:val="%8"/>
      <w:lvlJc w:val="left"/>
      <w:pPr>
        <w:ind w:left="54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2825024">
      <w:start w:val="1"/>
      <w:numFmt w:val="lowerRoman"/>
      <w:lvlText w:val="%9"/>
      <w:lvlJc w:val="left"/>
      <w:pPr>
        <w:ind w:left="6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D01545A"/>
    <w:multiLevelType w:val="hybridMultilevel"/>
    <w:tmpl w:val="8D36CFA4"/>
    <w:lvl w:ilvl="0" w:tplc="64625D5A">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16C0408">
      <w:start w:val="1"/>
      <w:numFmt w:val="lowerLetter"/>
      <w:lvlText w:val="%2)"/>
      <w:lvlJc w:val="left"/>
      <w:pPr>
        <w:ind w:left="9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0522742">
      <w:start w:val="1"/>
      <w:numFmt w:val="lowerRoman"/>
      <w:lvlText w:val="%3"/>
      <w:lvlJc w:val="left"/>
      <w:pPr>
        <w:ind w:left="16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67ACE5A">
      <w:start w:val="1"/>
      <w:numFmt w:val="decimal"/>
      <w:lvlText w:val="%4"/>
      <w:lvlJc w:val="left"/>
      <w:pPr>
        <w:ind w:left="23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7C92CE">
      <w:start w:val="1"/>
      <w:numFmt w:val="lowerLetter"/>
      <w:lvlText w:val="%5"/>
      <w:lvlJc w:val="left"/>
      <w:pPr>
        <w:ind w:left="30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9BA4D30">
      <w:start w:val="1"/>
      <w:numFmt w:val="lowerRoman"/>
      <w:lvlText w:val="%6"/>
      <w:lvlJc w:val="left"/>
      <w:pPr>
        <w:ind w:left="38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978511C">
      <w:start w:val="1"/>
      <w:numFmt w:val="decimal"/>
      <w:lvlText w:val="%7"/>
      <w:lvlJc w:val="left"/>
      <w:pPr>
        <w:ind w:left="45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F660578">
      <w:start w:val="1"/>
      <w:numFmt w:val="lowerLetter"/>
      <w:lvlText w:val="%8"/>
      <w:lvlJc w:val="left"/>
      <w:pPr>
        <w:ind w:left="52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7A8EC9C">
      <w:start w:val="1"/>
      <w:numFmt w:val="lowerRoman"/>
      <w:lvlText w:val="%9"/>
      <w:lvlJc w:val="left"/>
      <w:pPr>
        <w:ind w:left="59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EAA0F6A"/>
    <w:multiLevelType w:val="hybridMultilevel"/>
    <w:tmpl w:val="32566872"/>
    <w:lvl w:ilvl="0" w:tplc="5CD84A54">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5D034EE">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602F22E">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3A61A4C">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96EC03C">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098D876">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8D428A0">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99C8608">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1468FF6">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D9733F9"/>
    <w:multiLevelType w:val="hybridMultilevel"/>
    <w:tmpl w:val="2F6A4BF4"/>
    <w:lvl w:ilvl="0" w:tplc="47785DA2">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35244AC">
      <w:start w:val="1"/>
      <w:numFmt w:val="lowerLetter"/>
      <w:lvlText w:val="%2)"/>
      <w:lvlJc w:val="left"/>
      <w:pPr>
        <w:ind w:left="8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4B6F99E">
      <w:start w:val="1"/>
      <w:numFmt w:val="lowerRoman"/>
      <w:lvlText w:val="%3"/>
      <w:lvlJc w:val="left"/>
      <w:pPr>
        <w:ind w:left="1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F6CC4CC">
      <w:start w:val="1"/>
      <w:numFmt w:val="decimal"/>
      <w:lvlText w:val="%4"/>
      <w:lvlJc w:val="left"/>
      <w:pPr>
        <w:ind w:left="2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0A032BA">
      <w:start w:val="1"/>
      <w:numFmt w:val="lowerLetter"/>
      <w:lvlText w:val="%5"/>
      <w:lvlJc w:val="left"/>
      <w:pPr>
        <w:ind w:left="3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BF8D736">
      <w:start w:val="1"/>
      <w:numFmt w:val="lowerRoman"/>
      <w:lvlText w:val="%6"/>
      <w:lvlJc w:val="left"/>
      <w:pPr>
        <w:ind w:left="3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6240E40">
      <w:start w:val="1"/>
      <w:numFmt w:val="decimal"/>
      <w:lvlText w:val="%7"/>
      <w:lvlJc w:val="left"/>
      <w:pPr>
        <w:ind w:left="4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3648406">
      <w:start w:val="1"/>
      <w:numFmt w:val="lowerLetter"/>
      <w:lvlText w:val="%8"/>
      <w:lvlJc w:val="left"/>
      <w:pPr>
        <w:ind w:left="5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8D61CE8">
      <w:start w:val="1"/>
      <w:numFmt w:val="lowerRoman"/>
      <w:lvlText w:val="%9"/>
      <w:lvlJc w:val="left"/>
      <w:pPr>
        <w:ind w:left="5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0F40126"/>
    <w:multiLevelType w:val="hybridMultilevel"/>
    <w:tmpl w:val="9D0096F6"/>
    <w:lvl w:ilvl="0" w:tplc="F70E8CE8">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418BF88">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4DA6730">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E92E560">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04C37C">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6086836">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40E500E">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C5EC2C2">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C87196">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7511F7A"/>
    <w:multiLevelType w:val="hybridMultilevel"/>
    <w:tmpl w:val="6CC060F6"/>
    <w:lvl w:ilvl="0" w:tplc="561019C8">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6202182">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F70AB36">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F046BDA">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B70C2CE">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CFE614C">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DF01862">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E4E598E">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8B271BC">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B0E13FD"/>
    <w:multiLevelType w:val="hybridMultilevel"/>
    <w:tmpl w:val="E67A91C4"/>
    <w:lvl w:ilvl="0" w:tplc="A8A2C9D4">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B0C9BCA">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EF60484">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C42FE16">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6A0C9F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644488">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5C28018">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B28897A">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590EA30">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7"/>
  </w:num>
  <w:num w:numId="3">
    <w:abstractNumId w:val="11"/>
  </w:num>
  <w:num w:numId="4">
    <w:abstractNumId w:val="13"/>
  </w:num>
  <w:num w:numId="5">
    <w:abstractNumId w:val="10"/>
  </w:num>
  <w:num w:numId="6">
    <w:abstractNumId w:val="6"/>
  </w:num>
  <w:num w:numId="7">
    <w:abstractNumId w:val="0"/>
  </w:num>
  <w:num w:numId="8">
    <w:abstractNumId w:val="12"/>
  </w:num>
  <w:num w:numId="9">
    <w:abstractNumId w:val="8"/>
  </w:num>
  <w:num w:numId="10">
    <w:abstractNumId w:val="9"/>
  </w:num>
  <w:num w:numId="11">
    <w:abstractNumId w:val="4"/>
  </w:num>
  <w:num w:numId="12">
    <w:abstractNumId w:val="1"/>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336"/>
    <w:rsid w:val="00081F49"/>
    <w:rsid w:val="00165D9D"/>
    <w:rsid w:val="001B4EF2"/>
    <w:rsid w:val="001C7B28"/>
    <w:rsid w:val="001E261A"/>
    <w:rsid w:val="002830C5"/>
    <w:rsid w:val="0047740F"/>
    <w:rsid w:val="004D3EF4"/>
    <w:rsid w:val="005139F8"/>
    <w:rsid w:val="00530BD4"/>
    <w:rsid w:val="005D1BF9"/>
    <w:rsid w:val="006F4BCF"/>
    <w:rsid w:val="007B413D"/>
    <w:rsid w:val="00954F2C"/>
    <w:rsid w:val="009716E7"/>
    <w:rsid w:val="00984027"/>
    <w:rsid w:val="009C561E"/>
    <w:rsid w:val="009E3287"/>
    <w:rsid w:val="00B56081"/>
    <w:rsid w:val="00BF4998"/>
    <w:rsid w:val="00C05490"/>
    <w:rsid w:val="00C946F1"/>
    <w:rsid w:val="00CA2BE1"/>
    <w:rsid w:val="00D43F1A"/>
    <w:rsid w:val="00D91336"/>
    <w:rsid w:val="00F059C7"/>
    <w:rsid w:val="00F22E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EB16AF-EB91-4669-93CF-A8678B5E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6" w:line="268" w:lineRule="auto"/>
      <w:ind w:left="370" w:hanging="370"/>
      <w:jc w:val="both"/>
    </w:pPr>
    <w:rPr>
      <w:rFonts w:ascii="Calibri" w:eastAsia="Calibri" w:hAnsi="Calibri" w:cs="Calibri"/>
      <w:color w:val="000000"/>
      <w:sz w:val="24"/>
    </w:rPr>
  </w:style>
  <w:style w:type="paragraph" w:styleId="Nagwek1">
    <w:name w:val="heading 1"/>
    <w:next w:val="Normalny"/>
    <w:link w:val="Nagwek1Znak"/>
    <w:uiPriority w:val="9"/>
    <w:unhideWhenUsed/>
    <w:qFormat/>
    <w:pPr>
      <w:keepNext/>
      <w:keepLines/>
      <w:spacing w:after="58"/>
      <w:ind w:left="10" w:right="5" w:hanging="10"/>
      <w:jc w:val="center"/>
      <w:outlineLvl w:val="0"/>
    </w:pPr>
    <w:rPr>
      <w:rFonts w:ascii="Calibri" w:eastAsia="Calibri" w:hAnsi="Calibri" w:cs="Calibri"/>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47740F"/>
    <w:pPr>
      <w:ind w:left="720"/>
      <w:contextualSpacing/>
    </w:pPr>
  </w:style>
  <w:style w:type="character" w:styleId="Odwoaniedokomentarza">
    <w:name w:val="annotation reference"/>
    <w:basedOn w:val="Domylnaczcionkaakapitu"/>
    <w:uiPriority w:val="99"/>
    <w:semiHidden/>
    <w:unhideWhenUsed/>
    <w:rsid w:val="001E261A"/>
    <w:rPr>
      <w:sz w:val="16"/>
      <w:szCs w:val="16"/>
    </w:rPr>
  </w:style>
  <w:style w:type="paragraph" w:styleId="Tekstkomentarza">
    <w:name w:val="annotation text"/>
    <w:basedOn w:val="Normalny"/>
    <w:link w:val="TekstkomentarzaZnak"/>
    <w:uiPriority w:val="99"/>
    <w:semiHidden/>
    <w:unhideWhenUsed/>
    <w:rsid w:val="001E26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261A"/>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1E261A"/>
    <w:rPr>
      <w:b/>
      <w:bCs/>
    </w:rPr>
  </w:style>
  <w:style w:type="character" w:customStyle="1" w:styleId="TematkomentarzaZnak">
    <w:name w:val="Temat komentarza Znak"/>
    <w:basedOn w:val="TekstkomentarzaZnak"/>
    <w:link w:val="Tematkomentarza"/>
    <w:uiPriority w:val="99"/>
    <w:semiHidden/>
    <w:rsid w:val="001E261A"/>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1E261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E261A"/>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889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9FC60-AEC4-4954-B221-25EA32200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2869</Words>
  <Characters>17217</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sp</Company>
  <LinksUpToDate>false</LinksUpToDate>
  <CharactersWithSpaces>20046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jholeczke</dc:creator>
  <cp:lastModifiedBy>Renata Żmuda</cp:lastModifiedBy>
  <cp:revision>12</cp:revision>
  <cp:lastPrinted>2024-11-06T09:14:00Z</cp:lastPrinted>
  <dcterms:created xsi:type="dcterms:W3CDTF">2024-11-04T08:09:00Z</dcterms:created>
  <dcterms:modified xsi:type="dcterms:W3CDTF">2024-11-06T12:41:00Z</dcterms:modified>
</cp:coreProperties>
</file>