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 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/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color w:val="000000"/>
          <w:spacing w:val="0"/>
          <w:kern w:val="2"/>
          <w:sz w:val="22"/>
          <w:szCs w:val="22"/>
        </w:rPr>
        <w:t>Dostawa oleju opałowego lekkiego do kotłowni olejowych w Szkołach Podstawowych i świetlicach wiejskich zlokalizowanych na terenie Gminy Kowalewo Pomorskie w 2025 roku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 xml:space="preserve">podstawie art. 7 ust. 1 ustawy z dnia 13 kwietnia 2022 r. o szczególnych rozwiązaniach w zakresie przeciwdziałania wspieraniu agresji na Ukrainę oraz służących ochronie bezpieczeństwa narodowego (Dz. U. z 2024r., poz. 507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ab/>
        <w:t xml:space="preserve">a) wykonawcę oraz uczestnika konkursu wymienionego w wykazach określonych w </w:t>
        <w:tab/>
        <w:t xml:space="preserve">rozporządzeniu 765/2006 i rozporządzeniu 269/2014 albo wpisanego na listę na podstawie </w:t>
        <w:tab/>
        <w:t xml:space="preserve">decyzji w sprawie wpisu na listę rozstrzygającej o zastosowaniu środka, o którym mowa w art. </w:t>
        <w:tab/>
        <w:t>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b) wykonawcę oraz uczestnika konkursu, którego beneficjentem rzeczywistym w rozumieniu </w:t>
        <w:tab/>
        <w:t xml:space="preserve">ustawy z dnia 1 marca 2018 r. o przeciwdziałaniu praniu pieniędzy oraz finansowaniu </w:t>
        <w:tab/>
        <w:t xml:space="preserve">terroryzmu (Dz. U. z 2023 r. poz. 1124, 1285, 1723 i 1843) jest osoba wymieniona w </w:t>
        <w:tab/>
        <w:t xml:space="preserve">wykazach określonych w rozporządzeniu 765/2006 i rozporządzeniu 269/2014 albo wpisana </w:t>
        <w:tab/>
        <w:t xml:space="preserve">na listę lub będąca takim beneficjentem rzeczywistym od dnia 24 lutego 2022 r., o ile została </w:t>
        <w:tab/>
        <w:t xml:space="preserve">wpisana na listę na podstawie decyzji w sprawie wpisu na listę rozstrzygającej o zastosowaniu </w:t>
        <w:tab/>
        <w:t>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ab/>
        <w:t xml:space="preserve">c) wykonawcę oraz uczestnika konkursu, którego jednostką dominującą w rozumieniu art. 3 </w:t>
        <w:tab/>
        <w:t xml:space="preserve">ust. 1 pkt 37 ustawy z dnia 29 września 1994 r. o rachunkowości (Dz. U. z 2023 r. poz. 120, </w:t>
        <w:tab/>
        <w:t xml:space="preserve">295 i 1598) jest podmiot wymieniony w wykazach określonych w rozporządzeniu 765/2006 i </w:t>
        <w:tab/>
        <w:t xml:space="preserve">rozporządzeniu 269/2014 albo wpisany na listę lub będący taką jednostką dominującą od dnia </w:t>
        <w:tab/>
        <w:t xml:space="preserve">24 lutego 2022 r., o ile został wpisany na listę na podstawie decyzji w sprawie wpisu na listę </w:t>
        <w:tab/>
        <w:t>rozstrzygającej o zastosowaniu środka, o którym mowa w art. 1 pkt 3.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ZP.271.2.2</w:t>
    </w:r>
    <w:r>
      <w:rPr>
        <w:bCs/>
        <w:iCs/>
        <w:spacing w:val="0"/>
        <w:kern w:val="2"/>
        <w:sz w:val="22"/>
        <w:szCs w:val="22"/>
      </w:rPr>
      <w:t>4</w:t>
    </w:r>
    <w:r>
      <w:rPr>
        <w:bCs/>
        <w:iCs/>
        <w:spacing w:val="0"/>
        <w:kern w:val="2"/>
        <w:sz w:val="22"/>
        <w:szCs w:val="22"/>
      </w:rPr>
      <w:t>.2024</w:t>
    </w:r>
    <w:bookmarkStart w:id="1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1"/>
    <w:r>
      <w:rPr>
        <w:b/>
        <w:bCs/>
        <w:iCs/>
        <w:color w:val="000000"/>
        <w:spacing w:val="0"/>
        <w:kern w:val="2"/>
        <w:sz w:val="22"/>
        <w:szCs w:val="22"/>
      </w:rPr>
      <w:t>Dostawa oleju opałowego lekkiego do kotłowni olejowych w Szkołach Podstawowych i świetlicach wiejskich zlokalizowanych na terenie Gminy Kowalewo Pomorskie w 2025 roku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Application>LibreOffice/7.5.1.2$Windows_X86_64 LibreOffice_project/fcbaee479e84c6cd81291587d2ee68cba099e129</Application>
  <AppVersion>15.0000</AppVersion>
  <Pages>2</Pages>
  <Words>593</Words>
  <Characters>3723</Characters>
  <CharactersWithSpaces>4400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2021-12-23T13:13:00Z</dcterms:created>
  <dc:creator>Katarzyna Sokalska-Lebiedziewska</dc:creator>
  <dc:description/>
  <dc:language>pl-PL</dc:language>
  <cp:lastModifiedBy/>
  <cp:lastPrinted>2024-10-28T08:48:39Z</cp:lastPrinted>
  <dcterms:modified xsi:type="dcterms:W3CDTF">2024-10-28T08:48:41Z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