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C27" w:rsidRPr="00AA1C27" w:rsidRDefault="00F804C1" w:rsidP="005817B9">
      <w:pPr>
        <w:pStyle w:val="Nagwek1"/>
        <w:spacing w:after="120" w:line="276" w:lineRule="auto"/>
        <w:jc w:val="center"/>
      </w:pPr>
      <w:r>
        <w:t>OPIS PRZEDMIOTU ZAMÓWIENIA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28"/>
        <w:gridCol w:w="6628"/>
      </w:tblGrid>
      <w:tr w:rsidR="00A64D77" w:rsidRPr="00AA1C27" w:rsidTr="0063172F">
        <w:tc>
          <w:tcPr>
            <w:tcW w:w="3828" w:type="dxa"/>
          </w:tcPr>
          <w:p w:rsidR="00A64D77" w:rsidRPr="00AA1C27" w:rsidRDefault="0063172F" w:rsidP="005817B9">
            <w:pPr>
              <w:spacing w:after="120" w:line="276" w:lineRule="auto"/>
            </w:pPr>
            <w:r>
              <w:t>P</w:t>
            </w:r>
            <w:r w:rsidR="00A64D77">
              <w:t>ostępowani</w:t>
            </w:r>
            <w:r>
              <w:t>e (znak sprawy)</w:t>
            </w:r>
            <w:r w:rsidR="00A64D77">
              <w:t>:</w:t>
            </w:r>
          </w:p>
        </w:tc>
        <w:sdt>
          <w:sdtPr>
            <w:rPr>
              <w:rFonts w:cstheme="minorHAnsi"/>
            </w:rPr>
            <w:id w:val="-1880771115"/>
            <w:placeholder>
              <w:docPart w:val="DefaultPlaceholder_-1854013440"/>
            </w:placeholder>
            <w:text/>
          </w:sdtPr>
          <w:sdtContent>
            <w:tc>
              <w:tcPr>
                <w:tcW w:w="6628" w:type="dxa"/>
              </w:tcPr>
              <w:p w:rsidR="00A64D77" w:rsidRPr="00AA1C27" w:rsidRDefault="00397B27" w:rsidP="005817B9">
                <w:pPr>
                  <w:spacing w:after="120" w:line="276" w:lineRule="auto"/>
                </w:pPr>
                <w:r w:rsidRPr="00397B27">
                  <w:rPr>
                    <w:rFonts w:cstheme="minorHAnsi"/>
                  </w:rPr>
                  <w:t>ADM.262.20.2024</w:t>
                </w:r>
              </w:p>
            </w:tc>
          </w:sdtContent>
        </w:sdt>
      </w:tr>
      <w:tr w:rsidR="002506E6" w:rsidRPr="00AA1C27" w:rsidTr="002506E6">
        <w:tc>
          <w:tcPr>
            <w:tcW w:w="3828" w:type="dxa"/>
          </w:tcPr>
          <w:p w:rsidR="002506E6" w:rsidRDefault="002506E6" w:rsidP="005817B9">
            <w:pPr>
              <w:spacing w:after="120" w:line="276" w:lineRule="auto"/>
            </w:pPr>
            <w:r>
              <w:t>Zamawiający:</w:t>
            </w:r>
          </w:p>
        </w:tc>
        <w:tc>
          <w:tcPr>
            <w:tcW w:w="6628" w:type="dxa"/>
          </w:tcPr>
          <w:p w:rsidR="002506E6" w:rsidRDefault="002506E6" w:rsidP="005817B9">
            <w:pPr>
              <w:spacing w:after="120" w:line="276" w:lineRule="auto"/>
            </w:pPr>
            <w:r>
              <w:t>Wojewódzki Ośrodek Terapii Uzależnień i Współuzależnienia w Toruniu</w:t>
            </w:r>
          </w:p>
        </w:tc>
      </w:tr>
      <w:tr w:rsidR="002506E6" w:rsidRPr="00AA1C27" w:rsidTr="00AA1C27">
        <w:tc>
          <w:tcPr>
            <w:tcW w:w="10456" w:type="dxa"/>
            <w:gridSpan w:val="2"/>
          </w:tcPr>
          <w:p w:rsidR="002506E6" w:rsidRPr="00AA1C27" w:rsidRDefault="002506E6" w:rsidP="005817B9">
            <w:pPr>
              <w:spacing w:after="120" w:line="276" w:lineRule="auto"/>
            </w:pPr>
            <w:r>
              <w:t>Postępowanie (nazwa):</w:t>
            </w:r>
          </w:p>
        </w:tc>
      </w:tr>
      <w:tr w:rsidR="002506E6" w:rsidRPr="00AA1C27" w:rsidTr="00AA1C27">
        <w:tc>
          <w:tcPr>
            <w:tcW w:w="10456" w:type="dxa"/>
            <w:gridSpan w:val="2"/>
          </w:tcPr>
          <w:p w:rsidR="002506E6" w:rsidRPr="00FA2B66" w:rsidRDefault="0011311A" w:rsidP="005817B9">
            <w:pPr>
              <w:spacing w:after="120" w:line="276" w:lineRule="auto"/>
              <w:rPr>
                <w:b/>
                <w:bCs/>
              </w:rPr>
            </w:pPr>
            <w:r w:rsidRPr="0011311A">
              <w:rPr>
                <w:b/>
                <w:bCs/>
              </w:rPr>
              <w:t>Utworzenie nowej instalacji odgromowej na budynkach WOTUiW w Toruniu</w:t>
            </w:r>
          </w:p>
        </w:tc>
      </w:tr>
      <w:tr w:rsidR="002506E6" w:rsidRPr="00AA1C27" w:rsidTr="00AA1C27">
        <w:tc>
          <w:tcPr>
            <w:tcW w:w="10456" w:type="dxa"/>
            <w:gridSpan w:val="2"/>
          </w:tcPr>
          <w:p w:rsidR="002506E6" w:rsidRDefault="002506E6" w:rsidP="005817B9">
            <w:pPr>
              <w:spacing w:after="120" w:line="276" w:lineRule="auto"/>
            </w:pPr>
          </w:p>
        </w:tc>
      </w:tr>
    </w:tbl>
    <w:p w:rsidR="00AF159C" w:rsidRPr="00464981" w:rsidRDefault="008053E6" w:rsidP="005817B9">
      <w:pPr>
        <w:pStyle w:val="Nagwek1"/>
        <w:spacing w:after="120" w:line="276" w:lineRule="auto"/>
      </w:pPr>
      <w:r>
        <w:t>WYMAGANIA OGÓLNE: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9889"/>
      </w:tblGrid>
      <w:tr w:rsidR="008053E6" w:rsidRPr="00521318" w:rsidTr="001C68CF">
        <w:tc>
          <w:tcPr>
            <w:tcW w:w="567" w:type="dxa"/>
          </w:tcPr>
          <w:p w:rsidR="008053E6" w:rsidRDefault="008053E6" w:rsidP="005817B9">
            <w:pPr>
              <w:pStyle w:val="Akapitzlist"/>
              <w:numPr>
                <w:ilvl w:val="0"/>
                <w:numId w:val="12"/>
              </w:numPr>
              <w:spacing w:after="120" w:line="276" w:lineRule="auto"/>
              <w:contextualSpacing w:val="0"/>
            </w:pPr>
          </w:p>
        </w:tc>
        <w:tc>
          <w:tcPr>
            <w:tcW w:w="9889" w:type="dxa"/>
          </w:tcPr>
          <w:p w:rsidR="008053E6" w:rsidRDefault="0011311A" w:rsidP="005817B9">
            <w:pPr>
              <w:spacing w:after="120" w:line="276" w:lineRule="auto"/>
            </w:pPr>
            <w:r w:rsidRPr="0011311A">
              <w:t>Należy wykonać analizę ryzyka na podstawie normy:</w:t>
            </w:r>
          </w:p>
          <w:p w:rsidR="0011311A" w:rsidRDefault="0011311A" w:rsidP="005817B9">
            <w:pPr>
              <w:pStyle w:val="Akapitzlist"/>
              <w:numPr>
                <w:ilvl w:val="0"/>
                <w:numId w:val="15"/>
              </w:numPr>
              <w:spacing w:after="120" w:line="276" w:lineRule="auto"/>
              <w:contextualSpacing w:val="0"/>
            </w:pPr>
            <w:r>
              <w:t xml:space="preserve">PN-EN 62305-1:2011 Ochrona odgromowa </w:t>
            </w:r>
            <w:r w:rsidR="002C043D">
              <w:t>–</w:t>
            </w:r>
            <w:r>
              <w:t xml:space="preserve"> Część 1: Zasady ogólne;</w:t>
            </w:r>
          </w:p>
          <w:p w:rsidR="0011311A" w:rsidRDefault="0011311A" w:rsidP="005817B9">
            <w:pPr>
              <w:pStyle w:val="Akapitzlist"/>
              <w:numPr>
                <w:ilvl w:val="0"/>
                <w:numId w:val="15"/>
              </w:numPr>
              <w:spacing w:after="120" w:line="276" w:lineRule="auto"/>
              <w:contextualSpacing w:val="0"/>
            </w:pPr>
            <w:r>
              <w:t xml:space="preserve">PN-EN 62305-2:2012 Ochrona odgromowa </w:t>
            </w:r>
            <w:r w:rsidR="002C043D">
              <w:t>–</w:t>
            </w:r>
            <w:r>
              <w:t xml:space="preserve"> Część 2: Zarządzanie ryzykiem;</w:t>
            </w:r>
          </w:p>
          <w:p w:rsidR="0011311A" w:rsidRDefault="0011311A" w:rsidP="005817B9">
            <w:pPr>
              <w:pStyle w:val="Akapitzlist"/>
              <w:numPr>
                <w:ilvl w:val="0"/>
                <w:numId w:val="15"/>
              </w:numPr>
              <w:spacing w:after="120" w:line="276" w:lineRule="auto"/>
              <w:contextualSpacing w:val="0"/>
            </w:pPr>
            <w:r>
              <w:t xml:space="preserve">PN-EN 62305-3:2011 Ochrona odgromowa </w:t>
            </w:r>
            <w:r w:rsidR="002C043D">
              <w:t>–</w:t>
            </w:r>
            <w:r>
              <w:t xml:space="preserve"> Część 3: Uszkodzenia fizyczne obiektów i zagrożenie życia;</w:t>
            </w:r>
          </w:p>
          <w:p w:rsidR="0011311A" w:rsidRDefault="0011311A" w:rsidP="005817B9">
            <w:pPr>
              <w:pStyle w:val="Akapitzlist"/>
              <w:numPr>
                <w:ilvl w:val="0"/>
                <w:numId w:val="15"/>
              </w:numPr>
              <w:spacing w:after="120" w:line="276" w:lineRule="auto"/>
              <w:ind w:left="357" w:hanging="357"/>
              <w:contextualSpacing w:val="0"/>
            </w:pPr>
            <w:r>
              <w:t xml:space="preserve">PN-EN 62305-4:2011 Ochrona odgromowa </w:t>
            </w:r>
            <w:r w:rsidR="002C043D">
              <w:t>–</w:t>
            </w:r>
            <w:r>
              <w:t xml:space="preserve"> Część4: Urządzenia elektryczne i elektroniczne w obiektach.</w:t>
            </w:r>
          </w:p>
        </w:tc>
      </w:tr>
      <w:tr w:rsidR="008053E6" w:rsidRPr="00521318" w:rsidTr="007D5066">
        <w:tc>
          <w:tcPr>
            <w:tcW w:w="567" w:type="dxa"/>
          </w:tcPr>
          <w:p w:rsidR="008053E6" w:rsidRDefault="008053E6" w:rsidP="005817B9">
            <w:pPr>
              <w:pStyle w:val="Akapitzlist"/>
              <w:numPr>
                <w:ilvl w:val="0"/>
                <w:numId w:val="12"/>
              </w:numPr>
              <w:spacing w:after="120" w:line="276" w:lineRule="auto"/>
              <w:contextualSpacing w:val="0"/>
            </w:pPr>
          </w:p>
        </w:tc>
        <w:tc>
          <w:tcPr>
            <w:tcW w:w="9889" w:type="dxa"/>
          </w:tcPr>
          <w:p w:rsidR="008053E6" w:rsidRDefault="0011311A" w:rsidP="005817B9">
            <w:pPr>
              <w:spacing w:after="120" w:line="276" w:lineRule="auto"/>
            </w:pPr>
            <w:r w:rsidRPr="0011311A">
              <w:t>Instalacje odgromową należy zaprojektować i wykonać w oparciu o normy</w:t>
            </w:r>
            <w:r>
              <w:t>:</w:t>
            </w:r>
          </w:p>
          <w:p w:rsidR="0011311A" w:rsidRDefault="0011311A" w:rsidP="005817B9">
            <w:pPr>
              <w:pStyle w:val="Akapitzlist"/>
              <w:numPr>
                <w:ilvl w:val="0"/>
                <w:numId w:val="16"/>
              </w:numPr>
              <w:spacing w:after="120" w:line="276" w:lineRule="auto"/>
              <w:contextualSpacing w:val="0"/>
            </w:pPr>
            <w:r w:rsidRPr="0011311A">
              <w:t>PN-EN 62305-1</w:t>
            </w:r>
            <w:r>
              <w:t>:2011</w:t>
            </w:r>
          </w:p>
          <w:p w:rsidR="0011311A" w:rsidRDefault="0011311A" w:rsidP="005817B9">
            <w:pPr>
              <w:pStyle w:val="Akapitzlist"/>
              <w:numPr>
                <w:ilvl w:val="0"/>
                <w:numId w:val="16"/>
              </w:numPr>
              <w:spacing w:after="120" w:line="276" w:lineRule="auto"/>
              <w:ind w:left="357" w:hanging="357"/>
              <w:contextualSpacing w:val="0"/>
            </w:pPr>
            <w:r w:rsidRPr="0011311A">
              <w:t>PN-EN 62305-</w:t>
            </w:r>
            <w:r>
              <w:t>2:2011</w:t>
            </w:r>
          </w:p>
        </w:tc>
      </w:tr>
      <w:tr w:rsidR="008053E6" w:rsidRPr="00521318" w:rsidTr="00380BB3">
        <w:tc>
          <w:tcPr>
            <w:tcW w:w="567" w:type="dxa"/>
          </w:tcPr>
          <w:p w:rsidR="008053E6" w:rsidRDefault="008053E6" w:rsidP="005817B9">
            <w:pPr>
              <w:pStyle w:val="Akapitzlist"/>
              <w:numPr>
                <w:ilvl w:val="0"/>
                <w:numId w:val="12"/>
              </w:numPr>
              <w:spacing w:after="120" w:line="276" w:lineRule="auto"/>
              <w:contextualSpacing w:val="0"/>
            </w:pPr>
          </w:p>
        </w:tc>
        <w:tc>
          <w:tcPr>
            <w:tcW w:w="9889" w:type="dxa"/>
          </w:tcPr>
          <w:p w:rsidR="008053E6" w:rsidRDefault="0034348E" w:rsidP="005817B9">
            <w:pPr>
              <w:tabs>
                <w:tab w:val="left" w:pos="1717"/>
              </w:tabs>
              <w:spacing w:after="120" w:line="276" w:lineRule="auto"/>
            </w:pPr>
            <w:r w:rsidRPr="0034348E">
              <w:t>Zadanie dotyczy budynków znajdujących się w następujących lokalizacjach:</w:t>
            </w:r>
          </w:p>
          <w:p w:rsidR="0034348E" w:rsidRPr="002045C8" w:rsidRDefault="002045C8" w:rsidP="005817B9">
            <w:pPr>
              <w:pStyle w:val="Akapitzlist"/>
              <w:numPr>
                <w:ilvl w:val="0"/>
                <w:numId w:val="17"/>
              </w:numPr>
              <w:tabs>
                <w:tab w:val="left" w:pos="1717"/>
              </w:tabs>
              <w:spacing w:after="120" w:line="276" w:lineRule="auto"/>
              <w:contextualSpacing w:val="0"/>
              <w:rPr>
                <w:b/>
                <w:bCs/>
              </w:rPr>
            </w:pPr>
            <w:r>
              <w:rPr>
                <w:b/>
                <w:bCs/>
              </w:rPr>
              <w:t xml:space="preserve">ul. </w:t>
            </w:r>
            <w:r w:rsidR="0034348E" w:rsidRPr="002045C8">
              <w:rPr>
                <w:b/>
                <w:bCs/>
              </w:rPr>
              <w:t>Szosa Bydgoska 1, 87-100 Toruń</w:t>
            </w:r>
            <w:r w:rsidRPr="002045C8">
              <w:rPr>
                <w:b/>
                <w:bCs/>
              </w:rPr>
              <w:t xml:space="preserve"> – powierzchnia dachów: 1.000,00 m</w:t>
            </w:r>
            <w:r w:rsidRPr="002045C8">
              <w:rPr>
                <w:b/>
                <w:bCs/>
                <w:vertAlign w:val="superscript"/>
              </w:rPr>
              <w:t>2</w:t>
            </w:r>
          </w:p>
          <w:p w:rsidR="0034348E" w:rsidRDefault="0034348E" w:rsidP="005817B9">
            <w:pPr>
              <w:pStyle w:val="Akapitzlist"/>
              <w:numPr>
                <w:ilvl w:val="0"/>
                <w:numId w:val="18"/>
              </w:numPr>
              <w:tabs>
                <w:tab w:val="left" w:pos="1717"/>
              </w:tabs>
              <w:spacing w:after="120" w:line="276" w:lineRule="auto"/>
              <w:contextualSpacing w:val="0"/>
            </w:pPr>
            <w:r w:rsidRPr="0034348E">
              <w:t>Wojewódzka Poradnia Terapii Uzależnień i Współuzależnienia</w:t>
            </w:r>
          </w:p>
          <w:p w:rsidR="0034348E" w:rsidRDefault="0034348E" w:rsidP="005817B9">
            <w:pPr>
              <w:pStyle w:val="Akapitzlist"/>
              <w:numPr>
                <w:ilvl w:val="0"/>
                <w:numId w:val="18"/>
              </w:numPr>
              <w:tabs>
                <w:tab w:val="left" w:pos="1717"/>
              </w:tabs>
              <w:spacing w:after="120" w:line="276" w:lineRule="auto"/>
              <w:contextualSpacing w:val="0"/>
            </w:pPr>
            <w:r w:rsidRPr="0034348E">
              <w:t>Oddział Dzienny Odwykowy</w:t>
            </w:r>
          </w:p>
          <w:p w:rsidR="0034348E" w:rsidRDefault="0034348E" w:rsidP="005817B9">
            <w:pPr>
              <w:pStyle w:val="Akapitzlist"/>
              <w:numPr>
                <w:ilvl w:val="0"/>
                <w:numId w:val="18"/>
              </w:numPr>
              <w:tabs>
                <w:tab w:val="left" w:pos="1717"/>
              </w:tabs>
              <w:spacing w:after="120" w:line="276" w:lineRule="auto"/>
              <w:contextualSpacing w:val="0"/>
            </w:pPr>
            <w:r>
              <w:t>O</w:t>
            </w:r>
            <w:r w:rsidRPr="0034348E">
              <w:t>ddział Krótkoterminowej Terapii Uzależnień</w:t>
            </w:r>
          </w:p>
          <w:p w:rsidR="0034348E" w:rsidRDefault="0034348E" w:rsidP="005817B9">
            <w:pPr>
              <w:pStyle w:val="Akapitzlist"/>
              <w:numPr>
                <w:ilvl w:val="0"/>
                <w:numId w:val="18"/>
              </w:numPr>
              <w:tabs>
                <w:tab w:val="left" w:pos="1717"/>
              </w:tabs>
              <w:spacing w:after="120" w:line="276" w:lineRule="auto"/>
              <w:contextualSpacing w:val="0"/>
            </w:pPr>
            <w:r w:rsidRPr="0034348E">
              <w:t>Administracja</w:t>
            </w:r>
          </w:p>
          <w:p w:rsidR="0034348E" w:rsidRPr="002045C8" w:rsidRDefault="002045C8" w:rsidP="005817B9">
            <w:pPr>
              <w:pStyle w:val="Akapitzlist"/>
              <w:numPr>
                <w:ilvl w:val="0"/>
                <w:numId w:val="17"/>
              </w:numPr>
              <w:tabs>
                <w:tab w:val="left" w:pos="1717"/>
              </w:tabs>
              <w:spacing w:after="120" w:line="276" w:lineRule="auto"/>
              <w:contextualSpacing w:val="0"/>
              <w:rPr>
                <w:b/>
                <w:bCs/>
              </w:rPr>
            </w:pPr>
            <w:r>
              <w:rPr>
                <w:b/>
                <w:bCs/>
              </w:rPr>
              <w:t xml:space="preserve">ul. </w:t>
            </w:r>
            <w:r w:rsidR="0034348E" w:rsidRPr="002045C8">
              <w:rPr>
                <w:b/>
                <w:bCs/>
              </w:rPr>
              <w:t>Tramwajowa 2/4, 87-100 Toruń</w:t>
            </w:r>
            <w:r w:rsidRPr="002045C8">
              <w:rPr>
                <w:b/>
                <w:bCs/>
              </w:rPr>
              <w:t xml:space="preserve"> – powierzchnia dachów: 460,00 m</w:t>
            </w:r>
            <w:r w:rsidRPr="002045C8">
              <w:rPr>
                <w:b/>
                <w:bCs/>
                <w:vertAlign w:val="superscript"/>
              </w:rPr>
              <w:t>2</w:t>
            </w:r>
          </w:p>
          <w:p w:rsidR="0034348E" w:rsidRDefault="0034348E" w:rsidP="005817B9">
            <w:pPr>
              <w:pStyle w:val="Akapitzlist"/>
              <w:numPr>
                <w:ilvl w:val="0"/>
                <w:numId w:val="19"/>
              </w:numPr>
              <w:tabs>
                <w:tab w:val="left" w:pos="1717"/>
              </w:tabs>
              <w:spacing w:after="120" w:line="276" w:lineRule="auto"/>
              <w:contextualSpacing w:val="0"/>
            </w:pPr>
            <w:r w:rsidRPr="0034348E">
              <w:t>Ośrodek terapii Odwykowej Uzależnień</w:t>
            </w:r>
          </w:p>
          <w:p w:rsidR="0034348E" w:rsidRPr="002045C8" w:rsidRDefault="0034348E" w:rsidP="005817B9">
            <w:pPr>
              <w:pStyle w:val="Akapitzlist"/>
              <w:numPr>
                <w:ilvl w:val="0"/>
                <w:numId w:val="17"/>
              </w:numPr>
              <w:tabs>
                <w:tab w:val="left" w:pos="1717"/>
              </w:tabs>
              <w:spacing w:after="120" w:line="276" w:lineRule="auto"/>
              <w:contextualSpacing w:val="0"/>
              <w:rPr>
                <w:b/>
                <w:bCs/>
              </w:rPr>
            </w:pPr>
            <w:r w:rsidRPr="002045C8">
              <w:rPr>
                <w:b/>
                <w:bCs/>
              </w:rPr>
              <w:t>ul. Spacerowa 26 i 28, 87-100 Toruń</w:t>
            </w:r>
            <w:r w:rsidR="002045C8" w:rsidRPr="002045C8">
              <w:rPr>
                <w:b/>
                <w:bCs/>
              </w:rPr>
              <w:t xml:space="preserve"> – powierzchnia dachów: 1.120,00 m</w:t>
            </w:r>
            <w:r w:rsidR="002045C8" w:rsidRPr="002045C8">
              <w:rPr>
                <w:b/>
                <w:bCs/>
                <w:vertAlign w:val="superscript"/>
              </w:rPr>
              <w:t>2</w:t>
            </w:r>
          </w:p>
          <w:p w:rsidR="0034348E" w:rsidRDefault="0034348E" w:rsidP="005817B9">
            <w:pPr>
              <w:pStyle w:val="Akapitzlist"/>
              <w:numPr>
                <w:ilvl w:val="0"/>
                <w:numId w:val="19"/>
              </w:numPr>
              <w:tabs>
                <w:tab w:val="left" w:pos="1717"/>
              </w:tabs>
              <w:spacing w:after="120" w:line="276" w:lineRule="auto"/>
              <w:ind w:left="714" w:hanging="357"/>
              <w:contextualSpacing w:val="0"/>
            </w:pPr>
            <w:r w:rsidRPr="0034348E">
              <w:t xml:space="preserve">Oddział </w:t>
            </w:r>
            <w:r>
              <w:t>O</w:t>
            </w:r>
            <w:r w:rsidRPr="0034348E">
              <w:t>dwykowy Całodobowy</w:t>
            </w:r>
          </w:p>
        </w:tc>
      </w:tr>
      <w:tr w:rsidR="008053E6" w:rsidRPr="00521318" w:rsidTr="00107AB9">
        <w:tc>
          <w:tcPr>
            <w:tcW w:w="567" w:type="dxa"/>
          </w:tcPr>
          <w:p w:rsidR="008053E6" w:rsidRDefault="008053E6" w:rsidP="005817B9">
            <w:pPr>
              <w:pStyle w:val="Akapitzlist"/>
              <w:numPr>
                <w:ilvl w:val="0"/>
                <w:numId w:val="12"/>
              </w:numPr>
              <w:spacing w:after="120" w:line="276" w:lineRule="auto"/>
              <w:contextualSpacing w:val="0"/>
            </w:pPr>
          </w:p>
        </w:tc>
        <w:tc>
          <w:tcPr>
            <w:tcW w:w="9889" w:type="dxa"/>
          </w:tcPr>
          <w:p w:rsidR="0034348E" w:rsidRDefault="0034348E" w:rsidP="005817B9">
            <w:pPr>
              <w:spacing w:after="120" w:line="276" w:lineRule="auto"/>
            </w:pPr>
            <w:r>
              <w:t xml:space="preserve">Wszystkie nazwy własne elementów budowlanych, systemów urządzeń i wyposażenia, zostały użyte w niniejszym opracowaniu w celu określenia odpowiedniego standardu wykonania i wyposażenia budynku. Wykonawca ma prawo wnioskować o zastosowanie rozwiązań zamiennych, nieobniżających tego standardu. </w:t>
            </w:r>
          </w:p>
          <w:p w:rsidR="008053E6" w:rsidRDefault="0034348E" w:rsidP="005817B9">
            <w:pPr>
              <w:spacing w:after="120" w:line="276" w:lineRule="auto"/>
            </w:pPr>
            <w:r>
              <w:t>Wszelkie zmiany muszą uzyskać akceptację Zamawiającego.</w:t>
            </w:r>
          </w:p>
        </w:tc>
      </w:tr>
      <w:tr w:rsidR="008053E6" w:rsidRPr="00521318" w:rsidTr="000A1348">
        <w:tc>
          <w:tcPr>
            <w:tcW w:w="567" w:type="dxa"/>
          </w:tcPr>
          <w:p w:rsidR="008053E6" w:rsidRDefault="008053E6" w:rsidP="005817B9">
            <w:pPr>
              <w:pStyle w:val="Akapitzlist"/>
              <w:numPr>
                <w:ilvl w:val="0"/>
                <w:numId w:val="12"/>
              </w:numPr>
              <w:spacing w:after="120" w:line="276" w:lineRule="auto"/>
              <w:contextualSpacing w:val="0"/>
            </w:pPr>
          </w:p>
        </w:tc>
        <w:tc>
          <w:tcPr>
            <w:tcW w:w="9889" w:type="dxa"/>
          </w:tcPr>
          <w:p w:rsidR="008053E6" w:rsidRDefault="0034348E" w:rsidP="005817B9">
            <w:pPr>
              <w:spacing w:after="120" w:line="276" w:lineRule="auto"/>
            </w:pPr>
            <w:r w:rsidRPr="0034348E">
              <w:t>Zawarte w opisie nazwy materiałów, urządzeń, znaki towarowe, patenty, pochodzenie lub inne szczegółowe dane podano jako przykładowe określające ich standard techniczny i estetyczny. W realizacji dopuszcza się rozwiązania równoważne opisywanym oraz użycie innych materiałów równoważnych, które odpowiadają standardowi określonemu w opisie lub też standard ten podwyższają oraz spełniają wskazane parametry.</w:t>
            </w:r>
          </w:p>
        </w:tc>
      </w:tr>
      <w:tr w:rsidR="008053E6" w:rsidRPr="00521318" w:rsidTr="005506EB">
        <w:tc>
          <w:tcPr>
            <w:tcW w:w="567" w:type="dxa"/>
          </w:tcPr>
          <w:p w:rsidR="008053E6" w:rsidRDefault="008053E6" w:rsidP="005817B9">
            <w:pPr>
              <w:pStyle w:val="Akapitzlist"/>
              <w:numPr>
                <w:ilvl w:val="0"/>
                <w:numId w:val="12"/>
              </w:numPr>
              <w:spacing w:after="120" w:line="276" w:lineRule="auto"/>
              <w:contextualSpacing w:val="0"/>
            </w:pPr>
          </w:p>
        </w:tc>
        <w:tc>
          <w:tcPr>
            <w:tcW w:w="9889" w:type="dxa"/>
          </w:tcPr>
          <w:p w:rsidR="008053E6" w:rsidRDefault="0034348E" w:rsidP="005817B9">
            <w:pPr>
              <w:spacing w:after="120" w:line="276" w:lineRule="auto"/>
            </w:pPr>
            <w:r w:rsidRPr="0034348E">
              <w:t xml:space="preserve">Po wykonanych pracach, teren </w:t>
            </w:r>
            <w:r>
              <w:t xml:space="preserve">winien zostać przywrócony </w:t>
            </w:r>
            <w:r w:rsidRPr="0034348E">
              <w:t>do stanu pierwotnego</w:t>
            </w:r>
            <w:r w:rsidR="005817B9">
              <w:t>, ze szczególnym uwzględnieniem utylizacji odpadów w sposób zgodny z obowiązującymi przepisami</w:t>
            </w:r>
            <w:r w:rsidRPr="0034348E">
              <w:t>.</w:t>
            </w:r>
          </w:p>
        </w:tc>
      </w:tr>
      <w:tr w:rsidR="008053E6" w:rsidRPr="00521318" w:rsidTr="000C4820">
        <w:tc>
          <w:tcPr>
            <w:tcW w:w="10456" w:type="dxa"/>
            <w:gridSpan w:val="2"/>
          </w:tcPr>
          <w:p w:rsidR="008053E6" w:rsidRDefault="008053E6" w:rsidP="005817B9">
            <w:pPr>
              <w:spacing w:after="120" w:line="276" w:lineRule="auto"/>
            </w:pPr>
          </w:p>
        </w:tc>
      </w:tr>
    </w:tbl>
    <w:p w:rsidR="008053E6" w:rsidRDefault="008053E6" w:rsidP="005817B9">
      <w:pPr>
        <w:pStyle w:val="Nagwek1"/>
        <w:spacing w:after="120" w:line="276" w:lineRule="auto"/>
      </w:pPr>
      <w:r>
        <w:t>WYMAGANIA SZCZEGÓ</w:t>
      </w:r>
      <w:r w:rsidR="00B23768">
        <w:t>ŁOWE</w:t>
      </w:r>
      <w:r>
        <w:t>:</w:t>
      </w:r>
    </w:p>
    <w:p w:rsidR="00C040CA" w:rsidRPr="00F804C1" w:rsidRDefault="007947D1" w:rsidP="005817B9">
      <w:pPr>
        <w:pStyle w:val="Nagwek2"/>
        <w:spacing w:after="120" w:line="276" w:lineRule="auto"/>
      </w:pPr>
      <w:r w:rsidRPr="007947D1">
        <w:t>Opis stanu istniejącego</w:t>
      </w:r>
    </w:p>
    <w:p w:rsidR="00C040CA" w:rsidRDefault="007947D1" w:rsidP="005817B9">
      <w:pPr>
        <w:spacing w:after="120" w:line="276" w:lineRule="auto"/>
      </w:pPr>
      <w:r w:rsidRPr="007947D1">
        <w:t>Na wskazanych budynkach jest wykonana obecnie instalacja odgromowa znajdująca się w dużej mierze w bardzo złym stanie technicznym. Zwody poziome są pozrywane i leżą na dachu budynku lub zostały kompletnie zdemontowane. Większość zastanych przewodów jest skorodowana. Przewody odprowadzające w wielu miejscach nie są podłączone z siatką zwodów poziomych. W pobliżu kominów i wentylatorów dachowych brakuje masztów lub iglic ochronnych.</w:t>
      </w:r>
    </w:p>
    <w:p w:rsidR="007947D1" w:rsidRPr="007947D1" w:rsidRDefault="007947D1" w:rsidP="005817B9">
      <w:pPr>
        <w:spacing w:after="120" w:line="276" w:lineRule="auto"/>
      </w:pPr>
    </w:p>
    <w:p w:rsidR="009001F2" w:rsidRDefault="007947D1" w:rsidP="005817B9">
      <w:pPr>
        <w:pStyle w:val="Nagwek2"/>
        <w:spacing w:after="120" w:line="276" w:lineRule="auto"/>
      </w:pPr>
      <w:r w:rsidRPr="007947D1">
        <w:t>Instalacja odgromowa</w:t>
      </w:r>
    </w:p>
    <w:p w:rsidR="007947D1" w:rsidRPr="007947D1" w:rsidRDefault="007947D1" w:rsidP="005817B9">
      <w:pPr>
        <w:spacing w:after="120" w:line="276" w:lineRule="auto"/>
      </w:pPr>
      <w:r w:rsidRPr="007947D1">
        <w:t xml:space="preserve">Instalację należy wykonać w postaci siatki nieizolowanych zwodów poziomych drutem Fe/Zn Ø8mm ułożonym na uchwytach betonowych w tworzywie. Uchwyt kleić do podłoża za pomocą odpowiednich klejów. </w:t>
      </w:r>
    </w:p>
    <w:p w:rsidR="007947D1" w:rsidRPr="007947D1" w:rsidRDefault="007947D1" w:rsidP="005817B9">
      <w:pPr>
        <w:spacing w:after="120" w:line="276" w:lineRule="auto"/>
      </w:pPr>
      <w:r w:rsidRPr="007947D1">
        <w:t>Na świetlikach dachowych drut prowadzić na wspornikach szczytowych ocynkowanych.</w:t>
      </w:r>
    </w:p>
    <w:p w:rsidR="007947D1" w:rsidRPr="007947D1" w:rsidRDefault="007947D1" w:rsidP="005817B9">
      <w:pPr>
        <w:spacing w:after="120" w:line="276" w:lineRule="auto"/>
      </w:pPr>
      <w:r w:rsidRPr="007947D1">
        <w:t>Drut do szczytu świetlików prowadzić na wspornikach uniwersalnych ocynkowanych.</w:t>
      </w:r>
    </w:p>
    <w:p w:rsidR="007947D1" w:rsidRPr="007947D1" w:rsidRDefault="007947D1" w:rsidP="005817B9">
      <w:pPr>
        <w:spacing w:after="120" w:line="276" w:lineRule="auto"/>
      </w:pPr>
      <w:r w:rsidRPr="007947D1">
        <w:t>Wsporniki szczytowe i uniwersalne mocować za pomocą wkrętów farmerskich.</w:t>
      </w:r>
    </w:p>
    <w:p w:rsidR="007947D1" w:rsidRPr="007947D1" w:rsidRDefault="007947D1" w:rsidP="005817B9">
      <w:pPr>
        <w:spacing w:after="120" w:line="276" w:lineRule="auto"/>
      </w:pPr>
      <w:r w:rsidRPr="007947D1">
        <w:t xml:space="preserve">W pobliżu kominów oraz wentylatorów dachowych stosować maszty odgromowe na pojedynczej stopie betonowej. </w:t>
      </w:r>
    </w:p>
    <w:p w:rsidR="007947D1" w:rsidRPr="007947D1" w:rsidRDefault="007947D1" w:rsidP="005817B9">
      <w:pPr>
        <w:spacing w:after="120" w:line="276" w:lineRule="auto"/>
      </w:pPr>
      <w:r w:rsidRPr="007947D1">
        <w:t xml:space="preserve">Maszty wyposażone </w:t>
      </w:r>
      <w:r w:rsidR="00180E18">
        <w:t xml:space="preserve">w </w:t>
      </w:r>
      <w:r w:rsidRPr="007947D1">
        <w:t xml:space="preserve">podstawy betonowe (od 1 do </w:t>
      </w:r>
      <w:r w:rsidR="00180E18">
        <w:t xml:space="preserve">4 </w:t>
      </w:r>
      <w:r w:rsidRPr="007947D1">
        <w:t xml:space="preserve"> w zależności od wysokości) o masie 16kg, zacisk przyłączeniowy do drutu odgromowego oraz w zestaw regulacyjny umożliwiający pionizowanie masztu. Odstęp izolacyjny pomiędzy masztem a elementem chronionym wynosi 0,5m.</w:t>
      </w:r>
    </w:p>
    <w:p w:rsidR="007947D1" w:rsidRPr="007947D1" w:rsidRDefault="007947D1" w:rsidP="005817B9">
      <w:pPr>
        <w:spacing w:after="120" w:line="276" w:lineRule="auto"/>
      </w:pPr>
      <w:r w:rsidRPr="007947D1">
        <w:t>Przewody na dachu budynku łączyć poprzez zaciski krzyżowe.</w:t>
      </w:r>
    </w:p>
    <w:p w:rsidR="007947D1" w:rsidRPr="007947D1" w:rsidRDefault="00180E18" w:rsidP="005817B9">
      <w:pPr>
        <w:spacing w:after="120" w:line="276" w:lineRule="auto"/>
      </w:pPr>
      <w:r>
        <w:t>Do ułożenia p</w:t>
      </w:r>
      <w:r w:rsidR="007947D1" w:rsidRPr="007947D1">
        <w:t>rzewod</w:t>
      </w:r>
      <w:r>
        <w:t>ów</w:t>
      </w:r>
      <w:r w:rsidR="007947D1" w:rsidRPr="007947D1">
        <w:t xml:space="preserve"> odprowadzając</w:t>
      </w:r>
      <w:r>
        <w:t xml:space="preserve">ychużyć </w:t>
      </w:r>
      <w:r w:rsidR="007947D1" w:rsidRPr="007947D1">
        <w:t>drut</w:t>
      </w:r>
      <w:r>
        <w:t>u</w:t>
      </w:r>
      <w:r w:rsidR="007947D1" w:rsidRPr="007947D1">
        <w:t xml:space="preserve"> Fe/Zn Ø8mm </w:t>
      </w:r>
      <w:r>
        <w:t xml:space="preserve">przytwierdzonego do </w:t>
      </w:r>
      <w:r w:rsidR="007947D1" w:rsidRPr="007947D1">
        <w:t>ścian</w:t>
      </w:r>
      <w:r>
        <w:t>y</w:t>
      </w:r>
      <w:r w:rsidR="007947D1" w:rsidRPr="007947D1">
        <w:t xml:space="preserve"> za pomocą uchwytów do drutu z kołkiem. Zaciski kontrolne umieścić na ścianie na wysokości 0,6 - 1,4m lub umieścić w podłożu i zabezpieczyć studzienk</w:t>
      </w:r>
      <w:r w:rsidR="00742F8F">
        <w:t>ą</w:t>
      </w:r>
      <w:r w:rsidR="007947D1" w:rsidRPr="007947D1">
        <w:t xml:space="preserve"> uziomową 200x200.  Zakłada się połączenie z istniejącą instalacją uziemiającą budynków (zejścia w miejscu istniejących zwodów). W przypadku nowych lokalizacji zwodów z istniejącego uziomu otokowego wyprowadzić bednarki Fe/Zn 30x4mm połączone z istniejącym uziomem poprzez spawanie.</w:t>
      </w:r>
    </w:p>
    <w:p w:rsidR="007947D1" w:rsidRPr="007947D1" w:rsidRDefault="007947D1" w:rsidP="005817B9">
      <w:pPr>
        <w:spacing w:after="120" w:line="276" w:lineRule="auto"/>
      </w:pPr>
      <w:r w:rsidRPr="007947D1">
        <w:t>Jeśli zajdzie potrzeba wokół budynku wykonać uziom otokowy wykonany z bednarki Fe/Zn30x4mm. Uziom układać na głębokości 0,8m w odległości 1m od fundamentów.</w:t>
      </w:r>
    </w:p>
    <w:p w:rsidR="007947D1" w:rsidRPr="007947D1" w:rsidRDefault="007947D1" w:rsidP="005817B9">
      <w:pPr>
        <w:spacing w:after="120" w:line="276" w:lineRule="auto"/>
      </w:pPr>
      <w:r w:rsidRPr="007947D1">
        <w:t>Rezystancja instalacji odgromowej R ≤ 10 Ω.</w:t>
      </w:r>
    </w:p>
    <w:p w:rsidR="00B23768" w:rsidRPr="007947D1" w:rsidRDefault="007947D1" w:rsidP="005817B9">
      <w:pPr>
        <w:spacing w:after="120" w:line="276" w:lineRule="auto"/>
      </w:pPr>
      <w:r w:rsidRPr="007947D1">
        <w:t>W celu skutecznego zrealizowania zamówienia przewidziane zostało do zdjęcia lub skucia około 350m</w:t>
      </w:r>
      <w:r w:rsidRPr="00742F8F">
        <w:rPr>
          <w:vertAlign w:val="superscript"/>
        </w:rPr>
        <w:t>2</w:t>
      </w:r>
      <w:r w:rsidRPr="007947D1">
        <w:t xml:space="preserve"> powierzchni pokrytej obecnie kostką lub wylewka betonową. W ramach realizacji zadania należy odtworzyć skute otoki i przywrócić je do stanu sprzed realizacji zamówienia.</w:t>
      </w:r>
    </w:p>
    <w:p w:rsidR="00B23768" w:rsidRDefault="00742F8F" w:rsidP="005817B9">
      <w:pPr>
        <w:pStyle w:val="Nagwek2"/>
        <w:spacing w:after="120" w:line="276" w:lineRule="auto"/>
      </w:pPr>
      <w:r w:rsidRPr="00742F8F">
        <w:t>Uzupełnienie pokrycia dachowego</w:t>
      </w:r>
    </w:p>
    <w:p w:rsidR="00B23768" w:rsidRPr="00742F8F" w:rsidRDefault="00742F8F" w:rsidP="005817B9">
      <w:pPr>
        <w:spacing w:after="120" w:line="276" w:lineRule="auto"/>
      </w:pPr>
      <w:r w:rsidRPr="00742F8F">
        <w:t>W ramach zamówienia należy uzupełnić pokrycie dachowe papą zgrzewalną zbieżną z zastosowaną na dachach poszczególnych budynków w miejscach występowania aktywnych przecieków oraz w miejscach objętych pracami instalacyjnymi. Przewidywana łączna powierzchnia pokrycia dachowego do uzupełnienia we wszystkich wskazanych lokalizacjach wynosi 300m</w:t>
      </w:r>
      <w:r w:rsidRPr="00742F8F">
        <w:rPr>
          <w:vertAlign w:val="superscript"/>
        </w:rPr>
        <w:t>2</w:t>
      </w:r>
    </w:p>
    <w:p w:rsidR="00595052" w:rsidRPr="00B23768" w:rsidRDefault="00595052" w:rsidP="005817B9">
      <w:pPr>
        <w:spacing w:after="120" w:line="276" w:lineRule="auto"/>
        <w:rPr>
          <w:b/>
          <w:bCs/>
        </w:rPr>
      </w:pPr>
    </w:p>
    <w:p w:rsidR="00B23768" w:rsidRPr="00742F8F" w:rsidRDefault="00742F8F" w:rsidP="005817B9">
      <w:pPr>
        <w:pStyle w:val="Nagwek1"/>
        <w:spacing w:after="120" w:line="276" w:lineRule="auto"/>
      </w:pPr>
      <w:r w:rsidRPr="00742F8F">
        <w:lastRenderedPageBreak/>
        <w:t>UWAGI KOŃCOWE</w:t>
      </w:r>
    </w:p>
    <w:p w:rsidR="00742F8F" w:rsidRDefault="00742F8F" w:rsidP="005817B9">
      <w:pPr>
        <w:spacing w:after="120" w:line="276" w:lineRule="auto"/>
      </w:pPr>
      <w:r>
        <w:t>Całość robót wykonać zgodnie z prawem budowlanym oraz obowiązującymi normami.</w:t>
      </w:r>
    </w:p>
    <w:p w:rsidR="00742F8F" w:rsidRDefault="00742F8F" w:rsidP="005817B9">
      <w:pPr>
        <w:spacing w:after="120" w:line="276" w:lineRule="auto"/>
      </w:pPr>
      <w:r>
        <w:t>W przypadku, kiedy do prawidłowej realizacji zadania niezbędne będzie opracowanie dokumentacji projektowej przygotowanej przez projektantów odpowiedniej specjalności oraz konieczne będzie uzyskanie pozwolenia na budowę bądź zgłoszenia robót, wykonawca dokona niniejszych czynności we własnym zakresie.</w:t>
      </w:r>
    </w:p>
    <w:p w:rsidR="000A4E4F" w:rsidRPr="000A4E4F" w:rsidRDefault="00742F8F" w:rsidP="005817B9">
      <w:pPr>
        <w:spacing w:after="120" w:line="276" w:lineRule="auto"/>
      </w:pPr>
      <w:r>
        <w:t xml:space="preserve">Aparatura i urządzenia elektroenergetyczne powinny posiadać certyfikaty stwierdzające o dopuszczeniu do stosowania w </w:t>
      </w:r>
      <w:r w:rsidR="00D17B73">
        <w:t xml:space="preserve">RP </w:t>
      </w:r>
      <w:r>
        <w:t xml:space="preserve">lub gdy nie podlegają temu obowiązkowi, atesty bezpieczeństwa i higieniczne oraz deklarację zgodności z obowiązującymi normami i wymaganiami właściwych przepisów, stanowiące podstawę dopuszczenia do stosowania na terenie </w:t>
      </w:r>
      <w:r w:rsidR="00D17B73">
        <w:t>RP</w:t>
      </w:r>
      <w:r>
        <w:t>.</w:t>
      </w:r>
    </w:p>
    <w:sectPr w:rsidR="000A4E4F" w:rsidRPr="000A4E4F" w:rsidSect="00AA1C27">
      <w:footerReference w:type="default" r:id="rId8"/>
      <w:headerReference w:type="first" r:id="rId9"/>
      <w:footerReference w:type="first" r:id="rId10"/>
      <w:pgSz w:w="11906" w:h="16838"/>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110D" w:rsidRDefault="0045110D" w:rsidP="00521318">
      <w:r>
        <w:separator/>
      </w:r>
    </w:p>
    <w:p w:rsidR="0045110D" w:rsidRDefault="0045110D" w:rsidP="00521318"/>
    <w:p w:rsidR="0045110D" w:rsidRDefault="0045110D" w:rsidP="00521318"/>
  </w:endnote>
  <w:endnote w:type="continuationSeparator" w:id="1">
    <w:p w:rsidR="0045110D" w:rsidRDefault="0045110D" w:rsidP="00521318">
      <w:r>
        <w:continuationSeparator/>
      </w:r>
    </w:p>
    <w:p w:rsidR="0045110D" w:rsidRDefault="0045110D" w:rsidP="00521318"/>
    <w:p w:rsidR="0045110D" w:rsidRDefault="0045110D" w:rsidP="00521318"/>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9210841"/>
      <w:docPartObj>
        <w:docPartGallery w:val="Page Numbers (Bottom of Page)"/>
        <w:docPartUnique/>
      </w:docPartObj>
    </w:sdtPr>
    <w:sdtContent>
      <w:p w:rsidR="00AA1C27" w:rsidRDefault="00AA1C27" w:rsidP="00C02804">
        <w:pPr>
          <w:pStyle w:val="Stopka"/>
          <w:jc w:val="center"/>
        </w:pPr>
        <w:r>
          <w:t xml:space="preserve">Strona | </w:t>
        </w:r>
        <w:r w:rsidR="007F71C4">
          <w:fldChar w:fldCharType="begin"/>
        </w:r>
        <w:r>
          <w:instrText>PAGE   \* MERGEFORMAT</w:instrText>
        </w:r>
        <w:r w:rsidR="007F71C4">
          <w:fldChar w:fldCharType="separate"/>
        </w:r>
        <w:r w:rsidR="00397B27">
          <w:rPr>
            <w:noProof/>
          </w:rPr>
          <w:t>3</w:t>
        </w:r>
        <w:r w:rsidR="007F71C4">
          <w:fldChar w:fldCharType="end"/>
        </w:r>
        <w:r>
          <w:t xml:space="preserve"> z </w:t>
        </w:r>
        <w:fldSimple w:instr=" NUMPAGES   \* MERGEFORMAT ">
          <w:r w:rsidR="00397B27">
            <w:rPr>
              <w:noProof/>
            </w:rPr>
            <w:t>3</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9431738"/>
      <w:docPartObj>
        <w:docPartGallery w:val="Page Numbers (Bottom of Page)"/>
        <w:docPartUnique/>
      </w:docPartObj>
    </w:sdtPr>
    <w:sdtContent>
      <w:p w:rsidR="00AA1C27" w:rsidRPr="00D60FAE" w:rsidRDefault="00D60FAE" w:rsidP="00D60FAE">
        <w:pPr>
          <w:pStyle w:val="Stopka"/>
          <w:jc w:val="center"/>
        </w:pPr>
        <w:r>
          <w:t xml:space="preserve">Strona | </w:t>
        </w:r>
        <w:r w:rsidR="007F71C4">
          <w:fldChar w:fldCharType="begin"/>
        </w:r>
        <w:r>
          <w:instrText>PAGE   \* MERGEFORMAT</w:instrText>
        </w:r>
        <w:r w:rsidR="007F71C4">
          <w:fldChar w:fldCharType="separate"/>
        </w:r>
        <w:r w:rsidR="00397B27">
          <w:rPr>
            <w:noProof/>
          </w:rPr>
          <w:t>1</w:t>
        </w:r>
        <w:r w:rsidR="007F71C4">
          <w:fldChar w:fldCharType="end"/>
        </w:r>
        <w:r>
          <w:t xml:space="preserve"> z </w:t>
        </w:r>
        <w:fldSimple w:instr=" NUMPAGES   \* MERGEFORMAT ">
          <w:r w:rsidR="00397B27">
            <w:rPr>
              <w:noProof/>
            </w:rPr>
            <w:t>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110D" w:rsidRDefault="0045110D" w:rsidP="00521318">
      <w:r>
        <w:separator/>
      </w:r>
    </w:p>
    <w:p w:rsidR="0045110D" w:rsidRDefault="0045110D" w:rsidP="00521318"/>
    <w:p w:rsidR="0045110D" w:rsidRDefault="0045110D" w:rsidP="00521318"/>
  </w:footnote>
  <w:footnote w:type="continuationSeparator" w:id="1">
    <w:p w:rsidR="0045110D" w:rsidRDefault="0045110D" w:rsidP="00521318">
      <w:r>
        <w:continuationSeparator/>
      </w:r>
    </w:p>
    <w:p w:rsidR="0045110D" w:rsidRDefault="0045110D" w:rsidP="00521318"/>
    <w:p w:rsidR="0045110D" w:rsidRDefault="0045110D" w:rsidP="0052131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B66" w:rsidRDefault="00FA2B66" w:rsidP="00FA2B66">
    <w:pPr>
      <w:pStyle w:val="Nagwek"/>
      <w:jc w:val="right"/>
      <w:rPr>
        <w:b/>
        <w:bCs/>
      </w:rPr>
    </w:pPr>
    <w:r w:rsidRPr="00FA2B66">
      <w:rPr>
        <w:b/>
        <w:bCs/>
      </w:rPr>
      <w:t xml:space="preserve">ZAŁĄCZNIK NR </w:t>
    </w:r>
    <w:r w:rsidR="008053E6">
      <w:rPr>
        <w:b/>
        <w:bCs/>
      </w:rPr>
      <w:t>1</w:t>
    </w:r>
  </w:p>
  <w:p w:rsidR="00FA2B66" w:rsidRPr="00FA2B66" w:rsidRDefault="00FA2B66" w:rsidP="00FA2B66">
    <w:pPr>
      <w:pStyle w:val="Nagwek"/>
      <w:jc w:val="right"/>
    </w:pPr>
    <w:r w:rsidRPr="00FA2B66">
      <w:t>do specyfikacji warunków zamówienia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1401"/>
    <w:multiLevelType w:val="hybridMultilevel"/>
    <w:tmpl w:val="30E895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24660EF2"/>
    <w:multiLevelType w:val="hybridMultilevel"/>
    <w:tmpl w:val="17D0FAE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24C562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C007D4C"/>
    <w:multiLevelType w:val="hybridMultilevel"/>
    <w:tmpl w:val="7F901DE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8D13B1"/>
    <w:multiLevelType w:val="multilevel"/>
    <w:tmpl w:val="156AED20"/>
    <w:lvl w:ilvl="0">
      <w:start w:val="1"/>
      <w:numFmt w:val="decimal"/>
      <w:pStyle w:val="Bezodstpw"/>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29865AD"/>
    <w:multiLevelType w:val="hybridMultilevel"/>
    <w:tmpl w:val="CF5EC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5EF532F9"/>
    <w:multiLevelType w:val="hybridMultilevel"/>
    <w:tmpl w:val="552C0D3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63AF7F70"/>
    <w:multiLevelType w:val="hybridMultilevel"/>
    <w:tmpl w:val="A24CAE4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96173B3"/>
    <w:multiLevelType w:val="hybridMultilevel"/>
    <w:tmpl w:val="D474E64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77055B92"/>
    <w:multiLevelType w:val="hybridMultilevel"/>
    <w:tmpl w:val="F9C6C6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7AA7921"/>
    <w:multiLevelType w:val="hybridMultilevel"/>
    <w:tmpl w:val="83F25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4"/>
  </w:num>
  <w:num w:numId="14">
    <w:abstractNumId w:val="9"/>
  </w:num>
  <w:num w:numId="15">
    <w:abstractNumId w:val="7"/>
  </w:num>
  <w:num w:numId="16">
    <w:abstractNumId w:val="1"/>
  </w:num>
  <w:num w:numId="17">
    <w:abstractNumId w:val="3"/>
  </w:num>
  <w:num w:numId="18">
    <w:abstractNumId w:val="11"/>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forms" w:enforcement="0"/>
  <w:defaultTabStop w:val="709"/>
  <w:hyphenationZone w:val="425"/>
  <w:characterSpacingControl w:val="doNotCompress"/>
  <w:hdrShapeDefaults>
    <o:shapedefaults v:ext="edit" spidmax="4098"/>
  </w:hdrShapeDefaults>
  <w:footnotePr>
    <w:footnote w:id="0"/>
    <w:footnote w:id="1"/>
  </w:footnotePr>
  <w:endnotePr>
    <w:endnote w:id="0"/>
    <w:endnote w:id="1"/>
  </w:endnotePr>
  <w:compat/>
  <w:rsids>
    <w:rsidRoot w:val="00DF3792"/>
    <w:rsid w:val="00003537"/>
    <w:rsid w:val="00034EAD"/>
    <w:rsid w:val="00040BA6"/>
    <w:rsid w:val="000A4E4F"/>
    <w:rsid w:val="000C0592"/>
    <w:rsid w:val="000D09C8"/>
    <w:rsid w:val="000D5079"/>
    <w:rsid w:val="000F6414"/>
    <w:rsid w:val="00104F6F"/>
    <w:rsid w:val="0011311A"/>
    <w:rsid w:val="00137C8F"/>
    <w:rsid w:val="001424E0"/>
    <w:rsid w:val="0014512C"/>
    <w:rsid w:val="00157D74"/>
    <w:rsid w:val="00157F49"/>
    <w:rsid w:val="001720B5"/>
    <w:rsid w:val="00180E18"/>
    <w:rsid w:val="00180E56"/>
    <w:rsid w:val="001B640B"/>
    <w:rsid w:val="001F6EBF"/>
    <w:rsid w:val="002045C8"/>
    <w:rsid w:val="0022636E"/>
    <w:rsid w:val="002333DD"/>
    <w:rsid w:val="002506E6"/>
    <w:rsid w:val="002972AA"/>
    <w:rsid w:val="002B3F1D"/>
    <w:rsid w:val="002C043D"/>
    <w:rsid w:val="002D4A9C"/>
    <w:rsid w:val="003067E9"/>
    <w:rsid w:val="0032661D"/>
    <w:rsid w:val="0034348E"/>
    <w:rsid w:val="00350CEB"/>
    <w:rsid w:val="0039572B"/>
    <w:rsid w:val="00397B27"/>
    <w:rsid w:val="003A3217"/>
    <w:rsid w:val="003E11ED"/>
    <w:rsid w:val="00433110"/>
    <w:rsid w:val="00434C11"/>
    <w:rsid w:val="00446777"/>
    <w:rsid w:val="0045110D"/>
    <w:rsid w:val="00464981"/>
    <w:rsid w:val="0048607A"/>
    <w:rsid w:val="004C0BC9"/>
    <w:rsid w:val="004C5F98"/>
    <w:rsid w:val="004E33CB"/>
    <w:rsid w:val="00521318"/>
    <w:rsid w:val="00554D2E"/>
    <w:rsid w:val="00556FE5"/>
    <w:rsid w:val="005817B9"/>
    <w:rsid w:val="0059257F"/>
    <w:rsid w:val="00595052"/>
    <w:rsid w:val="005B2B57"/>
    <w:rsid w:val="005E26B8"/>
    <w:rsid w:val="006017BF"/>
    <w:rsid w:val="0062079C"/>
    <w:rsid w:val="0063172F"/>
    <w:rsid w:val="0066752E"/>
    <w:rsid w:val="00676F5E"/>
    <w:rsid w:val="00690998"/>
    <w:rsid w:val="006955E7"/>
    <w:rsid w:val="00697811"/>
    <w:rsid w:val="006A0859"/>
    <w:rsid w:val="006A5107"/>
    <w:rsid w:val="006A5596"/>
    <w:rsid w:val="006B14BD"/>
    <w:rsid w:val="006C384C"/>
    <w:rsid w:val="006D6F00"/>
    <w:rsid w:val="006D7DCA"/>
    <w:rsid w:val="006E6D83"/>
    <w:rsid w:val="006F01AC"/>
    <w:rsid w:val="006F4008"/>
    <w:rsid w:val="006F432F"/>
    <w:rsid w:val="007230C4"/>
    <w:rsid w:val="00742F8F"/>
    <w:rsid w:val="00794054"/>
    <w:rsid w:val="00794598"/>
    <w:rsid w:val="007947D1"/>
    <w:rsid w:val="007B693D"/>
    <w:rsid w:val="007E2323"/>
    <w:rsid w:val="007F4017"/>
    <w:rsid w:val="007F71C4"/>
    <w:rsid w:val="008053E6"/>
    <w:rsid w:val="008209B8"/>
    <w:rsid w:val="00822813"/>
    <w:rsid w:val="0082622B"/>
    <w:rsid w:val="00835851"/>
    <w:rsid w:val="008541F5"/>
    <w:rsid w:val="00855570"/>
    <w:rsid w:val="008640B1"/>
    <w:rsid w:val="00871953"/>
    <w:rsid w:val="008A7C2D"/>
    <w:rsid w:val="008B077C"/>
    <w:rsid w:val="008C2240"/>
    <w:rsid w:val="008F2C53"/>
    <w:rsid w:val="009001F2"/>
    <w:rsid w:val="00960011"/>
    <w:rsid w:val="00962EA1"/>
    <w:rsid w:val="0096498B"/>
    <w:rsid w:val="00967717"/>
    <w:rsid w:val="00983A6D"/>
    <w:rsid w:val="00991E1F"/>
    <w:rsid w:val="009967E7"/>
    <w:rsid w:val="009A4C3D"/>
    <w:rsid w:val="009A6712"/>
    <w:rsid w:val="009B2A70"/>
    <w:rsid w:val="009C1504"/>
    <w:rsid w:val="009C1BBF"/>
    <w:rsid w:val="009C2AB9"/>
    <w:rsid w:val="00A056BE"/>
    <w:rsid w:val="00A26529"/>
    <w:rsid w:val="00A33E1C"/>
    <w:rsid w:val="00A5348F"/>
    <w:rsid w:val="00A64D77"/>
    <w:rsid w:val="00A66497"/>
    <w:rsid w:val="00A87DE7"/>
    <w:rsid w:val="00AA1C27"/>
    <w:rsid w:val="00AB6684"/>
    <w:rsid w:val="00AC1238"/>
    <w:rsid w:val="00AC2EB1"/>
    <w:rsid w:val="00AF159C"/>
    <w:rsid w:val="00B16246"/>
    <w:rsid w:val="00B23768"/>
    <w:rsid w:val="00B515FE"/>
    <w:rsid w:val="00B64C97"/>
    <w:rsid w:val="00C02804"/>
    <w:rsid w:val="00C040CA"/>
    <w:rsid w:val="00C66CEC"/>
    <w:rsid w:val="00C72E8C"/>
    <w:rsid w:val="00C745A7"/>
    <w:rsid w:val="00C93ECC"/>
    <w:rsid w:val="00CB7CE0"/>
    <w:rsid w:val="00CD39FB"/>
    <w:rsid w:val="00D15A7E"/>
    <w:rsid w:val="00D17B73"/>
    <w:rsid w:val="00D31C12"/>
    <w:rsid w:val="00D53D67"/>
    <w:rsid w:val="00D60FAE"/>
    <w:rsid w:val="00D76B12"/>
    <w:rsid w:val="00D77038"/>
    <w:rsid w:val="00DB0F9E"/>
    <w:rsid w:val="00DF3792"/>
    <w:rsid w:val="00E12D61"/>
    <w:rsid w:val="00E16543"/>
    <w:rsid w:val="00E212F7"/>
    <w:rsid w:val="00E31091"/>
    <w:rsid w:val="00E426B4"/>
    <w:rsid w:val="00E56F78"/>
    <w:rsid w:val="00E62886"/>
    <w:rsid w:val="00E95FEF"/>
    <w:rsid w:val="00EC0741"/>
    <w:rsid w:val="00EC4964"/>
    <w:rsid w:val="00ED39C3"/>
    <w:rsid w:val="00EE4DCF"/>
    <w:rsid w:val="00EF1887"/>
    <w:rsid w:val="00F16F28"/>
    <w:rsid w:val="00F33C11"/>
    <w:rsid w:val="00F419DB"/>
    <w:rsid w:val="00F42568"/>
    <w:rsid w:val="00F44229"/>
    <w:rsid w:val="00F804C1"/>
    <w:rsid w:val="00FA2B66"/>
    <w:rsid w:val="00FA4F1F"/>
    <w:rsid w:val="00FC782B"/>
    <w:rsid w:val="00FD772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20" w:line="24"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56BE"/>
    <w:pPr>
      <w:spacing w:after="0" w:line="240" w:lineRule="auto"/>
      <w:jc w:val="both"/>
    </w:pPr>
  </w:style>
  <w:style w:type="paragraph" w:styleId="Nagwek1">
    <w:name w:val="heading 1"/>
    <w:basedOn w:val="Normalny"/>
    <w:next w:val="Normalny"/>
    <w:link w:val="Nagwek1Znak"/>
    <w:uiPriority w:val="9"/>
    <w:qFormat/>
    <w:rsid w:val="001B640B"/>
    <w:pPr>
      <w:keepNext/>
      <w:keepLines/>
      <w:pBdr>
        <w:top w:val="single" w:sz="6" w:space="1" w:color="44546A" w:themeColor="text2" w:shadow="1"/>
        <w:left w:val="single" w:sz="6" w:space="4" w:color="44546A" w:themeColor="text2" w:shadow="1"/>
        <w:bottom w:val="single" w:sz="6" w:space="1" w:color="44546A" w:themeColor="text2" w:shadow="1"/>
        <w:right w:val="single" w:sz="6" w:space="4" w:color="44546A" w:themeColor="text2" w:shadow="1"/>
      </w:pBdr>
      <w:spacing w:before="120" w:after="240"/>
      <w:outlineLvl w:val="0"/>
    </w:pPr>
    <w:rPr>
      <w:rFonts w:eastAsiaTheme="majorEastAsia" w:cstheme="minorHAnsi"/>
      <w:b/>
      <w:bCs/>
    </w:rPr>
  </w:style>
  <w:style w:type="paragraph" w:styleId="Nagwek2">
    <w:name w:val="heading 2"/>
    <w:basedOn w:val="Normalny"/>
    <w:next w:val="Normalny"/>
    <w:link w:val="Nagwek2Znak"/>
    <w:uiPriority w:val="9"/>
    <w:unhideWhenUsed/>
    <w:qFormat/>
    <w:rsid w:val="009001F2"/>
    <w:pPr>
      <w:keepNext/>
      <w:keepLines/>
      <w:spacing w:before="40"/>
      <w:jc w:val="center"/>
      <w:outlineLvl w:val="1"/>
    </w:pPr>
    <w:rPr>
      <w:rFonts w:eastAsiaTheme="majorEastAsia" w:cstheme="minorHAnsi"/>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C07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AA1C27"/>
    <w:pPr>
      <w:tabs>
        <w:tab w:val="center" w:pos="4513"/>
        <w:tab w:val="right" w:pos="9026"/>
      </w:tabs>
    </w:pPr>
  </w:style>
  <w:style w:type="character" w:customStyle="1" w:styleId="NagwekZnak">
    <w:name w:val="Nagłówek Znak"/>
    <w:basedOn w:val="Domylnaczcionkaakapitu"/>
    <w:link w:val="Nagwek"/>
    <w:uiPriority w:val="99"/>
    <w:rsid w:val="00AA1C27"/>
  </w:style>
  <w:style w:type="paragraph" w:styleId="Stopka">
    <w:name w:val="footer"/>
    <w:basedOn w:val="Normalny"/>
    <w:link w:val="StopkaZnak"/>
    <w:uiPriority w:val="99"/>
    <w:unhideWhenUsed/>
    <w:rsid w:val="00AA1C27"/>
    <w:pPr>
      <w:tabs>
        <w:tab w:val="center" w:pos="4513"/>
        <w:tab w:val="right" w:pos="9026"/>
      </w:tabs>
    </w:pPr>
  </w:style>
  <w:style w:type="character" w:customStyle="1" w:styleId="StopkaZnak">
    <w:name w:val="Stopka Znak"/>
    <w:basedOn w:val="Domylnaczcionkaakapitu"/>
    <w:link w:val="Stopka"/>
    <w:uiPriority w:val="99"/>
    <w:rsid w:val="00AA1C27"/>
  </w:style>
  <w:style w:type="character" w:customStyle="1" w:styleId="Nagwek1Znak">
    <w:name w:val="Nagłówek 1 Znak"/>
    <w:basedOn w:val="Domylnaczcionkaakapitu"/>
    <w:link w:val="Nagwek1"/>
    <w:uiPriority w:val="9"/>
    <w:rsid w:val="001B640B"/>
    <w:rPr>
      <w:rFonts w:eastAsiaTheme="majorEastAsia" w:cstheme="minorHAnsi"/>
      <w:b/>
      <w:bCs/>
    </w:rPr>
  </w:style>
  <w:style w:type="character" w:styleId="Hipercze">
    <w:name w:val="Hyperlink"/>
    <w:basedOn w:val="Domylnaczcionkaakapitu"/>
    <w:uiPriority w:val="99"/>
    <w:unhideWhenUsed/>
    <w:rsid w:val="00A64D77"/>
    <w:rPr>
      <w:color w:val="0563C1" w:themeColor="hyperlink"/>
      <w:u w:val="single"/>
    </w:rPr>
  </w:style>
  <w:style w:type="character" w:customStyle="1" w:styleId="UnresolvedMention">
    <w:name w:val="Unresolved Mention"/>
    <w:basedOn w:val="Domylnaczcionkaakapitu"/>
    <w:uiPriority w:val="99"/>
    <w:semiHidden/>
    <w:unhideWhenUsed/>
    <w:rsid w:val="00A64D77"/>
    <w:rPr>
      <w:color w:val="605E5C"/>
      <w:shd w:val="clear" w:color="auto" w:fill="E1DFDD"/>
    </w:rPr>
  </w:style>
  <w:style w:type="paragraph" w:styleId="Akapitzlist">
    <w:name w:val="List Paragraph"/>
    <w:aliases w:val="Numerowanie,List Paragraph,Akapit z listą BS,sw tekst,Kolorowa lista — akcent 11"/>
    <w:basedOn w:val="Normalny"/>
    <w:link w:val="AkapitzlistZnak"/>
    <w:uiPriority w:val="34"/>
    <w:qFormat/>
    <w:rsid w:val="00521318"/>
    <w:pPr>
      <w:ind w:left="720"/>
      <w:contextualSpacing/>
    </w:pPr>
  </w:style>
  <w:style w:type="paragraph" w:styleId="Bezodstpw">
    <w:name w:val="No Spacing"/>
    <w:link w:val="BezodstpwZnak"/>
    <w:uiPriority w:val="1"/>
    <w:qFormat/>
    <w:rsid w:val="00C02804"/>
    <w:pPr>
      <w:numPr>
        <w:numId w:val="4"/>
      </w:numPr>
      <w:spacing w:line="240" w:lineRule="auto"/>
      <w:ind w:left="357" w:hanging="357"/>
      <w:jc w:val="both"/>
    </w:pPr>
  </w:style>
  <w:style w:type="paragraph" w:customStyle="1" w:styleId="Numeracja">
    <w:name w:val="Numeracja"/>
    <w:basedOn w:val="Bezodstpw"/>
    <w:link w:val="NumeracjaZnak"/>
    <w:rsid w:val="00E16543"/>
  </w:style>
  <w:style w:type="character" w:customStyle="1" w:styleId="BezodstpwZnak">
    <w:name w:val="Bez odstępów Znak"/>
    <w:basedOn w:val="Domylnaczcionkaakapitu"/>
    <w:link w:val="Bezodstpw"/>
    <w:uiPriority w:val="1"/>
    <w:rsid w:val="00E16543"/>
  </w:style>
  <w:style w:type="character" w:customStyle="1" w:styleId="NumeracjaZnak">
    <w:name w:val="Numeracja Znak"/>
    <w:basedOn w:val="BezodstpwZnak"/>
    <w:link w:val="Numeracja"/>
    <w:rsid w:val="00E16543"/>
  </w:style>
  <w:style w:type="paragraph" w:styleId="Nagwekspisutreci">
    <w:name w:val="TOC Heading"/>
    <w:basedOn w:val="Nagwek1"/>
    <w:next w:val="Normalny"/>
    <w:uiPriority w:val="39"/>
    <w:unhideWhenUsed/>
    <w:qFormat/>
    <w:rsid w:val="00F33C11"/>
    <w:pPr>
      <w:spacing w:before="240" w:line="259" w:lineRule="auto"/>
      <w:jc w:val="left"/>
      <w:outlineLvl w:val="9"/>
    </w:pPr>
    <w:rPr>
      <w:rFonts w:asciiTheme="majorHAnsi"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F33C11"/>
    <w:pPr>
      <w:spacing w:after="100"/>
    </w:pPr>
  </w:style>
  <w:style w:type="character" w:styleId="Tekstzastpczy">
    <w:name w:val="Placeholder Text"/>
    <w:basedOn w:val="Domylnaczcionkaakapitu"/>
    <w:uiPriority w:val="99"/>
    <w:semiHidden/>
    <w:rsid w:val="0039572B"/>
    <w:rPr>
      <w:color w:val="808080"/>
    </w:rPr>
  </w:style>
  <w:style w:type="character" w:styleId="Odwoaniedokomentarza">
    <w:name w:val="annotation reference"/>
    <w:basedOn w:val="Domylnaczcionkaakapitu"/>
    <w:uiPriority w:val="99"/>
    <w:semiHidden/>
    <w:unhideWhenUsed/>
    <w:rsid w:val="003067E9"/>
    <w:rPr>
      <w:sz w:val="16"/>
      <w:szCs w:val="16"/>
    </w:rPr>
  </w:style>
  <w:style w:type="paragraph" w:styleId="Tekstkomentarza">
    <w:name w:val="annotation text"/>
    <w:basedOn w:val="Normalny"/>
    <w:link w:val="TekstkomentarzaZnak"/>
    <w:uiPriority w:val="99"/>
    <w:semiHidden/>
    <w:unhideWhenUsed/>
    <w:rsid w:val="003067E9"/>
    <w:rPr>
      <w:sz w:val="20"/>
      <w:szCs w:val="20"/>
    </w:rPr>
  </w:style>
  <w:style w:type="character" w:customStyle="1" w:styleId="TekstkomentarzaZnak">
    <w:name w:val="Tekst komentarza Znak"/>
    <w:basedOn w:val="Domylnaczcionkaakapitu"/>
    <w:link w:val="Tekstkomentarza"/>
    <w:uiPriority w:val="99"/>
    <w:semiHidden/>
    <w:rsid w:val="003067E9"/>
    <w:rPr>
      <w:sz w:val="20"/>
      <w:szCs w:val="20"/>
    </w:rPr>
  </w:style>
  <w:style w:type="paragraph" w:styleId="Tematkomentarza">
    <w:name w:val="annotation subject"/>
    <w:basedOn w:val="Tekstkomentarza"/>
    <w:next w:val="Tekstkomentarza"/>
    <w:link w:val="TematkomentarzaZnak"/>
    <w:uiPriority w:val="99"/>
    <w:semiHidden/>
    <w:unhideWhenUsed/>
    <w:rsid w:val="003067E9"/>
    <w:rPr>
      <w:b/>
      <w:bCs/>
    </w:rPr>
  </w:style>
  <w:style w:type="character" w:customStyle="1" w:styleId="TematkomentarzaZnak">
    <w:name w:val="Temat komentarza Znak"/>
    <w:basedOn w:val="TekstkomentarzaZnak"/>
    <w:link w:val="Tematkomentarza"/>
    <w:uiPriority w:val="99"/>
    <w:semiHidden/>
    <w:rsid w:val="003067E9"/>
    <w:rPr>
      <w:b/>
      <w:bCs/>
      <w:sz w:val="20"/>
      <w:szCs w:val="20"/>
    </w:rPr>
  </w:style>
  <w:style w:type="character" w:customStyle="1" w:styleId="Nagwek2Znak">
    <w:name w:val="Nagłówek 2 Znak"/>
    <w:basedOn w:val="Domylnaczcionkaakapitu"/>
    <w:link w:val="Nagwek2"/>
    <w:uiPriority w:val="9"/>
    <w:rsid w:val="009001F2"/>
    <w:rPr>
      <w:rFonts w:eastAsiaTheme="majorEastAsia" w:cstheme="minorHAnsi"/>
      <w:b/>
      <w:bCs/>
      <w:sz w:val="26"/>
      <w:szCs w:val="26"/>
    </w:rPr>
  </w:style>
  <w:style w:type="paragraph" w:styleId="Spistreci2">
    <w:name w:val="toc 2"/>
    <w:basedOn w:val="Normalny"/>
    <w:next w:val="Normalny"/>
    <w:autoRedefine/>
    <w:uiPriority w:val="39"/>
    <w:unhideWhenUsed/>
    <w:rsid w:val="00E426B4"/>
    <w:pPr>
      <w:spacing w:after="100"/>
      <w:ind w:left="220"/>
    </w:pPr>
  </w:style>
  <w:style w:type="character" w:customStyle="1" w:styleId="AkapitzlistZnak">
    <w:name w:val="Akapit z listą Znak"/>
    <w:aliases w:val="Numerowanie Znak,List Paragraph Znak,Akapit z listą BS Znak,sw tekst Znak,Kolorowa lista — akcent 11 Znak"/>
    <w:link w:val="Akapitzlist"/>
    <w:uiPriority w:val="34"/>
    <w:qFormat/>
    <w:locked/>
    <w:rsid w:val="00C040CA"/>
  </w:style>
  <w:style w:type="paragraph" w:styleId="Tekstdymka">
    <w:name w:val="Balloon Text"/>
    <w:basedOn w:val="Normalny"/>
    <w:link w:val="TekstdymkaZnak"/>
    <w:uiPriority w:val="99"/>
    <w:semiHidden/>
    <w:unhideWhenUsed/>
    <w:rsid w:val="00397B27"/>
    <w:rPr>
      <w:rFonts w:ascii="Tahoma" w:hAnsi="Tahoma" w:cs="Tahoma"/>
      <w:sz w:val="16"/>
      <w:szCs w:val="16"/>
    </w:rPr>
  </w:style>
  <w:style w:type="character" w:customStyle="1" w:styleId="TekstdymkaZnak">
    <w:name w:val="Tekst dymka Znak"/>
    <w:basedOn w:val="Domylnaczcionkaakapitu"/>
    <w:link w:val="Tekstdymka"/>
    <w:uiPriority w:val="99"/>
    <w:semiHidden/>
    <w:rsid w:val="00397B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6042993">
      <w:bodyDiv w:val="1"/>
      <w:marLeft w:val="0"/>
      <w:marRight w:val="0"/>
      <w:marTop w:val="0"/>
      <w:marBottom w:val="0"/>
      <w:divBdr>
        <w:top w:val="none" w:sz="0" w:space="0" w:color="auto"/>
        <w:left w:val="none" w:sz="0" w:space="0" w:color="auto"/>
        <w:bottom w:val="none" w:sz="0" w:space="0" w:color="auto"/>
        <w:right w:val="none" w:sz="0" w:space="0" w:color="auto"/>
      </w:divBdr>
    </w:div>
    <w:div w:id="1002317853">
      <w:bodyDiv w:val="1"/>
      <w:marLeft w:val="0"/>
      <w:marRight w:val="0"/>
      <w:marTop w:val="0"/>
      <w:marBottom w:val="0"/>
      <w:divBdr>
        <w:top w:val="none" w:sz="0" w:space="0" w:color="auto"/>
        <w:left w:val="none" w:sz="0" w:space="0" w:color="auto"/>
        <w:bottom w:val="none" w:sz="0" w:space="0" w:color="auto"/>
        <w:right w:val="none" w:sz="0" w:space="0" w:color="auto"/>
      </w:divBdr>
    </w:div>
    <w:div w:id="1097142110">
      <w:bodyDiv w:val="1"/>
      <w:marLeft w:val="0"/>
      <w:marRight w:val="0"/>
      <w:marTop w:val="0"/>
      <w:marBottom w:val="0"/>
      <w:divBdr>
        <w:top w:val="none" w:sz="0" w:space="0" w:color="auto"/>
        <w:left w:val="none" w:sz="0" w:space="0" w:color="auto"/>
        <w:bottom w:val="none" w:sz="0" w:space="0" w:color="auto"/>
        <w:right w:val="none" w:sz="0" w:space="0" w:color="auto"/>
      </w:divBdr>
    </w:div>
    <w:div w:id="162669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1854013440"/>
        <w:category>
          <w:name w:val="Ogólne"/>
          <w:gallery w:val="placeholder"/>
        </w:category>
        <w:types>
          <w:type w:val="bbPlcHdr"/>
        </w:types>
        <w:behaviors>
          <w:behavior w:val="content"/>
        </w:behaviors>
        <w:guid w:val="{C86DA6B2-4F17-4ABE-A300-6F996479A01F}"/>
      </w:docPartPr>
      <w:docPartBody>
        <w:p w:rsidR="00CC04EB" w:rsidRDefault="00FF093D">
          <w:r w:rsidRPr="00381C93">
            <w:rPr>
              <w:rStyle w:val="Tekstzastpczy"/>
            </w:rPr>
            <w:t>Kliknij lub naciśnij tutaj, aby wprowadzić tekst.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defaultTabStop w:val="708"/>
  <w:hyphenationZone w:val="425"/>
  <w:characterSpacingControl w:val="doNotCompress"/>
  <w:compat>
    <w:useFELayout/>
  </w:compat>
  <w:rsids>
    <w:rsidRoot w:val="00FF093D"/>
    <w:rsid w:val="0014512C"/>
    <w:rsid w:val="00276F6B"/>
    <w:rsid w:val="003A78A9"/>
    <w:rsid w:val="00503338"/>
    <w:rsid w:val="0051345B"/>
    <w:rsid w:val="005A0A11"/>
    <w:rsid w:val="005C0C44"/>
    <w:rsid w:val="00667412"/>
    <w:rsid w:val="00670BAC"/>
    <w:rsid w:val="00747BCF"/>
    <w:rsid w:val="00752493"/>
    <w:rsid w:val="00754A95"/>
    <w:rsid w:val="00A20B4F"/>
    <w:rsid w:val="00A21788"/>
    <w:rsid w:val="00AA3EB0"/>
    <w:rsid w:val="00AB6684"/>
    <w:rsid w:val="00AC1238"/>
    <w:rsid w:val="00C20B5A"/>
    <w:rsid w:val="00CC04EB"/>
    <w:rsid w:val="00D06BEE"/>
    <w:rsid w:val="00D326F8"/>
    <w:rsid w:val="00E84F02"/>
    <w:rsid w:val="00EA6142"/>
    <w:rsid w:val="00FD5A8C"/>
    <w:rsid w:val="00FF093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C0C4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3A78A9"/>
    <w:rPr>
      <w:color w:val="808080"/>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95C3E-580B-4F2F-9578-F075F4B53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3</Pages>
  <Words>807</Words>
  <Characters>4846</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praca</cp:lastModifiedBy>
  <cp:revision>28</cp:revision>
  <cp:lastPrinted>2023-10-26T06:42:00Z</cp:lastPrinted>
  <dcterms:created xsi:type="dcterms:W3CDTF">2023-10-09T09:00:00Z</dcterms:created>
  <dcterms:modified xsi:type="dcterms:W3CDTF">2024-11-05T14:01:00Z</dcterms:modified>
</cp:coreProperties>
</file>