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both"/>
        <w:rPr>
          <w:b/>
          <w:sz w:val="24"/>
          <w:szCs w:val="24"/>
        </w:rPr>
      </w:pPr>
      <w:r>
        <w:rPr>
          <w:b/>
          <w:sz w:val="24"/>
          <w:szCs w:val="24"/>
        </w:rPr>
        <w:t>1. Przewidywane ilości i terminy dostaw</w:t>
      </w:r>
    </w:p>
    <w:tbl>
      <w:tblPr>
        <w:tblW w:w="9649" w:type="dxa"/>
        <w:jc w:val="left"/>
        <w:tblInd w:w="211" w:type="dxa"/>
        <w:tblLayout w:type="fixed"/>
        <w:tblCellMar>
          <w:top w:w="0" w:type="dxa"/>
          <w:left w:w="108" w:type="dxa"/>
          <w:bottom w:w="0" w:type="dxa"/>
          <w:right w:w="108" w:type="dxa"/>
        </w:tblCellMar>
        <w:tblLook w:val="0000"/>
      </w:tblPr>
      <w:tblGrid>
        <w:gridCol w:w="715"/>
        <w:gridCol w:w="2835"/>
        <w:gridCol w:w="1985"/>
        <w:gridCol w:w="1842"/>
        <w:gridCol w:w="2272"/>
      </w:tblGrid>
      <w:tr>
        <w:trPr/>
        <w:tc>
          <w:tcPr>
            <w:tcW w:w="71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2"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5" w:type="dxa"/>
            <w:vMerge w:val="restart"/>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t>Zad.1</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pPr>
            <w:r>
              <w:rPr>
                <w:rFonts w:eastAsia="Arial" w:cs="Arial"/>
                <w:b/>
                <w:bCs/>
                <w:sz w:val="20"/>
                <w:szCs w:val="20"/>
              </w:rPr>
              <w:t>Chleb mieszany pszenno-żytni, krojony, paczkowany po 350 g</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rPr>
            </w:pPr>
            <w:r>
              <w:rPr>
                <w:rFonts w:eastAsia="Arial" w:cs="Arial"/>
                <w:b/>
                <w:bCs/>
                <w:sz w:val="20"/>
                <w:szCs w:val="20"/>
              </w:rPr>
              <w:t xml:space="preserve">CPV – </w:t>
            </w:r>
            <w:r>
              <w:rPr>
                <w:rFonts w:eastAsia="EUAlbertina" w:cs="Arial"/>
                <w:b/>
                <w:bCs/>
                <w:sz w:val="20"/>
                <w:szCs w:val="20"/>
              </w:rPr>
              <w:t>15811100-7</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120 000</w:t>
            </w:r>
          </w:p>
        </w:tc>
      </w:tr>
      <w:tr>
        <w:trPr/>
        <w:tc>
          <w:tcPr>
            <w:tcW w:w="715"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Arial" w:cs="Arial"/>
                <w:b/>
                <w:bCs/>
                <w:sz w:val="20"/>
                <w:szCs w:val="20"/>
              </w:rPr>
              <w:t>Chleb pszenny, krojony, paczkowany po 350 g</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Arial" w:cs="Arial"/>
                <w:b/>
                <w:bCs/>
                <w:sz w:val="20"/>
                <w:szCs w:val="20"/>
              </w:rPr>
              <w:t xml:space="preserve">CPV – </w:t>
            </w:r>
            <w:r>
              <w:rPr>
                <w:rFonts w:eastAsia="EUAlbertina" w:cs="Arial"/>
                <w:b/>
                <w:bCs/>
                <w:sz w:val="20"/>
                <w:szCs w:val="20"/>
              </w:rPr>
              <w:t>15811100-7</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37 000</w:t>
            </w:r>
          </w:p>
        </w:tc>
      </w:tr>
      <w:tr>
        <w:trPr/>
        <w:tc>
          <w:tcPr>
            <w:tcW w:w="715"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Arial" w:cs="Arial"/>
                <w:b/>
                <w:bCs/>
                <w:sz w:val="20"/>
                <w:szCs w:val="20"/>
              </w:rPr>
              <w:t>Bułka tarta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eastAsia="EUAlbertina" w:cs="Arial"/>
                <w:b/>
                <w:bCs/>
                <w:sz w:val="20"/>
                <w:szCs w:val="20"/>
              </w:rPr>
              <w:t>CPV - 15812200-5</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500</w:t>
            </w:r>
          </w:p>
        </w:tc>
      </w:tr>
      <w:tr>
        <w:trPr/>
        <w:tc>
          <w:tcPr>
            <w:tcW w:w="715"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Arial" w:cs="Arial"/>
                <w:b/>
                <w:bCs/>
                <w:sz w:val="20"/>
                <w:szCs w:val="20"/>
              </w:rPr>
              <w:t>Chleb razowy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eastAsia="Arial" w:cs="Arial"/>
                <w:b/>
                <w:bCs/>
                <w:sz w:val="20"/>
                <w:szCs w:val="20"/>
              </w:rPr>
            </w:pPr>
            <w:r>
              <w:rPr>
                <w:rFonts w:eastAsia="EUAlbertina" w:cs="Arial"/>
                <w:b/>
                <w:bCs/>
                <w:sz w:val="20"/>
                <w:szCs w:val="20"/>
              </w:rPr>
              <w:t>CPV - 15812200-5</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tLeast" w:line="100" w:before="100" w:after="160"/>
              <w:jc w:val="center"/>
              <w:rPr>
                <w:rFonts w:ascii="Calibri" w:hAnsi="Calibri" w:eastAsia="EUAlbertina" w:cs="Arial"/>
                <w:sz w:val="20"/>
                <w:szCs w:val="20"/>
              </w:rPr>
            </w:pPr>
            <w:r>
              <w:rPr>
                <w:rFonts w:eastAsia="EUAlbertina" w:cs="Arial"/>
                <w:sz w:val="20"/>
                <w:szCs w:val="20"/>
              </w:rPr>
              <w:t>6 000</w:t>
            </w:r>
          </w:p>
        </w:tc>
      </w:tr>
    </w:tbl>
    <w:p>
      <w:pPr>
        <w:pStyle w:val="Normal"/>
        <w:spacing w:lineRule="exact" w:line="283"/>
        <w:jc w:val="both"/>
        <w:rPr>
          <w:rFonts w:ascii="Calibri" w:hAnsi="Calibri" w:eastAsia="ArialNarrow-Bold" w:cs="Arial"/>
          <w:b/>
          <w:bCs/>
          <w:u w:val="single"/>
        </w:rPr>
      </w:pPr>
      <w:r>
        <w:rPr>
          <w:rFonts w:eastAsia="ArialNarrow-Bold" w:cs="Arial"/>
          <w:b/>
          <w:bCs/>
          <w:u w:val="single"/>
        </w:rPr>
        <w:t>1. Przedmiot zamówienia</w:t>
      </w:r>
    </w:p>
    <w:p>
      <w:pPr>
        <w:pStyle w:val="Standard"/>
        <w:spacing w:lineRule="atLeast" w:line="100"/>
        <w:rPr>
          <w:rFonts w:ascii="Calibri" w:hAnsi="Calibri" w:eastAsia="Arial" w:cs="Arial"/>
          <w:sz w:val="22"/>
          <w:szCs w:val="22"/>
        </w:rPr>
      </w:pPr>
      <w:r>
        <w:rPr>
          <w:rFonts w:eastAsia="Arial" w:cs="Arial" w:ascii="Calibri" w:hAnsi="Calibri"/>
          <w:b/>
          <w:bCs/>
          <w:sz w:val="22"/>
          <w:szCs w:val="22"/>
        </w:rPr>
        <w:t>1.1. Chleb mieszany pszenno-żytni, krojony, paczkowany po 350 g</w:t>
      </w:r>
      <w:r>
        <w:rPr>
          <w:rFonts w:eastAsia="Arial" w:cs="Arial" w:ascii="Calibri" w:hAnsi="Calibri"/>
          <w:sz w:val="22"/>
          <w:szCs w:val="22"/>
        </w:rPr>
        <w:t xml:space="preserve"> </w:t>
      </w:r>
    </w:p>
    <w:p>
      <w:pPr>
        <w:pStyle w:val="Standard"/>
        <w:spacing w:lineRule="atLeast" w:line="100"/>
        <w:rPr>
          <w:rFonts w:ascii="Calibri" w:hAnsi="Calibri"/>
          <w:sz w:val="22"/>
          <w:szCs w:val="22"/>
        </w:rPr>
      </w:pPr>
      <w:r>
        <w:rPr>
          <w:rFonts w:ascii="Calibri" w:hAnsi="Calibri"/>
          <w:sz w:val="22"/>
          <w:szCs w:val="22"/>
        </w:rPr>
        <w:t xml:space="preserve">pokrojony na równe kromki grubości w zakresie od 11 do 13 mm, pakowany w opakowania jednostkowe (woreczki foliowe). Na każdym bochenku musi znajdować się informacja o produkcie, dacie przydatności do spożycia oraz wadze. Bez konserwantów i polepszaczy. Pieczywo świeże. Skórka równomiernie zabarwiona, bez pęknięć na powierzchni i na bokach, ściśle zrośnięta z miękiszem, miękisz powinien być elastyczny, zapach i smak pieczywa odpowiedni dla danego rodzaju pieczywa. Chleb wytwarzany zgodnie z ustawą o bezpieczeństwie żywienia i żywności oraz rozporządzeniami wydanymi na jej podstawie, a także będzie odpowiadać standardom określonym w Polskich Normach. Zamawiający może żądać od Wykonawcy okazania w stosunku do każdego produktu odpowiedniego certyfikatu zgodności z Polską Normą lub normami europejskimi. </w:t>
      </w:r>
    </w:p>
    <w:p>
      <w:pPr>
        <w:pStyle w:val="Standard"/>
        <w:spacing w:before="120" w:after="160"/>
        <w:rPr>
          <w:rFonts w:ascii="Calibri" w:hAnsi="Calibri" w:eastAsia="Arial" w:cs="Arial"/>
          <w:b/>
          <w:bCs/>
          <w:sz w:val="22"/>
          <w:szCs w:val="22"/>
        </w:rPr>
      </w:pPr>
      <w:r>
        <w:rPr>
          <w:rFonts w:eastAsia="Arial" w:cs="Arial" w:ascii="Calibri" w:hAnsi="Calibri"/>
          <w:b/>
          <w:bCs/>
          <w:sz w:val="22"/>
          <w:szCs w:val="22"/>
        </w:rPr>
        <w:t>Termin przydatności do spożycia minimum 5 dni liczony od dnia dostawy do magazynu zamawiającego</w:t>
      </w:r>
    </w:p>
    <w:p>
      <w:pPr>
        <w:pStyle w:val="Standard"/>
        <w:spacing w:before="120" w:after="160"/>
        <w:jc w:val="both"/>
        <w:rPr>
          <w:rFonts w:ascii="Calibri" w:hAnsi="Calibri" w:eastAsia="Arial" w:cs="Arial"/>
          <w:b/>
          <w:bCs/>
          <w:sz w:val="22"/>
          <w:szCs w:val="22"/>
        </w:rPr>
      </w:pPr>
      <w:r>
        <w:rPr>
          <w:rFonts w:eastAsia="Arial" w:cs="Arial" w:ascii="Calibri" w:hAnsi="Calibri"/>
          <w:b/>
          <w:bCs/>
          <w:sz w:val="22"/>
          <w:szCs w:val="22"/>
        </w:rPr>
        <w:t>--------------------------------------------------------------------------------------------------------------------------------------</w:t>
      </w:r>
    </w:p>
    <w:p>
      <w:pPr>
        <w:pStyle w:val="Standard"/>
        <w:spacing w:lineRule="atLeast" w:line="100" w:before="120" w:after="160"/>
        <w:rPr>
          <w:rFonts w:ascii="Calibri" w:hAnsi="Calibri" w:eastAsia="Arial" w:cs="Arial"/>
          <w:sz w:val="22"/>
          <w:szCs w:val="22"/>
        </w:rPr>
      </w:pPr>
      <w:r>
        <w:rPr>
          <w:rFonts w:eastAsia="Arial" w:cs="Arial" w:ascii="Calibri" w:hAnsi="Calibri"/>
          <w:b/>
          <w:bCs/>
          <w:sz w:val="22"/>
          <w:szCs w:val="22"/>
        </w:rPr>
        <w:t>1.2. Chleb pszenny, krojony, paczkowany po 350 g</w:t>
      </w:r>
      <w:r>
        <w:rPr>
          <w:rFonts w:eastAsia="Arial" w:cs="Arial" w:ascii="Calibri" w:hAnsi="Calibri"/>
          <w:sz w:val="22"/>
          <w:szCs w:val="22"/>
        </w:rPr>
        <w:t xml:space="preserve"> </w:t>
      </w:r>
    </w:p>
    <w:p>
      <w:pPr>
        <w:pStyle w:val="Standard"/>
        <w:spacing w:lineRule="atLeast" w:line="100" w:before="120" w:after="160"/>
        <w:rPr>
          <w:rFonts w:ascii="Calibri" w:hAnsi="Calibri"/>
          <w:sz w:val="22"/>
          <w:szCs w:val="22"/>
        </w:rPr>
      </w:pPr>
      <w:r>
        <w:rPr>
          <w:rFonts w:ascii="Calibri" w:hAnsi="Calibri"/>
          <w:sz w:val="22"/>
          <w:szCs w:val="22"/>
        </w:rPr>
        <w:t xml:space="preserve">pokrojony na równe kromki grubości w zakresie od 11 do 13 mm, pakowany w opakowania jednostkowe (woreczki foliowe). Na każdym bochenku musi znajdować się informacja o produkcie, dacie przydatności do spożycia oraz wadze. Bez konserwantów i polepszaczy. Pieczywo świeże. Skórka równomiernie zabarwiona, bez pęknięć na powierzchni i na bokach, ściśle zrośnięta z miękiszem, miękisz powinien być elastyczny, zapach i smak pieczywa odpowiedni dla danego rodzaju pieczywa. Chleb wytwarzany zgodnie z ustawą o bezpieczeństwie żywienia i żywności oraz rozporządzeniami wydanymi na jej podstawie, a także będzie odpowiadać standardom określonym w Polskich Normach. Zamawiający może żądać od Wykonawcy okazania w stosunku do każdego produktu odpowiedniego certyfikatu zgodności z Polską Normą lub normami europejskimi. </w:t>
      </w:r>
    </w:p>
    <w:p>
      <w:pPr>
        <w:pStyle w:val="Standard"/>
        <w:spacing w:before="120" w:after="160"/>
        <w:rPr>
          <w:rFonts w:ascii="Calibri" w:hAnsi="Calibri" w:eastAsia="Arial" w:cs="Arial"/>
          <w:b/>
          <w:bCs/>
          <w:sz w:val="22"/>
          <w:szCs w:val="22"/>
        </w:rPr>
      </w:pPr>
      <w:r>
        <w:rPr>
          <w:rFonts w:eastAsia="Arial" w:cs="Arial" w:ascii="Calibri" w:hAnsi="Calibri"/>
          <w:b/>
          <w:bCs/>
          <w:sz w:val="22"/>
          <w:szCs w:val="22"/>
        </w:rPr>
        <w:t>Termin przydatności do spożycia minimum 5 dni liczony od dnia dostawy do magazynu zamawiającego</w:t>
      </w:r>
    </w:p>
    <w:p>
      <w:pPr>
        <w:pStyle w:val="Standard"/>
        <w:spacing w:before="120" w:after="160"/>
        <w:jc w:val="both"/>
        <w:rPr>
          <w:rFonts w:ascii="Calibri" w:hAnsi="Calibri" w:eastAsia="Arial" w:cs="Arial"/>
          <w:b/>
          <w:bCs/>
          <w:sz w:val="22"/>
          <w:szCs w:val="22"/>
        </w:rPr>
      </w:pPr>
      <w:r>
        <w:rPr>
          <w:rFonts w:eastAsia="Arial" w:cs="Arial" w:ascii="Calibri" w:hAnsi="Calibri"/>
          <w:b/>
          <w:bCs/>
          <w:sz w:val="22"/>
          <w:szCs w:val="22"/>
        </w:rPr>
        <w:t>--------------------------------------------------------------------------------------------------------------------------------------</w:t>
      </w:r>
    </w:p>
    <w:p>
      <w:pPr>
        <w:pStyle w:val="Standard"/>
        <w:spacing w:before="120" w:after="160"/>
        <w:jc w:val="both"/>
        <w:rPr>
          <w:rFonts w:ascii="Calibri" w:hAnsi="Calibri" w:eastAsia="Arial" w:cs="Arial"/>
          <w:sz w:val="22"/>
          <w:szCs w:val="22"/>
        </w:rPr>
      </w:pPr>
      <w:r>
        <w:rPr/>
      </w:r>
    </w:p>
    <w:p>
      <w:pPr>
        <w:pStyle w:val="Standard"/>
        <w:spacing w:before="120" w:after="160"/>
        <w:jc w:val="both"/>
        <w:rPr>
          <w:rFonts w:ascii="Calibri" w:hAnsi="Calibri" w:eastAsia="Arial" w:cs="Arial"/>
          <w:sz w:val="22"/>
          <w:szCs w:val="22"/>
        </w:rPr>
      </w:pPr>
      <w:r>
        <w:rPr/>
      </w:r>
    </w:p>
    <w:p>
      <w:pPr>
        <w:pStyle w:val="Standard"/>
        <w:spacing w:before="120" w:after="160"/>
        <w:jc w:val="both"/>
        <w:rPr>
          <w:rFonts w:ascii="Calibri" w:hAnsi="Calibri" w:eastAsia="Arial" w:cs="Arial"/>
          <w:sz w:val="22"/>
          <w:szCs w:val="22"/>
        </w:rPr>
      </w:pPr>
      <w:r>
        <w:rPr>
          <w:rFonts w:eastAsia="Arial" w:cs="Arial" w:ascii="Calibri" w:hAnsi="Calibri"/>
          <w:b/>
          <w:bCs/>
          <w:sz w:val="22"/>
          <w:szCs w:val="22"/>
        </w:rPr>
        <w:t xml:space="preserve">1.3. Bułka tarta </w:t>
      </w:r>
    </w:p>
    <w:p>
      <w:pPr>
        <w:pStyle w:val="Standard"/>
        <w:spacing w:before="120" w:after="160"/>
        <w:jc w:val="both"/>
        <w:rPr>
          <w:rFonts w:ascii="Calibri" w:hAnsi="Calibri" w:eastAsia="Arial" w:cs="Arial"/>
          <w:b/>
          <w:bCs/>
          <w:sz w:val="22"/>
          <w:szCs w:val="22"/>
        </w:rPr>
      </w:pPr>
      <w:r>
        <w:rPr>
          <w:rFonts w:eastAsia="Arial" w:cs="Arial" w:ascii="Calibri" w:hAnsi="Calibri"/>
          <w:b/>
          <w:bCs/>
          <w:sz w:val="22"/>
          <w:szCs w:val="22"/>
        </w:rPr>
        <w:t>Termin przydatności do spożycia nie krótszy niż 60 dni od daty</w:t>
      </w:r>
      <w:r>
        <w:rPr>
          <w:rFonts w:eastAsia="Arial" w:cs="Arial" w:ascii="Calibri" w:hAnsi="Calibri"/>
          <w:sz w:val="22"/>
          <w:szCs w:val="22"/>
        </w:rPr>
        <w:t xml:space="preserve"> </w:t>
      </w:r>
      <w:r>
        <w:rPr>
          <w:rFonts w:eastAsia="Arial" w:cs="Arial" w:ascii="Calibri" w:hAnsi="Calibri"/>
          <w:b/>
          <w:bCs/>
          <w:sz w:val="22"/>
          <w:szCs w:val="22"/>
        </w:rPr>
        <w:t>dostawy do magazynu-zamawiającego.</w:t>
      </w:r>
    </w:p>
    <w:p>
      <w:pPr>
        <w:pStyle w:val="Standard"/>
        <w:spacing w:before="120" w:after="160"/>
        <w:jc w:val="both"/>
        <w:rPr>
          <w:rFonts w:ascii="Calibri" w:hAnsi="Calibri" w:eastAsia="Arial" w:cs="Arial"/>
          <w:b/>
          <w:bCs/>
          <w:sz w:val="22"/>
          <w:szCs w:val="22"/>
        </w:rPr>
      </w:pPr>
      <w:r>
        <w:rPr>
          <w:rFonts w:eastAsia="Arial" w:cs="Arial" w:ascii="Calibri" w:hAnsi="Calibri"/>
          <w:b/>
          <w:bCs/>
          <w:sz w:val="22"/>
          <w:szCs w:val="22"/>
        </w:rPr>
        <w:t>--------------------------------------------------------------------------------------------------------------------------------------</w:t>
      </w:r>
    </w:p>
    <w:p>
      <w:pPr>
        <w:pStyle w:val="Standard"/>
        <w:spacing w:before="120" w:after="160"/>
        <w:jc w:val="both"/>
        <w:rPr>
          <w:rFonts w:ascii="Calibri" w:hAnsi="Calibri" w:eastAsia="Arial" w:cs="Arial"/>
          <w:sz w:val="22"/>
          <w:szCs w:val="22"/>
        </w:rPr>
      </w:pPr>
      <w:r>
        <w:rPr>
          <w:rFonts w:eastAsia="Arial" w:cs="Arial" w:ascii="Calibri" w:hAnsi="Calibri"/>
          <w:b/>
          <w:bCs/>
          <w:sz w:val="22"/>
          <w:szCs w:val="22"/>
        </w:rPr>
        <w:t xml:space="preserve">1.4. Chleb razowy </w:t>
      </w:r>
    </w:p>
    <w:p>
      <w:pPr>
        <w:pStyle w:val="Normal"/>
        <w:spacing w:before="120" w:after="160"/>
        <w:jc w:val="both"/>
        <w:rPr>
          <w:rFonts w:ascii="Calibri" w:hAnsi="Calibri"/>
        </w:rPr>
      </w:pPr>
      <w:r>
        <w:rPr/>
        <w:t xml:space="preserve">Chleb razowy o wadze netto 400g - pokrojony na równe kromki grubości w zakresie od 11 do 13 mm, pakowany w opakowania jednostkowe (woreczki foliowe). Na każdym bochenku musi znajdować się informacja o produkcie, dacie przydatności do spożycia oraz wadze. Bez konserwantów i polepszaczy. Pieczywo świeże. Kształt chleba prostokątny (blaszka), skórka równomiernie zabarwiona, bez pęknięć na powierzchni i na bokach, ścisłe zrośnięta z miękiszem, zapach i smak pieczywa odpowiedni dla danego rodzaju pieczywa. Chleb wytwarzany będzie zgodnie z ustawą o bezpieczeństwie żywienia i żywności oraz rozporządzeniami wydanymi na jej podstawie, a także będzie odpowiadać standardom określonym w Polskich Norm. Zamawiający może zadać od Wykonawcy okazania w stosunku do każdego produktu odpowiedniego certyfikatu zgodności z Polską Normą lub normami europejskimi. </w:t>
      </w:r>
    </w:p>
    <w:p>
      <w:pPr>
        <w:pStyle w:val="Standard"/>
        <w:spacing w:before="120" w:after="160"/>
        <w:jc w:val="both"/>
        <w:rPr>
          <w:rFonts w:ascii="Calibri" w:hAnsi="Calibri" w:eastAsia="Arial" w:cs="Arial"/>
          <w:b/>
          <w:bCs/>
          <w:sz w:val="22"/>
          <w:szCs w:val="22"/>
        </w:rPr>
      </w:pPr>
      <w:r>
        <w:rPr>
          <w:rFonts w:eastAsia="Arial" w:cs="Arial" w:ascii="Calibri" w:hAnsi="Calibri"/>
          <w:b/>
          <w:bCs/>
          <w:sz w:val="22"/>
          <w:szCs w:val="22"/>
        </w:rPr>
        <w:t>Termin przydatności do spożycia minimum 5 dni liczony od dnia dostawy do magazynu zamawiającego</w:t>
      </w:r>
      <w:r>
        <w:rPr>
          <w:rFonts w:eastAsia="Arial" w:cs="Arial" w:ascii="Calibri" w:hAnsi="Calibri"/>
          <w:sz w:val="22"/>
          <w:szCs w:val="22"/>
        </w:rPr>
        <w:br/>
      </w:r>
      <w:r>
        <w:rPr>
          <w:rFonts w:eastAsia="Arial" w:cs="Arial" w:ascii="Calibri" w:hAnsi="Calibri"/>
          <w:b/>
          <w:bCs/>
          <w:sz w:val="22"/>
          <w:szCs w:val="22"/>
        </w:rPr>
        <w:t>--------------------------------------------------------------------------------------------------------------------------------------</w:t>
      </w:r>
    </w:p>
    <w:p>
      <w:pPr>
        <w:pStyle w:val="Normal"/>
        <w:widowControl w:val="false"/>
        <w:spacing w:lineRule="exact" w:line="283"/>
        <w:jc w:val="both"/>
        <w:rPr>
          <w:rFonts w:ascii="Calibri" w:hAnsi="Calibri" w:cs="Arial"/>
          <w:color w:val="000000"/>
        </w:rPr>
      </w:pPr>
      <w:r>
        <w:rPr>
          <w:rFonts w:cs="Arial"/>
          <w:color w:val="000000"/>
        </w:rPr>
        <w:t>Każdy asortyment produktów powinien być dostarczany w opakowaniach zbiorczych, do dostawy należy dołączyć Handlowy Dokument Identyfikacyjny. (HDI)</w:t>
      </w:r>
    </w:p>
    <w:p>
      <w:pPr>
        <w:pStyle w:val="Normal"/>
        <w:widowControl w:val="false"/>
        <w:spacing w:before="120" w:after="160"/>
        <w:jc w:val="both"/>
        <w:rPr>
          <w:rFonts w:ascii="Calibri" w:hAnsi="Calibri" w:eastAsia="Lucida Sans Unicode" w:cs="Arial"/>
        </w:rPr>
      </w:pPr>
      <w:r>
        <w:rPr>
          <w:rFonts w:eastAsia="Lucida Sans Unicode" w:cs="Arial"/>
          <w:bCs/>
        </w:rPr>
        <w:t>1.</w:t>
      </w:r>
      <w:r>
        <w:rPr>
          <w:rFonts w:eastAsia="Lucida Sans Unicode" w:cs="Arial"/>
        </w:rPr>
        <w:t xml:space="preserve">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w:t>
      </w:r>
      <w:r>
        <w:rPr>
          <w:rFonts w:eastAsia="ArialNarrow-Bold" w:cs="Arial"/>
        </w:rPr>
        <w:t>rodukty zamówienia są powszechnie dostępne oraz mają ustalone standardy jakościowe.</w:t>
      </w:r>
      <w:r>
        <w:rPr>
          <w:rFonts w:eastAsia="Lucida Sans Unicode" w:cs="Arial"/>
        </w:rPr>
        <w:t xml:space="preserve">    </w:t>
      </w:r>
    </w:p>
    <w:p>
      <w:pPr>
        <w:pStyle w:val="Normal"/>
        <w:widowControl w:val="false"/>
        <w:spacing w:before="120" w:after="160"/>
        <w:jc w:val="both"/>
        <w:rPr>
          <w:rFonts w:ascii="Calibri" w:hAnsi="Calibri" w:eastAsia="ArialNarrow-Bold" w:cs="ArialMT"/>
        </w:rPr>
      </w:pPr>
      <w:r>
        <w:rPr>
          <w:rFonts w:eastAsia="ArialNarrow-Bold" w:cs="Arial"/>
          <w:bCs/>
        </w:rPr>
        <w:t>2.</w:t>
      </w:r>
      <w:r>
        <w:rPr>
          <w:rFonts w:eastAsia="ArialNarrow-Bold" w:cs="Arial"/>
        </w:rPr>
        <w:t xml:space="preserve"> Dostawy odbywać się będą bezpośrednio do </w:t>
      </w:r>
      <w:r>
        <w:rPr>
          <w:rFonts w:eastAsia="Lucida Sans Unicode" w:cs="Arial"/>
        </w:rPr>
        <w:t>siedziby</w:t>
      </w:r>
      <w:r>
        <w:rPr>
          <w:rFonts w:eastAsia="ArialNarrow-Bold" w:cs="Arial"/>
        </w:rPr>
        <w:t xml:space="preserve"> Zakładu Karnego w Przytułach Starych </w:t>
      </w:r>
      <w:r>
        <w:rPr>
          <w:rFonts w:eastAsia="ArialNarrow-Bold" w:cs="Arial"/>
          <w:b/>
          <w:bCs/>
          <w:u w:val="single"/>
        </w:rPr>
        <w:t>w godzinach 8:00 – 11:00, bez niedziel i świąt.</w:t>
      </w:r>
      <w:r>
        <w:rPr>
          <w:rFonts w:eastAsia="ArialNarrow-Bold" w:cs="Arial"/>
        </w:rPr>
        <w:t xml:space="preserve"> </w:t>
      </w:r>
      <w:r>
        <w:rPr>
          <w:rFonts w:eastAsia="ArialNarrow-Bold" w:cs="ArialMT"/>
        </w:rPr>
        <w:t>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before="120" w:after="160"/>
        <w:jc w:val="both"/>
        <w:rPr>
          <w:rFonts w:ascii="Calibri" w:hAnsi="Calibri" w:eastAsia="Lucida Sans Unicode" w:cs="Arial"/>
        </w:rPr>
      </w:pPr>
      <w:r>
        <w:rPr>
          <w:rFonts w:eastAsia="ArialNarrow-Bold" w:cs="Arial"/>
          <w:bCs/>
        </w:rPr>
        <w:t>3.</w:t>
      </w:r>
      <w:r>
        <w:rPr>
          <w:rFonts w:eastAsia="ArialNarrow-Bold" w:cs="Arial"/>
        </w:rPr>
        <w:t xml:space="preserve"> </w:t>
      </w:r>
      <w:r>
        <w:rPr>
          <w:rFonts w:eastAsia="Lucida Sans Unicode" w:cs="Arial"/>
        </w:rPr>
        <w:t xml:space="preserve">Dostawy przez Wykonawcę będą realizowane sukcesywnie w ilościach i określonym terminie, po uprzednim telefonicznym, faksowym lub e-mailowym złożeniu zamówienia przez Zamawiającego.   </w:t>
      </w:r>
    </w:p>
    <w:p>
      <w:pPr>
        <w:pStyle w:val="Normal"/>
        <w:widowControl w:val="false"/>
        <w:spacing w:before="120" w:after="160"/>
        <w:jc w:val="both"/>
        <w:rPr>
          <w:rFonts w:ascii="Calibri" w:hAnsi="Calibri" w:eastAsia="Lucida Sans Unicode" w:cs="Arial"/>
        </w:rPr>
      </w:pPr>
      <w:r>
        <w:rPr>
          <w:rFonts w:eastAsia="Lucida Sans Unicode" w:cs="Arial"/>
        </w:rPr>
        <w:t>4.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before="120" w:after="160"/>
        <w:jc w:val="both"/>
        <w:rPr>
          <w:rFonts w:ascii="Calibri" w:hAnsi="Calibri" w:eastAsia="Lucida Sans Unicode" w:cs="Arial"/>
        </w:rPr>
      </w:pPr>
      <w:r>
        <w:rPr>
          <w:rFonts w:eastAsia="Lucida Sans Unicode" w:cs="Arial"/>
        </w:rPr>
        <w:t>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 Nie wiąże się z ponoszeniem dodatkowych kosztów podczas realizacji przedmiotu zamówienia, gdyż, mówiąc zostaną one skonsumowane. Szacując wartość zamówień na dostawy produktów spożywczych uwzględniono przedmiot (dostawa), koszty transportu towarów do zamawiającego, a także towarzyszących transportowi usług.</w:t>
      </w:r>
    </w:p>
    <w:p>
      <w:pPr>
        <w:pStyle w:val="Normal"/>
        <w:widowControl w:val="false"/>
        <w:spacing w:before="120" w:after="160"/>
        <w:jc w:val="both"/>
        <w:rPr>
          <w:rFonts w:ascii="Calibri" w:hAnsi="Calibri" w:eastAsia="Lucida Sans Unicode" w:cs="Arial"/>
        </w:rPr>
      </w:pPr>
      <w:r>
        <w:rPr>
          <w:rFonts w:eastAsia="Lucida Sans Unicode" w:cs="Arial"/>
        </w:rPr>
        <w:t>6.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before="120" w:after="160"/>
        <w:jc w:val="both"/>
        <w:rPr>
          <w:rFonts w:ascii="Calibri" w:hAnsi="Calibri" w:eastAsia="Lucida Sans Unicode" w:cs="Arial"/>
        </w:rPr>
      </w:pPr>
      <w:r>
        <w:rPr>
          <w:rFonts w:eastAsia="Lucida Sans Unicode" w:cs="Arial"/>
        </w:rPr>
        <w:t>7. Odbiór artykułów będzie następować poprzez wspólną kontrolę ilościowo – jakościową przeprowadzoną przez osoby działające w imieniu Zamawiającego  i Wykonawcy.</w:t>
      </w:r>
    </w:p>
    <w:p>
      <w:pPr>
        <w:pStyle w:val="Normal"/>
        <w:widowControl w:val="false"/>
        <w:spacing w:before="120" w:after="160"/>
        <w:jc w:val="both"/>
        <w:rPr>
          <w:rFonts w:ascii="Calibri" w:hAnsi="Calibri" w:eastAsia="Lucida Sans Unicode" w:cs="Arial"/>
        </w:rPr>
      </w:pPr>
      <w:r>
        <w:rPr>
          <w:rFonts w:eastAsia="Lucida Sans Unicode" w:cs="Arial"/>
        </w:rPr>
        <w:t xml:space="preserve">8.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 </w:t>
      </w:r>
    </w:p>
    <w:p>
      <w:pPr>
        <w:pStyle w:val="Normal"/>
        <w:widowControl w:val="false"/>
        <w:spacing w:before="120" w:after="160"/>
        <w:jc w:val="both"/>
        <w:rPr>
          <w:rFonts w:ascii="Calibri" w:hAnsi="Calibri" w:eastAsia="Lucida Sans Unicode" w:cs="Arial"/>
        </w:rPr>
      </w:pPr>
      <w:r>
        <w:rPr>
          <w:rFonts w:eastAsia="Lucida Sans Unicode" w:cs="Arial"/>
        </w:rPr>
        <w:t>9. Dostawy winny odbywać się w odpowiednio przystosowanych pojemnikach (opakowaniach) stanowiących własność Wykonawcy i spełniających wymagania przewidziane do przechowywania żywności. Opakowania zwrotne Zamawiający zwróci Wykonawcy przy następnej dostawie.  Z tytułu wypożyczania i korzystania z opakowań zbiorczych Wykonawca nie będzie pobierał żadnych opłat.</w:t>
      </w:r>
    </w:p>
    <w:p>
      <w:pPr>
        <w:pStyle w:val="Normal"/>
        <w:widowControl w:val="false"/>
        <w:spacing w:before="120" w:after="160"/>
        <w:jc w:val="both"/>
        <w:rPr>
          <w:rFonts w:ascii="Calibri" w:hAnsi="Calibri" w:eastAsia="Lucida Sans Unicode" w:cs="Arial"/>
        </w:rPr>
      </w:pPr>
      <w:r>
        <w:rPr>
          <w:rFonts w:eastAsia="Lucida Sans Unicode" w:cs="Arial"/>
        </w:rPr>
        <w:t xml:space="preserve">10. 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before="120" w:after="160"/>
        <w:jc w:val="both"/>
        <w:rPr>
          <w:rFonts w:ascii="Calibri" w:hAnsi="Calibri" w:eastAsia="Lucida Sans Unicode" w:cs="Arial"/>
        </w:rPr>
      </w:pPr>
      <w:r>
        <w:rPr>
          <w:rFonts w:eastAsia="Lucida Sans Unicode" w:cs="Arial"/>
        </w:rPr>
        <w:t>11. W przypadku zgłoszenia przez Zamawiającego dla Wykonawcy zastrzeżeń w zakresie jakości lub ilości  dostarczonego towaru 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before="120" w:after="160"/>
        <w:jc w:val="both"/>
        <w:rPr>
          <w:rFonts w:ascii="Calibri" w:hAnsi="Calibri" w:eastAsia="Lucida Sans Unicode" w:cs="Arial"/>
        </w:rPr>
      </w:pPr>
      <w:r>
        <w:rPr>
          <w:rFonts w:eastAsia="Lucida Sans Unicode" w:cs="Arial"/>
        </w:rPr>
        <w:t xml:space="preserve">12.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before="120" w:after="160"/>
        <w:jc w:val="both"/>
        <w:rPr>
          <w:rFonts w:ascii="Calibri" w:hAnsi="Calibri" w:eastAsia="Lucida Sans Unicode" w:cs="Arial"/>
        </w:rPr>
      </w:pPr>
      <w:r>
        <w:rPr>
          <w:rFonts w:eastAsia="Lucida Sans Unicode" w:cs="Arial"/>
        </w:rPr>
        <w:t>13. W przypadku zastrzeżeń co do jakości dostarczonych przez Wykonawcę produktów Zamawiający zastrzega sobie prawo do ich badania w niezależnej instytucji. W przypadku potwierdzenia wątpliwości Zamawiającego co do jakości otrzymanego ar</w:t>
      </w:r>
      <w:bookmarkStart w:id="0" w:name="_GoBack"/>
      <w:bookmarkEnd w:id="0"/>
      <w:r>
        <w:rPr>
          <w:rFonts w:eastAsia="Lucida Sans Unicode" w:cs="Arial"/>
        </w:rPr>
        <w:t xml:space="preserve">tykułu Zamawiający obciąży kosztami badań Wykonawcę. </w:t>
      </w:r>
    </w:p>
    <w:p>
      <w:pPr>
        <w:pStyle w:val="Normal"/>
        <w:widowControl w:val="false"/>
        <w:spacing w:before="120" w:after="160"/>
        <w:jc w:val="both"/>
        <w:rPr>
          <w:rFonts w:ascii="Calibri" w:hAnsi="Calibri" w:eastAsia="Lucida Sans Unicode" w:cs="Arial"/>
        </w:rPr>
      </w:pPr>
      <w:r>
        <w:rPr>
          <w:rFonts w:eastAsia="Lucida Sans Unicode" w:cs="Arial"/>
        </w:rPr>
        <w:t>14. Wykonawca będzie wystawiał faktury, w okresie tygodniowym w oparciu o ceny jednostkowe towaru oraz wielkość faktycznie zrealizowanej dostawy.</w:t>
      </w:r>
    </w:p>
    <w:p>
      <w:pPr>
        <w:pStyle w:val="Normal"/>
        <w:widowControl w:val="false"/>
        <w:spacing w:before="120" w:after="160"/>
        <w:jc w:val="both"/>
        <w:rPr>
          <w:rFonts w:ascii="Calibri" w:hAnsi="Calibri" w:eastAsia="Lucida Sans Unicode" w:cs="Arial"/>
        </w:rPr>
      </w:pPr>
      <w:r>
        <w:rPr>
          <w:rFonts w:eastAsia="Lucida Sans Unicode" w:cs="Arial"/>
        </w:rPr>
        <w:t xml:space="preserve">15. Termin płatności faktury – 30 dni od daty wpływu prawidłowo wystawionej faktury. </w:t>
      </w:r>
    </w:p>
    <w:p>
      <w:pPr>
        <w:pStyle w:val="Normal"/>
        <w:widowControl w:val="false"/>
        <w:spacing w:before="120" w:after="160"/>
        <w:jc w:val="both"/>
        <w:rPr>
          <w:rFonts w:ascii="Calibri" w:hAnsi="Calibri" w:eastAsia="Lucida Sans Unicode" w:cs="Arial"/>
        </w:rPr>
      </w:pPr>
      <w:r>
        <w:rPr>
          <w:rFonts w:eastAsia="Lucida Sans Unicode" w:cs="Arial"/>
        </w:rPr>
        <w:t xml:space="preserve">16. W przypadku braku środków finansowych na koncie Zamawiającego, Wykonawca zobowiązuje się prolongować termin zapłaty o 30 dni, nie wstrzymując dostaw bieżących.    </w:t>
      </w:r>
    </w:p>
    <w:p>
      <w:pPr>
        <w:pStyle w:val="Normal"/>
        <w:widowControl w:val="false"/>
        <w:spacing w:before="120" w:after="160"/>
        <w:jc w:val="both"/>
        <w:rPr>
          <w:rFonts w:ascii="Calibri" w:hAnsi="Calibri" w:eastAsia="Lucida Sans Unicode" w:cs="Arial"/>
        </w:rPr>
      </w:pPr>
      <w:r>
        <w:rPr>
          <w:rFonts w:eastAsia="Lucida Sans Unicode" w:cs="Arial"/>
        </w:rPr>
        <w:t xml:space="preserve">17. Z tytułu niezrealizowanych dostaw w okresie realizacji umowy Wykonawcy nie przysługują roszczenia finansowe oraz prawne. </w:t>
      </w:r>
    </w:p>
    <w:p>
      <w:pPr>
        <w:pStyle w:val="Normal"/>
        <w:widowControl w:val="false"/>
        <w:spacing w:before="120" w:after="160"/>
        <w:jc w:val="both"/>
        <w:rPr>
          <w:rFonts w:ascii="Calibri" w:hAnsi="Calibri" w:eastAsia="Lucida Sans Unicode" w:cs="Arial"/>
          <w:b/>
        </w:rPr>
      </w:pPr>
      <w:r>
        <w:rPr>
          <w:rFonts w:eastAsia="Lucida Sans Unicode" w:cs="Arial"/>
          <w:b/>
        </w:rPr>
        <w:t>18. Czas trwania umowy: 12 miesięcy</w:t>
      </w:r>
    </w:p>
    <w:p>
      <w:pPr>
        <w:pStyle w:val="Normal"/>
        <w:widowControl w:val="false"/>
        <w:spacing w:before="120" w:after="160"/>
        <w:jc w:val="both"/>
        <w:rPr>
          <w:rFonts w:ascii="Calibri" w:hAnsi="Calibri" w:eastAsia="ArialNarrow-Bold" w:cs="Arial"/>
          <w:color w:val="FF0000"/>
        </w:rPr>
      </w:pPr>
      <w:r>
        <w:rPr>
          <w:rFonts w:eastAsia="Lucida Sans Unicode" w:cs="Arial"/>
        </w:rPr>
        <w:t>19. Planowany okres</w:t>
      </w:r>
      <w:r>
        <w:rPr>
          <w:rFonts w:eastAsia="ArialNarrow-Bold" w:cs="Arial"/>
        </w:rPr>
        <w:t xml:space="preserve"> realizacji:</w:t>
      </w:r>
      <w:r>
        <w:rPr>
          <w:rFonts w:eastAsia="ArialNarrow-Bold" w:cs="Arial"/>
          <w:b/>
          <w:bCs/>
          <w:u w:val="single"/>
        </w:rPr>
        <w:t xml:space="preserve"> od 01.01.2025 r. do 31.12.2025 r.</w:t>
      </w:r>
    </w:p>
    <w:p>
      <w:pPr>
        <w:pStyle w:val="Normal"/>
        <w:rPr>
          <w:rFonts w:ascii="Calibri" w:hAnsi="Calibri"/>
        </w:rPr>
      </w:pPr>
      <w:r>
        <w:rPr/>
      </w:r>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431611066"/>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4</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4</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DKW.2232.16.2024</w:t>
      <w:tab/>
      <w:tab/>
      <w:t>Załącznik nr 1 do SWZ</w:t>
    </w:r>
  </w:p>
</w:hdr>
</file>

<file path=word/settings.xml><?xml version="1.0" encoding="utf-8"?>
<w:settings xmlns:w="http://schemas.openxmlformats.org/wordprocessingml/2006/main">
  <w:zoom w:percent="120"/>
  <w:defaultTabStop w:val="708"/>
  <w:autoHyphenation w:val="true"/>
  <w:hyphenationZone w:val="425"/>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1f96"/>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pacing w:lineRule="auto" w:line="240" w:before="0" w:after="0"/>
      <w:jc w:val="both"/>
    </w:pPr>
    <w:rPr>
      <w:rFonts w:ascii="Arial" w:hAnsi="Arial" w:eastAsia="Times New Roman" w:cs="Arial"/>
      <w:b/>
      <w:bCs/>
      <w:sz w:val="24"/>
      <w:szCs w:val="24"/>
      <w:lang w:eastAsia="ar-SA"/>
    </w:rPr>
  </w:style>
  <w:style w:type="paragraph" w:styleId="Lista">
    <w:name w:val="List"/>
    <w:basedOn w:val="Tretekstu"/>
    <w:rsid w:val="00663f53"/>
    <w:pPr/>
    <w:rPr/>
  </w:style>
  <w:style w:type="paragraph" w:styleId="Podpis" w:customStyle="1">
    <w:name w:val="Caption"/>
    <w:basedOn w:val="Normal"/>
    <w:qFormat/>
    <w:rsid w:val="00663f53"/>
    <w:pPr>
      <w:suppressLineNumbers/>
      <w:spacing w:before="120" w:after="120"/>
    </w:pPr>
    <w:rPr>
      <w:rFonts w:cs="Arial"/>
      <w:i/>
      <w:iCs/>
      <w:sz w:val="24"/>
      <w:szCs w:val="24"/>
    </w:rPr>
  </w:style>
  <w:style w:type="paragraph" w:styleId="Indeks" w:customStyle="1">
    <w:name w:val="Indeks"/>
    <w:basedOn w:val="Normal"/>
    <w:qFormat/>
    <w:rsid w:val="00663f53"/>
    <w:pPr>
      <w:suppressLineNumbers/>
    </w:pPr>
    <w:rPr>
      <w:rFonts w:cs="Arial"/>
    </w:rPr>
  </w:style>
  <w:style w:type="paragraph" w:styleId="Gwkaistopka" w:customStyle="1">
    <w:name w:val="Główka i stopka"/>
    <w:basedOn w:val="Normal"/>
    <w:qFormat/>
    <w:rsid w:val="00663f53"/>
    <w:pPr/>
    <w:rPr/>
  </w:style>
  <w:style w:type="paragraph" w:styleId="Gwka" w:customStyle="1">
    <w:name w:val="Header"/>
    <w:basedOn w:val="Normal"/>
    <w:next w:val="Tretekstu"/>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customStyle="1">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Standard" w:customStyle="1">
    <w:name w:val="Standard"/>
    <w:qFormat/>
    <w:rsid w:val="00c61a8d"/>
    <w:pPr>
      <w:widowControl w:val="false"/>
      <w:suppressAutoHyphens w:val="true"/>
      <w:bidi w:val="0"/>
      <w:spacing w:before="0" w:after="0"/>
      <w:jc w:val="left"/>
      <w:textAlignment w:val="baseline"/>
    </w:pPr>
    <w:rPr>
      <w:rFonts w:ascii="Times New Roman" w:hAnsi="Times New Roman" w:eastAsia="Lucida Sans Unicode" w:cs="Tahoma"/>
      <w:color w:val="auto"/>
      <w:kern w:val="2"/>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BD6B3-4914-4E94-A4CD-EC3F265B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LibreOffice/7.5.4.2$Windows_X86_64 LibreOffice_project/36ccfdc35048b057fd9854c757a8b67ec53977b6</Application>
  <AppVersion>15.0000</AppVersion>
  <Pages>4</Pages>
  <Words>1378</Words>
  <Characters>9705</Characters>
  <CharactersWithSpaces>11061</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2020-01-14T09:04:00Z</dcterms:created>
  <dc:creator>Paweł Kowalski</dc:creator>
  <dc:description/>
  <dc:language>pl-PL</dc:language>
  <cp:lastModifiedBy/>
  <cp:lastPrinted>2024-05-30T09:29:00Z</cp:lastPrinted>
  <dcterms:modified xsi:type="dcterms:W3CDTF">2024-10-31T14:08:23Z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