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3 – JAJA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nabiału dla Zakładu Karnego w Przytułach Starych, Znak: DKw.2232.</w:t>
      </w:r>
      <w:r>
        <w:rPr>
          <w:b/>
        </w:rPr>
        <w:t>15</w:t>
      </w:r>
      <w:r>
        <w:rPr>
          <w:b/>
        </w:rPr>
        <w:t>.2024 – Zadanie nr 3 jaja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przedmiot zamówienia wykonam w terminie 6 miesięcy od podpisania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3.3.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3.8.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460059732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15</w:t>
    </w:r>
    <w:r>
      <w:rPr/>
      <w:t>.2024</w:t>
      <w:tab/>
      <w:tab/>
      <w:t>Załącznik nr 2.3.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LibreOffice/7.5.4.2$Windows_X86_64 LibreOffice_project/36ccfdc35048b057fd9854c757a8b67ec53977b6</Application>
  <AppVersion>15.0000</AppVersion>
  <Pages>3</Pages>
  <Words>734</Words>
  <Characters>5617</Characters>
  <CharactersWithSpaces>6318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2022-11-17T10:29:00Z</dcterms:created>
  <dc:creator>Paweł Kowalski</dc:creator>
  <dc:description/>
  <dc:language>pl-PL</dc:language>
  <cp:lastModifiedBy/>
  <dcterms:modified xsi:type="dcterms:W3CDTF">2024-10-31T09:30:42Z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