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10065" w:type="dxa"/>
        <w:tblInd w:w="-147" w:type="dxa"/>
        <w:tblLook w:val="04A0" w:firstRow="1" w:lastRow="0" w:firstColumn="1" w:lastColumn="0" w:noHBand="0" w:noVBand="1"/>
      </w:tblPr>
      <w:tblGrid>
        <w:gridCol w:w="10065"/>
      </w:tblGrid>
      <w:tr w:rsidR="00CF579B" w:rsidRPr="000E368E" w14:paraId="129D9E08" w14:textId="77777777" w:rsidTr="003D0DB8">
        <w:trPr>
          <w:trHeight w:val="678"/>
        </w:trPr>
        <w:tc>
          <w:tcPr>
            <w:tcW w:w="10065"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191" w:tblpY="1"/>
        <w:tblOverlap w:val="never"/>
        <w:tblW w:w="10201" w:type="dxa"/>
        <w:tblLayout w:type="fixed"/>
        <w:tblLook w:val="04A0" w:firstRow="1" w:lastRow="0" w:firstColumn="1" w:lastColumn="0" w:noHBand="0" w:noVBand="1"/>
      </w:tblPr>
      <w:tblGrid>
        <w:gridCol w:w="1560"/>
        <w:gridCol w:w="8641"/>
      </w:tblGrid>
      <w:tr w:rsidR="00E261AA" w:rsidRPr="00A639C4" w14:paraId="6B45B2AB" w14:textId="77777777" w:rsidTr="003D0DB8">
        <w:trPr>
          <w:trHeight w:val="564"/>
        </w:trPr>
        <w:tc>
          <w:tcPr>
            <w:tcW w:w="1560" w:type="dxa"/>
            <w:tcBorders>
              <w:bottom w:val="single" w:sz="4" w:space="0" w:color="auto"/>
            </w:tcBorders>
            <w:shd w:val="clear" w:color="auto" w:fill="auto"/>
            <w:vAlign w:val="center"/>
          </w:tcPr>
          <w:p w14:paraId="260A9B4E" w14:textId="7DFA41A6" w:rsidR="0070256A" w:rsidRPr="00A639C4" w:rsidRDefault="00E261AA" w:rsidP="00B46C4D">
            <w:pPr>
              <w:tabs>
                <w:tab w:val="left" w:pos="408"/>
              </w:tabs>
              <w:jc w:val="center"/>
              <w:rPr>
                <w:b/>
                <w:sz w:val="16"/>
                <w:szCs w:val="16"/>
              </w:rPr>
            </w:pPr>
            <w:r w:rsidRPr="00A639C4">
              <w:rPr>
                <w:b/>
                <w:sz w:val="16"/>
                <w:szCs w:val="16"/>
              </w:rPr>
              <w:t>Punkt (IDW) którego dotyczą informacje</w:t>
            </w:r>
          </w:p>
        </w:tc>
        <w:tc>
          <w:tcPr>
            <w:tcW w:w="8641" w:type="dxa"/>
            <w:tcBorders>
              <w:bottom w:val="single" w:sz="4" w:space="0" w:color="auto"/>
            </w:tcBorders>
            <w:shd w:val="clear" w:color="auto" w:fill="auto"/>
            <w:vAlign w:val="center"/>
          </w:tcPr>
          <w:p w14:paraId="7FF4BEB9" w14:textId="77777777" w:rsidR="00E261AA" w:rsidRPr="009C6825" w:rsidRDefault="00E261AA" w:rsidP="00B46C4D">
            <w:pPr>
              <w:tabs>
                <w:tab w:val="left" w:pos="408"/>
              </w:tabs>
              <w:jc w:val="center"/>
              <w:rPr>
                <w:b/>
              </w:rPr>
            </w:pPr>
            <w:r w:rsidRPr="009C6825">
              <w:rPr>
                <w:b/>
              </w:rPr>
              <w:t>Treść informacji</w:t>
            </w:r>
          </w:p>
        </w:tc>
      </w:tr>
      <w:tr w:rsidR="009E1376" w:rsidRPr="00A639C4" w14:paraId="4B0B30A6" w14:textId="77777777" w:rsidTr="00E47CA1">
        <w:tc>
          <w:tcPr>
            <w:tcW w:w="1560" w:type="dxa"/>
            <w:shd w:val="clear" w:color="auto" w:fill="BFBFBF" w:themeFill="background1" w:themeFillShade="BF"/>
          </w:tcPr>
          <w:p w14:paraId="7430E121" w14:textId="70170ABD" w:rsidR="009E1376" w:rsidRPr="00A639C4" w:rsidRDefault="009E1376" w:rsidP="00B46C4D">
            <w:pPr>
              <w:tabs>
                <w:tab w:val="left" w:pos="408"/>
              </w:tabs>
              <w:jc w:val="center"/>
              <w:rPr>
                <w:b/>
              </w:rPr>
            </w:pPr>
            <w:r w:rsidRPr="00A639C4">
              <w:rPr>
                <w:b/>
              </w:rPr>
              <w:t>Pkt 4.1 IDW</w:t>
            </w:r>
          </w:p>
        </w:tc>
        <w:tc>
          <w:tcPr>
            <w:tcW w:w="8641" w:type="dxa"/>
            <w:shd w:val="clear" w:color="auto" w:fill="BFBFBF" w:themeFill="background1" w:themeFillShade="BF"/>
          </w:tcPr>
          <w:p w14:paraId="1239B616" w14:textId="5A079DE3" w:rsidR="0070256A" w:rsidRPr="00A639C4" w:rsidRDefault="009E1376" w:rsidP="00B46C4D">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E47CA1">
        <w:tc>
          <w:tcPr>
            <w:tcW w:w="1560" w:type="dxa"/>
            <w:vMerge w:val="restart"/>
            <w:shd w:val="clear" w:color="auto" w:fill="auto"/>
          </w:tcPr>
          <w:p w14:paraId="05438F84" w14:textId="77777777" w:rsidR="009E1376" w:rsidRPr="00A639C4" w:rsidRDefault="009E1376" w:rsidP="00B46C4D">
            <w:pPr>
              <w:tabs>
                <w:tab w:val="left" w:pos="408"/>
              </w:tabs>
              <w:jc w:val="center"/>
              <w:rPr>
                <w:b/>
              </w:rPr>
            </w:pPr>
          </w:p>
        </w:tc>
        <w:tc>
          <w:tcPr>
            <w:tcW w:w="8641" w:type="dxa"/>
            <w:shd w:val="clear" w:color="auto" w:fill="auto"/>
          </w:tcPr>
          <w:p w14:paraId="7EBB23AB" w14:textId="77777777" w:rsidR="009E1376" w:rsidRPr="00A639C4" w:rsidRDefault="009E1376" w:rsidP="003D0DB8">
            <w:pPr>
              <w:ind w:left="301" w:hanging="301"/>
              <w:jc w:val="both"/>
              <w:rPr>
                <w:b/>
              </w:rPr>
            </w:pPr>
            <w:r w:rsidRPr="00A639C4">
              <w:rPr>
                <w:b/>
              </w:rPr>
              <w:t>Pełna nazwa zamówienia:</w:t>
            </w:r>
          </w:p>
          <w:p w14:paraId="00DC7E57" w14:textId="0FADC87A" w:rsidR="00EE2743" w:rsidRPr="008A07B8" w:rsidRDefault="00EE2743" w:rsidP="00B46C4D">
            <w:pPr>
              <w:spacing w:before="120"/>
              <w:contextualSpacing/>
              <w:jc w:val="center"/>
              <w:rPr>
                <w:b/>
                <w:bCs/>
                <w:i/>
                <w:iCs/>
              </w:rPr>
            </w:pPr>
            <w:r w:rsidRPr="008A07B8">
              <w:rPr>
                <w:b/>
                <w:bCs/>
                <w:i/>
                <w:iCs/>
              </w:rPr>
              <w:t>„</w:t>
            </w:r>
            <w:r w:rsidR="0086250C" w:rsidRPr="0086250C">
              <w:rPr>
                <w:b/>
                <w:bCs/>
                <w:i/>
                <w:iCs/>
              </w:rPr>
              <w:t>Remont (odnowa) drogi wojewódzkiej nr 986 TUSZYMA-ROPCZYCE…* DROGA94 /ROPCZYCE/-WIŚNIOWA w m. Okonin</w:t>
            </w:r>
            <w:r w:rsidRPr="008A07B8">
              <w:rPr>
                <w:b/>
                <w:bCs/>
                <w:i/>
                <w:iCs/>
              </w:rPr>
              <w:t>”</w:t>
            </w:r>
          </w:p>
          <w:p w14:paraId="403A6D1F" w14:textId="77777777" w:rsidR="002B71A0" w:rsidRPr="003D0DB8" w:rsidRDefault="002B71A0" w:rsidP="00B46C4D">
            <w:pPr>
              <w:jc w:val="both"/>
              <w:rPr>
                <w:b/>
                <w:color w:val="000000"/>
                <w:sz w:val="6"/>
                <w:szCs w:val="6"/>
              </w:rPr>
            </w:pPr>
          </w:p>
          <w:p w14:paraId="7A3913D1" w14:textId="77777777" w:rsidR="009E1376" w:rsidRPr="00A639C4" w:rsidRDefault="009E1376" w:rsidP="00B46C4D">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B46C4D">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B46C4D">
            <w:pPr>
              <w:tabs>
                <w:tab w:val="left" w:pos="408"/>
              </w:tabs>
              <w:rPr>
                <w:b/>
              </w:rPr>
            </w:pPr>
          </w:p>
        </w:tc>
      </w:tr>
      <w:tr w:rsidR="009E1376" w:rsidRPr="00A639C4" w14:paraId="6EA5BC02" w14:textId="77777777" w:rsidTr="00E47CA1">
        <w:tc>
          <w:tcPr>
            <w:tcW w:w="1560" w:type="dxa"/>
            <w:vMerge/>
            <w:shd w:val="clear" w:color="auto" w:fill="auto"/>
          </w:tcPr>
          <w:p w14:paraId="5A0C33ED" w14:textId="77777777" w:rsidR="009E1376" w:rsidRPr="00A639C4" w:rsidRDefault="009E1376" w:rsidP="00B46C4D">
            <w:pPr>
              <w:tabs>
                <w:tab w:val="left" w:pos="408"/>
              </w:tabs>
              <w:jc w:val="center"/>
              <w:rPr>
                <w:b/>
              </w:rPr>
            </w:pPr>
          </w:p>
        </w:tc>
        <w:tc>
          <w:tcPr>
            <w:tcW w:w="8641" w:type="dxa"/>
            <w:shd w:val="clear" w:color="auto" w:fill="auto"/>
          </w:tcPr>
          <w:p w14:paraId="11C76EEF" w14:textId="77777777" w:rsidR="009E1376" w:rsidRPr="00A639C4" w:rsidRDefault="009E1376" w:rsidP="00B46C4D">
            <w:pPr>
              <w:ind w:left="300" w:hanging="300"/>
              <w:jc w:val="both"/>
              <w:rPr>
                <w:b/>
              </w:rPr>
            </w:pPr>
            <w:r w:rsidRPr="00A639C4">
              <w:rPr>
                <w:b/>
              </w:rPr>
              <w:t>Opis przedmiotu zamówienia</w:t>
            </w:r>
          </w:p>
          <w:p w14:paraId="4E51381E" w14:textId="684787B3" w:rsidR="003D0DB8" w:rsidRPr="00AD02DA" w:rsidRDefault="003D0DB8" w:rsidP="003D0DB8">
            <w:pPr>
              <w:pStyle w:val="tekstost"/>
              <w:rPr>
                <w:rFonts w:ascii="Arial" w:hAnsi="Arial" w:cs="Arial"/>
              </w:rPr>
            </w:pPr>
            <w:r w:rsidRPr="00EE42B0">
              <w:rPr>
                <w:rFonts w:ascii="Arial" w:hAnsi="Arial" w:cs="Arial"/>
                <w:bCs/>
              </w:rPr>
              <w:t xml:space="preserve">Przedmiotem zamówienia jest wykonanie remontu nawierzchni drogi wojewódzkiej </w:t>
            </w:r>
            <w:r w:rsidRPr="00950E4F">
              <w:rPr>
                <w:rFonts w:ascii="Arial" w:eastAsia="Times New Roman" w:hAnsi="Arial" w:cs="Arial"/>
                <w:bCs/>
              </w:rPr>
              <w:t xml:space="preserve"> </w:t>
            </w:r>
            <w:r w:rsidRPr="00950E4F">
              <w:rPr>
                <w:rFonts w:ascii="Arial" w:hAnsi="Arial" w:cs="Arial"/>
                <w:bCs/>
              </w:rPr>
              <w:t xml:space="preserve">Nr </w:t>
            </w:r>
            <w:r w:rsidR="00C95D8A">
              <w:rPr>
                <w:rFonts w:ascii="Arial" w:hAnsi="Arial" w:cs="Arial"/>
                <w:bCs/>
              </w:rPr>
              <w:t>986</w:t>
            </w:r>
            <w:r w:rsidRPr="00950E4F">
              <w:rPr>
                <w:rFonts w:ascii="Arial" w:hAnsi="Arial" w:cs="Arial"/>
                <w:bCs/>
              </w:rPr>
              <w:t xml:space="preserve"> na terenie miejscowości </w:t>
            </w:r>
            <w:r w:rsidR="00C95D8A">
              <w:rPr>
                <w:rFonts w:ascii="Arial" w:hAnsi="Arial" w:cs="Arial"/>
                <w:bCs/>
              </w:rPr>
              <w:t>Okonin</w:t>
            </w:r>
            <w:r>
              <w:rPr>
                <w:rFonts w:ascii="Arial" w:hAnsi="Arial" w:cs="Arial"/>
                <w:bCs/>
              </w:rPr>
              <w:t>.</w:t>
            </w:r>
          </w:p>
          <w:p w14:paraId="6AFFCDAA" w14:textId="77777777" w:rsidR="00A335B4" w:rsidRPr="003D0DB8" w:rsidRDefault="00A335B4" w:rsidP="00B46C4D">
            <w:pPr>
              <w:jc w:val="both"/>
              <w:rPr>
                <w:sz w:val="12"/>
                <w:szCs w:val="12"/>
              </w:rPr>
            </w:pPr>
          </w:p>
          <w:p w14:paraId="74EFF5F8" w14:textId="6FC14015" w:rsidR="00EE2743" w:rsidRPr="00A639C4" w:rsidRDefault="00EE2743" w:rsidP="00B46C4D">
            <w:pPr>
              <w:jc w:val="both"/>
            </w:pPr>
            <w:r w:rsidRPr="00A639C4">
              <w:t xml:space="preserve">Opis </w:t>
            </w:r>
            <w:r w:rsidR="006E3D7F">
              <w:t>p</w:t>
            </w:r>
            <w:r w:rsidRPr="00A639C4">
              <w:t xml:space="preserve">rzedmiotu </w:t>
            </w:r>
            <w:r w:rsidR="006E3D7F">
              <w:t>z</w:t>
            </w:r>
            <w:r w:rsidRPr="00A639C4">
              <w:t xml:space="preserve">amówienia oraz sposób realizacji zamówienia </w:t>
            </w:r>
            <w:r w:rsidRPr="00660E00">
              <w:t xml:space="preserve">zawiera </w:t>
            </w:r>
            <w:r w:rsidR="006E3D7F">
              <w:rPr>
                <w:b/>
                <w:bCs/>
              </w:rPr>
              <w:t>dokumentacja techniczna</w:t>
            </w:r>
            <w:r w:rsidR="007B0445">
              <w:rPr>
                <w:b/>
                <w:bCs/>
              </w:rPr>
              <w:t>,</w:t>
            </w:r>
            <w:r w:rsidR="006E3D7F">
              <w:rPr>
                <w:b/>
                <w:bCs/>
              </w:rPr>
              <w:t xml:space="preserve"> </w:t>
            </w:r>
            <w:r w:rsidR="007B0445">
              <w:rPr>
                <w:b/>
                <w:bCs/>
              </w:rPr>
              <w:t>kosztorys ofertowy</w:t>
            </w:r>
            <w:r w:rsidR="003D0DB8">
              <w:rPr>
                <w:b/>
                <w:bCs/>
              </w:rPr>
              <w:t>, przedmiar robót,</w:t>
            </w:r>
            <w:r w:rsidR="007B0445">
              <w:rPr>
                <w:b/>
                <w:bCs/>
              </w:rPr>
              <w:t xml:space="preserve"> </w:t>
            </w:r>
            <w:r w:rsidRPr="00A639C4">
              <w:t>stanowiąc</w:t>
            </w:r>
            <w:r w:rsidR="006E3D7F">
              <w:t>e</w:t>
            </w:r>
            <w:r w:rsidRPr="00A639C4">
              <w:t xml:space="preserve"> </w:t>
            </w:r>
            <w:r w:rsidRPr="00A639C4">
              <w:rPr>
                <w:b/>
              </w:rPr>
              <w:t>Załącznik</w:t>
            </w:r>
            <w:r w:rsidR="00017FE8">
              <w:rPr>
                <w:b/>
              </w:rPr>
              <w:t>i</w:t>
            </w:r>
            <w:r w:rsidRPr="00A639C4">
              <w:rPr>
                <w:b/>
              </w:rPr>
              <w:t xml:space="preserve"> do SWZ</w:t>
            </w:r>
            <w:r w:rsidRPr="00A639C4">
              <w:t>.</w:t>
            </w:r>
          </w:p>
          <w:p w14:paraId="2130F7F8" w14:textId="77777777" w:rsidR="009E1376" w:rsidRPr="006A0164" w:rsidRDefault="009E1376" w:rsidP="00B46C4D">
            <w:pPr>
              <w:jc w:val="both"/>
              <w:rPr>
                <w:b/>
                <w:sz w:val="18"/>
                <w:szCs w:val="18"/>
              </w:rPr>
            </w:pPr>
          </w:p>
        </w:tc>
      </w:tr>
      <w:tr w:rsidR="009E1376" w:rsidRPr="00A639C4" w14:paraId="65569BC4" w14:textId="77777777" w:rsidTr="00E47CA1">
        <w:tc>
          <w:tcPr>
            <w:tcW w:w="1560" w:type="dxa"/>
            <w:vMerge/>
            <w:shd w:val="clear" w:color="auto" w:fill="auto"/>
          </w:tcPr>
          <w:p w14:paraId="0E5A35B9" w14:textId="77777777" w:rsidR="009E1376" w:rsidRPr="00A639C4" w:rsidRDefault="009E1376" w:rsidP="00B46C4D">
            <w:pPr>
              <w:tabs>
                <w:tab w:val="left" w:pos="408"/>
              </w:tabs>
              <w:jc w:val="center"/>
              <w:rPr>
                <w:b/>
              </w:rPr>
            </w:pPr>
          </w:p>
        </w:tc>
        <w:tc>
          <w:tcPr>
            <w:tcW w:w="8641" w:type="dxa"/>
            <w:shd w:val="clear" w:color="auto" w:fill="auto"/>
          </w:tcPr>
          <w:p w14:paraId="161F1EAF" w14:textId="77777777" w:rsidR="009E1376" w:rsidRPr="00A639C4" w:rsidRDefault="009E1376" w:rsidP="00B46C4D">
            <w:pPr>
              <w:ind w:left="300" w:hanging="300"/>
              <w:jc w:val="both"/>
              <w:rPr>
                <w:b/>
              </w:rPr>
            </w:pPr>
            <w:r w:rsidRPr="00A639C4">
              <w:rPr>
                <w:b/>
              </w:rPr>
              <w:t>Oznaczenie wg Wspólnego Słownika Zamówień (CPV)</w:t>
            </w:r>
          </w:p>
          <w:p w14:paraId="35CBC523" w14:textId="2B1D28F1" w:rsidR="00EE42B0" w:rsidRPr="00A639C4" w:rsidRDefault="00EE42B0" w:rsidP="003D0DB8">
            <w:pPr>
              <w:spacing w:before="60"/>
              <w:ind w:left="301" w:hanging="301"/>
              <w:jc w:val="both"/>
              <w:rPr>
                <w:b/>
              </w:rPr>
            </w:pPr>
            <w:r>
              <w:rPr>
                <w:b/>
              </w:rPr>
              <w:t xml:space="preserve">45233222-1 </w:t>
            </w:r>
            <w:r w:rsidRPr="00E074D4">
              <w:rPr>
                <w:bCs/>
              </w:rPr>
              <w:t>– Roboty budowlane w zakresie układania chodników i asfaltowania</w:t>
            </w:r>
            <w:r w:rsidRPr="00A639C4">
              <w:rPr>
                <w:b/>
              </w:rPr>
              <w:t xml:space="preserve"> </w:t>
            </w:r>
          </w:p>
        </w:tc>
      </w:tr>
      <w:tr w:rsidR="009E1376" w:rsidRPr="00A639C4" w14:paraId="3A8A3E00" w14:textId="77777777" w:rsidTr="00E47CA1">
        <w:tc>
          <w:tcPr>
            <w:tcW w:w="1560" w:type="dxa"/>
            <w:vMerge/>
            <w:shd w:val="clear" w:color="auto" w:fill="auto"/>
          </w:tcPr>
          <w:p w14:paraId="50BFF663" w14:textId="77777777" w:rsidR="009E1376" w:rsidRPr="00A639C4" w:rsidRDefault="009E1376" w:rsidP="00B46C4D">
            <w:pPr>
              <w:tabs>
                <w:tab w:val="left" w:pos="408"/>
              </w:tabs>
              <w:jc w:val="center"/>
              <w:rPr>
                <w:b/>
              </w:rPr>
            </w:pPr>
          </w:p>
        </w:tc>
        <w:tc>
          <w:tcPr>
            <w:tcW w:w="8641" w:type="dxa"/>
            <w:shd w:val="clear" w:color="auto" w:fill="auto"/>
          </w:tcPr>
          <w:p w14:paraId="2166DE66" w14:textId="77777777" w:rsidR="009E1376" w:rsidRPr="00A639C4" w:rsidRDefault="009E1376" w:rsidP="00B46C4D">
            <w:pPr>
              <w:ind w:left="300" w:hanging="300"/>
              <w:jc w:val="both"/>
              <w:rPr>
                <w:b/>
              </w:rPr>
            </w:pPr>
            <w:r w:rsidRPr="00A639C4">
              <w:rPr>
                <w:b/>
              </w:rPr>
              <w:t>Sposób realizacji zamówienia</w:t>
            </w:r>
          </w:p>
          <w:p w14:paraId="026EAC46" w14:textId="77777777" w:rsidR="009E1376" w:rsidRPr="003D0DB8" w:rsidRDefault="009E1376" w:rsidP="00B46C4D">
            <w:pPr>
              <w:ind w:left="300" w:hanging="300"/>
              <w:jc w:val="both"/>
              <w:rPr>
                <w:b/>
                <w:sz w:val="4"/>
                <w:szCs w:val="4"/>
              </w:rPr>
            </w:pPr>
          </w:p>
          <w:p w14:paraId="6AD3BC43" w14:textId="0981ADC3" w:rsidR="009E1376" w:rsidRPr="00A639C4" w:rsidRDefault="009E1376" w:rsidP="00B46C4D">
            <w:pPr>
              <w:tabs>
                <w:tab w:val="left" w:pos="408"/>
              </w:tabs>
              <w:jc w:val="both"/>
            </w:pPr>
            <w:r w:rsidRPr="00A639C4">
              <w:t>Realizacja przedmiotu zamówienia musi być zgodna z ofertą i SWZ, w szczególności:</w:t>
            </w:r>
            <w:r w:rsidR="00EA37E4">
              <w:t xml:space="preserve"> </w:t>
            </w:r>
          </w:p>
          <w:p w14:paraId="31BAA175" w14:textId="3DC24497" w:rsidR="00EE2743" w:rsidRPr="007F1EBE" w:rsidRDefault="00F835BA" w:rsidP="00B46C4D">
            <w:pPr>
              <w:pStyle w:val="Akapitzlist"/>
              <w:numPr>
                <w:ilvl w:val="0"/>
                <w:numId w:val="10"/>
              </w:numPr>
              <w:tabs>
                <w:tab w:val="left" w:pos="408"/>
              </w:tabs>
              <w:jc w:val="both"/>
            </w:pPr>
            <w:r>
              <w:t>Dokumentacją techniczną (SST)</w:t>
            </w:r>
          </w:p>
          <w:p w14:paraId="5FD0C14C" w14:textId="32E4C558" w:rsidR="00EE2743" w:rsidRPr="00A639C4" w:rsidRDefault="002A71BE" w:rsidP="00B46C4D">
            <w:pPr>
              <w:pStyle w:val="Akapitzlist"/>
              <w:numPr>
                <w:ilvl w:val="0"/>
                <w:numId w:val="10"/>
              </w:numPr>
              <w:tabs>
                <w:tab w:val="left" w:pos="408"/>
              </w:tabs>
              <w:jc w:val="both"/>
            </w:pPr>
            <w:r>
              <w:t>P</w:t>
            </w:r>
            <w:r w:rsidR="00EE2743" w:rsidRPr="00A639C4">
              <w:t>rojektowanymi postanowieniami umowy w sprawie zamówienia publicznego</w:t>
            </w:r>
          </w:p>
          <w:p w14:paraId="5FF3432E" w14:textId="12EC244A" w:rsidR="009E1376" w:rsidRDefault="00017FE8" w:rsidP="00B46C4D">
            <w:pPr>
              <w:numPr>
                <w:ilvl w:val="0"/>
                <w:numId w:val="9"/>
              </w:numPr>
              <w:jc w:val="both"/>
            </w:pPr>
            <w:r>
              <w:t>Kosztorysem ofertowym (KO)</w:t>
            </w:r>
          </w:p>
          <w:p w14:paraId="6F5C1478" w14:textId="454CBC29" w:rsidR="0006539D" w:rsidRPr="003D0DB8" w:rsidRDefault="0006539D" w:rsidP="00814797">
            <w:pPr>
              <w:jc w:val="both"/>
              <w:rPr>
                <w:b/>
                <w:sz w:val="14"/>
                <w:szCs w:val="14"/>
              </w:rPr>
            </w:pPr>
          </w:p>
        </w:tc>
      </w:tr>
      <w:tr w:rsidR="009E1376" w:rsidRPr="00A639C4" w14:paraId="7D5B7BE2" w14:textId="77777777" w:rsidTr="00E47CA1">
        <w:tc>
          <w:tcPr>
            <w:tcW w:w="1560" w:type="dxa"/>
            <w:vMerge/>
            <w:shd w:val="clear" w:color="auto" w:fill="auto"/>
          </w:tcPr>
          <w:p w14:paraId="275DDF89" w14:textId="77777777" w:rsidR="009E1376" w:rsidRPr="00A639C4" w:rsidRDefault="009E1376" w:rsidP="00B46C4D">
            <w:pPr>
              <w:tabs>
                <w:tab w:val="left" w:pos="408"/>
              </w:tabs>
              <w:jc w:val="center"/>
              <w:rPr>
                <w:b/>
              </w:rPr>
            </w:pPr>
          </w:p>
        </w:tc>
        <w:tc>
          <w:tcPr>
            <w:tcW w:w="8641" w:type="dxa"/>
            <w:shd w:val="clear" w:color="auto" w:fill="auto"/>
          </w:tcPr>
          <w:p w14:paraId="63CF5F33" w14:textId="726D1D50" w:rsidR="009E1376" w:rsidRPr="00A639C4" w:rsidRDefault="009E1376" w:rsidP="00B46C4D">
            <w:pPr>
              <w:tabs>
                <w:tab w:val="left" w:pos="408"/>
              </w:tabs>
              <w:spacing w:before="80"/>
              <w:jc w:val="both"/>
              <w:rPr>
                <w:b/>
              </w:rPr>
            </w:pPr>
            <w:r w:rsidRPr="00A639C4">
              <w:rPr>
                <w:b/>
              </w:rPr>
              <w:t>Okres gwarancji i rękojmi za wady</w:t>
            </w:r>
            <w:r w:rsidR="001A29BD">
              <w:rPr>
                <w:b/>
              </w:rPr>
              <w:t xml:space="preserve"> – </w:t>
            </w:r>
            <w:r w:rsidR="002B71A0">
              <w:rPr>
                <w:b/>
              </w:rPr>
              <w:t xml:space="preserve">minimum </w:t>
            </w:r>
            <w:r w:rsidR="00713E2D">
              <w:rPr>
                <w:b/>
              </w:rPr>
              <w:t>3</w:t>
            </w:r>
            <w:r w:rsidR="002B71A0">
              <w:rPr>
                <w:b/>
              </w:rPr>
              <w:t xml:space="preserve"> lat</w:t>
            </w:r>
            <w:r w:rsidR="00713E2D">
              <w:rPr>
                <w:b/>
              </w:rPr>
              <w:t>a</w:t>
            </w:r>
          </w:p>
          <w:p w14:paraId="57554596" w14:textId="77777777" w:rsidR="009E1376" w:rsidRPr="004F55C3" w:rsidRDefault="009E1376" w:rsidP="00B46C4D">
            <w:pPr>
              <w:ind w:left="300" w:hanging="300"/>
              <w:jc w:val="both"/>
              <w:rPr>
                <w:b/>
                <w:sz w:val="12"/>
                <w:szCs w:val="12"/>
              </w:rPr>
            </w:pPr>
          </w:p>
        </w:tc>
      </w:tr>
      <w:tr w:rsidR="009E1376" w:rsidRPr="00A639C4" w14:paraId="65A68816" w14:textId="77777777" w:rsidTr="00E47CA1">
        <w:tc>
          <w:tcPr>
            <w:tcW w:w="1560" w:type="dxa"/>
            <w:vMerge/>
            <w:shd w:val="clear" w:color="auto" w:fill="auto"/>
          </w:tcPr>
          <w:p w14:paraId="15B37764" w14:textId="77777777" w:rsidR="009E1376" w:rsidRPr="00A639C4" w:rsidRDefault="009E1376" w:rsidP="00B46C4D">
            <w:pPr>
              <w:tabs>
                <w:tab w:val="left" w:pos="408"/>
              </w:tabs>
              <w:jc w:val="center"/>
              <w:rPr>
                <w:b/>
              </w:rPr>
            </w:pPr>
          </w:p>
        </w:tc>
        <w:tc>
          <w:tcPr>
            <w:tcW w:w="8641" w:type="dxa"/>
            <w:shd w:val="clear" w:color="auto" w:fill="auto"/>
          </w:tcPr>
          <w:p w14:paraId="22B7ADAB" w14:textId="77777777" w:rsidR="009E1376" w:rsidRPr="00A639C4" w:rsidRDefault="009E1376" w:rsidP="00B46C4D">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B46C4D">
            <w:pPr>
              <w:widowControl/>
              <w:autoSpaceDE/>
              <w:autoSpaceDN/>
              <w:adjustRightInd/>
              <w:spacing w:line="276" w:lineRule="auto"/>
              <w:contextualSpacing/>
              <w:jc w:val="both"/>
              <w:rPr>
                <w:rFonts w:eastAsia="Calibri"/>
                <w:bCs/>
                <w:lang w:eastAsia="en-US"/>
              </w:rPr>
            </w:pPr>
            <w:r w:rsidRPr="00A639C4">
              <w:rPr>
                <w:rFonts w:eastAsia="Calibri"/>
                <w:bCs/>
                <w:lang w:eastAsia="en-US"/>
              </w:rPr>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425047" w:rsidRDefault="009E1376" w:rsidP="00B46C4D">
            <w:pPr>
              <w:tabs>
                <w:tab w:val="left" w:pos="408"/>
              </w:tabs>
              <w:jc w:val="both"/>
              <w:rPr>
                <w:b/>
                <w:sz w:val="10"/>
                <w:szCs w:val="10"/>
              </w:rPr>
            </w:pPr>
          </w:p>
          <w:p w14:paraId="67A5FAB5" w14:textId="5E60F8F3" w:rsidR="0006539D" w:rsidRDefault="00EE2743" w:rsidP="00B46C4D">
            <w:pPr>
              <w:tabs>
                <w:tab w:val="left" w:pos="408"/>
              </w:tabs>
              <w:jc w:val="both"/>
              <w:rPr>
                <w:b/>
                <w:bCs/>
              </w:rPr>
            </w:pPr>
            <w:r w:rsidRPr="006A4E40">
              <w:rPr>
                <w:rFonts w:eastAsia="Calibri"/>
                <w:bCs/>
                <w:lang w:eastAsia="en-US"/>
              </w:rPr>
              <w:t xml:space="preserve">Zamawiający zamierza przeznaczyć na sfinansowanie przedmiotowego zamówienia kwotę </w:t>
            </w:r>
            <w:r w:rsidR="003D0DB8">
              <w:rPr>
                <w:b/>
                <w:bCs/>
              </w:rPr>
              <w:t>6</w:t>
            </w:r>
            <w:r w:rsidR="0086250C">
              <w:rPr>
                <w:b/>
                <w:bCs/>
              </w:rPr>
              <w:t>9</w:t>
            </w:r>
            <w:r w:rsidR="003D0DB8">
              <w:rPr>
                <w:b/>
                <w:bCs/>
              </w:rPr>
              <w:t>0.000,00</w:t>
            </w:r>
            <w:r w:rsidR="00950E4F">
              <w:rPr>
                <w:b/>
                <w:bCs/>
              </w:rPr>
              <w:t xml:space="preserve"> </w:t>
            </w:r>
            <w:r w:rsidRPr="006A4E40">
              <w:rPr>
                <w:b/>
                <w:bCs/>
              </w:rPr>
              <w:t>PLN.</w:t>
            </w:r>
          </w:p>
          <w:p w14:paraId="20F80362" w14:textId="522CA443" w:rsidR="001A29BD" w:rsidRPr="001A29BD" w:rsidRDefault="001A29BD" w:rsidP="00B46C4D">
            <w:pPr>
              <w:tabs>
                <w:tab w:val="left" w:pos="408"/>
              </w:tabs>
              <w:jc w:val="both"/>
              <w:rPr>
                <w:bCs/>
                <w:sz w:val="12"/>
                <w:szCs w:val="12"/>
              </w:rPr>
            </w:pPr>
          </w:p>
        </w:tc>
      </w:tr>
      <w:tr w:rsidR="009E1376" w:rsidRPr="00A639C4" w14:paraId="6C209C93" w14:textId="77777777" w:rsidTr="00E47CA1">
        <w:tc>
          <w:tcPr>
            <w:tcW w:w="1560" w:type="dxa"/>
            <w:vMerge/>
            <w:shd w:val="clear" w:color="auto" w:fill="auto"/>
          </w:tcPr>
          <w:p w14:paraId="24FD1466" w14:textId="77777777" w:rsidR="009E1376" w:rsidRPr="00A639C4" w:rsidRDefault="009E1376" w:rsidP="00B46C4D">
            <w:pPr>
              <w:tabs>
                <w:tab w:val="left" w:pos="408"/>
              </w:tabs>
              <w:jc w:val="center"/>
              <w:rPr>
                <w:b/>
              </w:rPr>
            </w:pPr>
          </w:p>
        </w:tc>
        <w:tc>
          <w:tcPr>
            <w:tcW w:w="8641" w:type="dxa"/>
            <w:shd w:val="clear" w:color="auto" w:fill="auto"/>
          </w:tcPr>
          <w:p w14:paraId="5A42C3B7" w14:textId="77777777" w:rsidR="001A29BD" w:rsidRPr="00B46C4D" w:rsidRDefault="001A29BD" w:rsidP="00B46C4D">
            <w:pPr>
              <w:tabs>
                <w:tab w:val="left" w:pos="408"/>
              </w:tabs>
              <w:jc w:val="both"/>
              <w:rPr>
                <w:b/>
                <w:bCs/>
                <w:sz w:val="8"/>
                <w:szCs w:val="8"/>
              </w:rPr>
            </w:pPr>
          </w:p>
          <w:p w14:paraId="4C6AFAFF" w14:textId="658FD748" w:rsidR="009E1376" w:rsidRPr="00A639C4" w:rsidRDefault="009E1376" w:rsidP="00B46C4D">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 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26A51" w:rsidRDefault="009E1376" w:rsidP="00B46C4D">
            <w:pPr>
              <w:tabs>
                <w:tab w:val="left" w:pos="408"/>
              </w:tabs>
              <w:jc w:val="both"/>
              <w:rPr>
                <w:b/>
                <w:bCs/>
                <w:sz w:val="8"/>
                <w:szCs w:val="8"/>
              </w:rPr>
            </w:pPr>
          </w:p>
          <w:p w14:paraId="11BEB272" w14:textId="25FCB531" w:rsidR="009E1376" w:rsidRPr="00A639C4" w:rsidRDefault="009E1376" w:rsidP="00B46C4D">
            <w:pPr>
              <w:tabs>
                <w:tab w:val="right" w:pos="9354"/>
              </w:tabs>
              <w:jc w:val="both"/>
              <w:rPr>
                <w:color w:val="000000"/>
              </w:rPr>
            </w:pPr>
            <w:r w:rsidRPr="00A639C4">
              <w:rPr>
                <w:color w:val="000000"/>
              </w:rPr>
              <w:t xml:space="preserve">Zgodnie z art. 68 ust. 3 Ustawy z dnia 11 stycznia 2018 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Zamawiający od dnia 1 stycznia 2022 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r w:rsidR="00B46C4D">
              <w:rPr>
                <w:b/>
                <w:bCs/>
                <w:color w:val="000000"/>
              </w:rPr>
              <w:t>.</w:t>
            </w:r>
          </w:p>
          <w:p w14:paraId="5BD06759" w14:textId="77777777" w:rsidR="009E1376" w:rsidRPr="00F01767" w:rsidRDefault="009E1376" w:rsidP="00B46C4D">
            <w:pPr>
              <w:tabs>
                <w:tab w:val="right" w:pos="9354"/>
              </w:tabs>
              <w:rPr>
                <w:color w:val="000000"/>
                <w:sz w:val="12"/>
                <w:szCs w:val="12"/>
              </w:rPr>
            </w:pPr>
          </w:p>
          <w:p w14:paraId="6519BA6A" w14:textId="7867A3C9" w:rsidR="009E1376" w:rsidRPr="00A639C4" w:rsidRDefault="009E1376" w:rsidP="00B46C4D">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o </w:t>
            </w:r>
            <w:proofErr w:type="spellStart"/>
            <w:r w:rsidRPr="00A639C4">
              <w:rPr>
                <w:color w:val="000000"/>
              </w:rPr>
              <w:t>elektromobilności</w:t>
            </w:r>
            <w:proofErr w:type="spellEnd"/>
            <w:r w:rsidRPr="00A639C4">
              <w:rPr>
                <w:color w:val="000000"/>
              </w:rPr>
              <w:t xml:space="preserve"> i paliwach </w:t>
            </w:r>
            <w:r w:rsidRPr="00A639C4">
              <w:rPr>
                <w:color w:val="000000"/>
              </w:rPr>
              <w:lastRenderedPageBreak/>
              <w:t>alternatywnych.</w:t>
            </w:r>
          </w:p>
          <w:p w14:paraId="271162BB" w14:textId="77777777" w:rsidR="009E1376" w:rsidRPr="00A639C4" w:rsidRDefault="009E1376" w:rsidP="00B46C4D">
            <w:pPr>
              <w:tabs>
                <w:tab w:val="right" w:pos="9354"/>
              </w:tabs>
              <w:rPr>
                <w:color w:val="000000"/>
              </w:rPr>
            </w:pPr>
            <w:r w:rsidRPr="00A639C4">
              <w:rPr>
                <w:color w:val="000000"/>
              </w:rPr>
              <w:t xml:space="preserve">Zastosowanie mają zwłaszcza: </w:t>
            </w:r>
          </w:p>
          <w:p w14:paraId="61055AD3" w14:textId="0A68EEFD" w:rsidR="009E1376" w:rsidRPr="00A639C4" w:rsidRDefault="00A639C4" w:rsidP="00B46C4D">
            <w:pPr>
              <w:tabs>
                <w:tab w:val="right" w:pos="9354"/>
              </w:tabs>
              <w:jc w:val="both"/>
              <w:rPr>
                <w:color w:val="000000"/>
              </w:rPr>
            </w:pPr>
            <w:r>
              <w:rPr>
                <w:color w:val="000000"/>
              </w:rPr>
              <w:t xml:space="preserve">- </w:t>
            </w:r>
            <w:r w:rsidR="009E1376" w:rsidRPr="00A639C4">
              <w:rPr>
                <w:color w:val="000000"/>
              </w:rPr>
              <w:t xml:space="preserve">art. 35 ust. 2 pkt 1 ,art. 36 a, art. 68 ust. 3, art. 76 Ustawy z dnia 11 stycznia 2018 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53875BB5" w:rsidR="009E1376" w:rsidRPr="00A639C4" w:rsidRDefault="00A639C4" w:rsidP="00B46C4D">
            <w:pPr>
              <w:tabs>
                <w:tab w:val="right" w:pos="9354"/>
              </w:tabs>
              <w:rPr>
                <w:color w:val="000000"/>
              </w:rPr>
            </w:pPr>
            <w:r>
              <w:rPr>
                <w:color w:val="000000"/>
              </w:rPr>
              <w:t xml:space="preserve">- </w:t>
            </w:r>
            <w:r w:rsidR="009E1376" w:rsidRPr="00A639C4">
              <w:rPr>
                <w:color w:val="000000"/>
              </w:rPr>
              <w:t>art. 14 ust.1 Ustawy z dnia 5 czerwca 1998 r. o samorządzie województwa</w:t>
            </w:r>
          </w:p>
          <w:p w14:paraId="5F29827D" w14:textId="0AD605AD" w:rsidR="009E1376" w:rsidRPr="00A639C4" w:rsidRDefault="00A639C4" w:rsidP="00B46C4D">
            <w:pPr>
              <w:tabs>
                <w:tab w:val="right" w:pos="9354"/>
              </w:tabs>
              <w:rPr>
                <w:color w:val="000000"/>
              </w:rPr>
            </w:pPr>
            <w:r>
              <w:rPr>
                <w:color w:val="000000"/>
              </w:rPr>
              <w:t xml:space="preserve">- </w:t>
            </w:r>
            <w:r w:rsidR="009E1376" w:rsidRPr="00A639C4">
              <w:rPr>
                <w:color w:val="000000"/>
              </w:rPr>
              <w:t>art. 2 pkt 33 ustawy z dnia 20 czerwca 1997 r. - Prawo o ruchu drogowym</w:t>
            </w:r>
          </w:p>
          <w:p w14:paraId="567FE8B9" w14:textId="77777777" w:rsidR="009E1376" w:rsidRPr="00E47CA1" w:rsidRDefault="009E1376" w:rsidP="00B46C4D">
            <w:pPr>
              <w:tabs>
                <w:tab w:val="left" w:pos="408"/>
              </w:tabs>
              <w:jc w:val="both"/>
              <w:rPr>
                <w:sz w:val="16"/>
                <w:szCs w:val="16"/>
              </w:rPr>
            </w:pPr>
            <w:bookmarkStart w:id="0" w:name="_Hlk92972944"/>
          </w:p>
          <w:p w14:paraId="70E7627B" w14:textId="15A67316" w:rsidR="009E1376" w:rsidRPr="004D7B7A" w:rsidRDefault="009E1376" w:rsidP="00B46C4D">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1C044D92" w14:textId="77777777" w:rsidR="00A639C4" w:rsidRPr="00C228E5" w:rsidRDefault="00A639C4" w:rsidP="00B46C4D">
            <w:pPr>
              <w:tabs>
                <w:tab w:val="left" w:pos="408"/>
              </w:tabs>
              <w:jc w:val="both"/>
              <w:rPr>
                <w:b/>
                <w:bCs/>
                <w:sz w:val="14"/>
                <w:szCs w:val="14"/>
              </w:rPr>
            </w:pPr>
          </w:p>
        </w:tc>
      </w:tr>
      <w:tr w:rsidR="009E1376" w:rsidRPr="00A639C4" w14:paraId="1A817A04" w14:textId="77777777" w:rsidTr="00E47CA1">
        <w:tc>
          <w:tcPr>
            <w:tcW w:w="1560" w:type="dxa"/>
            <w:vMerge/>
            <w:shd w:val="clear" w:color="auto" w:fill="auto"/>
          </w:tcPr>
          <w:p w14:paraId="00AD4B69" w14:textId="77777777" w:rsidR="009E1376" w:rsidRPr="00A639C4" w:rsidRDefault="009E1376" w:rsidP="00B46C4D">
            <w:pPr>
              <w:tabs>
                <w:tab w:val="left" w:pos="408"/>
              </w:tabs>
              <w:jc w:val="center"/>
              <w:rPr>
                <w:b/>
              </w:rPr>
            </w:pPr>
          </w:p>
        </w:tc>
        <w:tc>
          <w:tcPr>
            <w:tcW w:w="8641" w:type="dxa"/>
            <w:shd w:val="clear" w:color="auto" w:fill="auto"/>
          </w:tcPr>
          <w:p w14:paraId="5FDDE85E" w14:textId="77777777" w:rsidR="009E1376" w:rsidRPr="00A639C4" w:rsidRDefault="009E1376" w:rsidP="00B46C4D">
            <w:pPr>
              <w:tabs>
                <w:tab w:val="left" w:pos="408"/>
              </w:tabs>
              <w:jc w:val="both"/>
              <w:rPr>
                <w:b/>
                <w:bCs/>
              </w:rPr>
            </w:pPr>
            <w:r w:rsidRPr="00A639C4">
              <w:rPr>
                <w:b/>
                <w:bCs/>
              </w:rPr>
              <w:t xml:space="preserve">Organizacja ruchu: </w:t>
            </w:r>
          </w:p>
          <w:p w14:paraId="318E0861" w14:textId="77777777" w:rsidR="00713E2D" w:rsidRDefault="00713E2D" w:rsidP="00713E2D">
            <w:pPr>
              <w:jc w:val="both"/>
            </w:pPr>
            <w:r>
              <w:t>Wykonawca, na podstawie sporządzonego i zatwierdzonego projektu tymczasowej organizacji ruchu, zobowiązany jest powiadomić organ ruchu, Podkarpacki Zarząd Dróg Wojewódzkich i Komendę Wojewódzką Policji o dacie wprowadzenia organizacji ruchu na czas robót, zachowując 7-mio dniowy termin wyprzedzający. Przedmiotowe powiadomienie z zachowaniem wskazanego terminu wyprzedzającego dotyczy każdorazowej zmiany organizacji ruchu na czas prowadzenia robót oraz wprowadzenia stałej organizacji ruchu.</w:t>
            </w:r>
          </w:p>
          <w:p w14:paraId="30E43486" w14:textId="77777777" w:rsidR="00713E2D" w:rsidRDefault="00713E2D" w:rsidP="00713E2D">
            <w:pPr>
              <w:jc w:val="both"/>
            </w:pPr>
            <w:r>
              <w:t>Wykonawca zobowiązany jest do:</w:t>
            </w:r>
          </w:p>
          <w:p w14:paraId="3DBFD6DD" w14:textId="77777777" w:rsidR="00713E2D" w:rsidRDefault="00713E2D" w:rsidP="00713E2D">
            <w:pPr>
              <w:jc w:val="both"/>
            </w:pPr>
            <w:r>
              <w:t>- likwidacji oznakowania czasowego robót po ich zakończeniu,</w:t>
            </w:r>
          </w:p>
          <w:p w14:paraId="03A2C27E" w14:textId="77777777" w:rsidR="00713E2D" w:rsidRDefault="00713E2D" w:rsidP="00713E2D">
            <w:pPr>
              <w:jc w:val="both"/>
            </w:pPr>
            <w:r>
              <w:t>- usunięcia z rozbudowywanej drogi maszyn drogowych i urządzeń w czasie przerw w prowadzonych pracach lub dokonania zabezpieczenia na poboczach lub parkingach w sposób akceptowany przez Inspektora.</w:t>
            </w:r>
          </w:p>
          <w:p w14:paraId="160C05F6" w14:textId="77777777" w:rsidR="00713E2D" w:rsidRDefault="00713E2D" w:rsidP="00713E2D">
            <w:pPr>
              <w:jc w:val="both"/>
            </w:pPr>
            <w:r>
              <w:t>- poinformowania mieszkańców i osób prowadzących działalność gospodarczą w rejonie robót o spodziewanych utrudnieniach w ruchu drogowym poprzez przekazanie informacji w sposób zwyczajowo przyjęty,</w:t>
            </w:r>
          </w:p>
          <w:p w14:paraId="1760594A" w14:textId="664D6BF5" w:rsidR="00851390" w:rsidRPr="000E368E" w:rsidRDefault="00713E2D" w:rsidP="00713E2D">
            <w:pPr>
              <w:tabs>
                <w:tab w:val="left" w:pos="408"/>
              </w:tabs>
              <w:jc w:val="both"/>
            </w:pPr>
            <w:r>
              <w:t>- zaplanowania prowadzenia prac w systemie wielozmianowym oraz w dniach wolnych od pracy celem skrócenia czasu występowania utrudnień.</w:t>
            </w:r>
          </w:p>
          <w:p w14:paraId="1332AF73" w14:textId="77777777" w:rsidR="009E1376" w:rsidRPr="00851390" w:rsidRDefault="009E1376" w:rsidP="00B46C4D">
            <w:pPr>
              <w:tabs>
                <w:tab w:val="left" w:pos="408"/>
              </w:tabs>
              <w:jc w:val="both"/>
              <w:rPr>
                <w:b/>
                <w:bCs/>
                <w:sz w:val="14"/>
                <w:szCs w:val="14"/>
              </w:rPr>
            </w:pPr>
          </w:p>
        </w:tc>
      </w:tr>
      <w:tr w:rsidR="009E1376" w:rsidRPr="00A639C4" w14:paraId="1D1D1909" w14:textId="77777777" w:rsidTr="00E47CA1">
        <w:tc>
          <w:tcPr>
            <w:tcW w:w="1560" w:type="dxa"/>
            <w:vMerge/>
            <w:shd w:val="clear" w:color="auto" w:fill="auto"/>
          </w:tcPr>
          <w:p w14:paraId="3263727A" w14:textId="77777777" w:rsidR="009E1376" w:rsidRPr="00A639C4" w:rsidRDefault="009E1376" w:rsidP="00B46C4D">
            <w:pPr>
              <w:tabs>
                <w:tab w:val="left" w:pos="408"/>
              </w:tabs>
              <w:jc w:val="center"/>
              <w:rPr>
                <w:b/>
              </w:rPr>
            </w:pPr>
          </w:p>
        </w:tc>
        <w:tc>
          <w:tcPr>
            <w:tcW w:w="8641" w:type="dxa"/>
            <w:shd w:val="clear" w:color="auto" w:fill="auto"/>
          </w:tcPr>
          <w:p w14:paraId="0B1FC49E" w14:textId="77777777" w:rsidR="009E1376" w:rsidRPr="00A639C4" w:rsidRDefault="009E1376" w:rsidP="00B46C4D">
            <w:pPr>
              <w:tabs>
                <w:tab w:val="left" w:pos="408"/>
              </w:tabs>
              <w:jc w:val="both"/>
              <w:rPr>
                <w:b/>
                <w:bCs/>
              </w:rPr>
            </w:pPr>
            <w:r w:rsidRPr="00A639C4">
              <w:rPr>
                <w:b/>
                <w:bCs/>
              </w:rPr>
              <w:t>Równoważność</w:t>
            </w:r>
          </w:p>
          <w:p w14:paraId="5CC6A1C3" w14:textId="77777777" w:rsidR="009E1376" w:rsidRPr="009C4AD4" w:rsidRDefault="009E1376" w:rsidP="00B46C4D">
            <w:pPr>
              <w:tabs>
                <w:tab w:val="left" w:pos="408"/>
              </w:tabs>
              <w:jc w:val="both"/>
              <w:rPr>
                <w:sz w:val="10"/>
                <w:szCs w:val="10"/>
              </w:rPr>
            </w:pPr>
          </w:p>
          <w:p w14:paraId="4B3890CD" w14:textId="748F929B" w:rsidR="009E1376" w:rsidRPr="00A639C4" w:rsidRDefault="009E1376" w:rsidP="00B46C4D">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B46C4D">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567D3646" w14:textId="77777777" w:rsidR="00F01767" w:rsidRDefault="009E1376" w:rsidP="00B46C4D">
            <w:pPr>
              <w:tabs>
                <w:tab w:val="left" w:pos="408"/>
              </w:tabs>
              <w:jc w:val="both"/>
              <w:rPr>
                <w:color w:val="000000"/>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w:t>
            </w:r>
          </w:p>
          <w:p w14:paraId="2C2B886A" w14:textId="109CFC38" w:rsidR="00713E2D" w:rsidRPr="00E47CA1" w:rsidRDefault="00713E2D" w:rsidP="00B46C4D">
            <w:pPr>
              <w:tabs>
                <w:tab w:val="left" w:pos="408"/>
              </w:tabs>
              <w:jc w:val="both"/>
              <w:rPr>
                <w:b/>
                <w:bCs/>
                <w:sz w:val="14"/>
                <w:szCs w:val="14"/>
              </w:rPr>
            </w:pPr>
          </w:p>
        </w:tc>
      </w:tr>
      <w:tr w:rsidR="00265C7D" w:rsidRPr="00A639C4" w14:paraId="74E3F54E" w14:textId="77777777" w:rsidTr="00E47CA1">
        <w:tc>
          <w:tcPr>
            <w:tcW w:w="1560" w:type="dxa"/>
            <w:shd w:val="clear" w:color="auto" w:fill="BFBFBF" w:themeFill="background1" w:themeFillShade="BF"/>
          </w:tcPr>
          <w:p w14:paraId="51F189A6" w14:textId="6CBD9CE1" w:rsidR="00265C7D" w:rsidRPr="00A639C4" w:rsidRDefault="00265C7D" w:rsidP="00B46C4D">
            <w:pPr>
              <w:tabs>
                <w:tab w:val="left" w:pos="408"/>
              </w:tabs>
              <w:spacing w:before="80" w:after="80"/>
              <w:jc w:val="center"/>
              <w:rPr>
                <w:b/>
              </w:rPr>
            </w:pPr>
            <w:r>
              <w:rPr>
                <w:b/>
              </w:rPr>
              <w:t>3.1</w:t>
            </w:r>
            <w:r w:rsidR="002B7221">
              <w:rPr>
                <w:b/>
              </w:rPr>
              <w:t xml:space="preserve"> IDW</w:t>
            </w:r>
          </w:p>
        </w:tc>
        <w:tc>
          <w:tcPr>
            <w:tcW w:w="8641" w:type="dxa"/>
            <w:shd w:val="clear" w:color="auto" w:fill="BFBFBF" w:themeFill="background1" w:themeFillShade="BF"/>
          </w:tcPr>
          <w:p w14:paraId="3A3A97F2" w14:textId="4CE2F9B9" w:rsidR="00265C7D" w:rsidRPr="00A639C4" w:rsidRDefault="00265C7D" w:rsidP="00B46C4D">
            <w:pPr>
              <w:spacing w:before="80" w:after="80"/>
              <w:jc w:val="both"/>
              <w:rPr>
                <w:b/>
                <w:bCs/>
              </w:rPr>
            </w:pPr>
            <w:r>
              <w:rPr>
                <w:b/>
                <w:bCs/>
              </w:rPr>
              <w:t>M</w:t>
            </w:r>
            <w:r w:rsidRPr="00265C7D">
              <w:rPr>
                <w:b/>
                <w:bCs/>
              </w:rPr>
              <w:t>ożliwość negocjacji</w:t>
            </w:r>
          </w:p>
        </w:tc>
      </w:tr>
      <w:tr w:rsidR="00265C7D" w:rsidRPr="00A639C4" w14:paraId="56C45A99" w14:textId="77777777" w:rsidTr="00E47CA1">
        <w:tc>
          <w:tcPr>
            <w:tcW w:w="1560" w:type="dxa"/>
            <w:shd w:val="clear" w:color="auto" w:fill="auto"/>
          </w:tcPr>
          <w:p w14:paraId="281CC30D" w14:textId="77777777" w:rsidR="00265C7D" w:rsidRPr="00A639C4" w:rsidRDefault="00265C7D" w:rsidP="00B46C4D">
            <w:pPr>
              <w:tabs>
                <w:tab w:val="left" w:pos="408"/>
              </w:tabs>
              <w:spacing w:before="80" w:after="80"/>
              <w:jc w:val="center"/>
              <w:rPr>
                <w:b/>
              </w:rPr>
            </w:pPr>
          </w:p>
        </w:tc>
        <w:tc>
          <w:tcPr>
            <w:tcW w:w="8641" w:type="dxa"/>
            <w:shd w:val="clear" w:color="auto" w:fill="auto"/>
          </w:tcPr>
          <w:p w14:paraId="6E2337C1" w14:textId="77777777" w:rsidR="00E47CA1" w:rsidRPr="00E47CA1" w:rsidRDefault="00E47CA1" w:rsidP="00B46C4D">
            <w:pPr>
              <w:jc w:val="both"/>
              <w:rPr>
                <w:sz w:val="10"/>
                <w:szCs w:val="10"/>
              </w:rPr>
            </w:pPr>
          </w:p>
          <w:p w14:paraId="499FF639" w14:textId="6A0F75B3" w:rsidR="00265C7D" w:rsidRDefault="00265C7D" w:rsidP="00B46C4D">
            <w:pPr>
              <w:jc w:val="both"/>
            </w:pPr>
            <w:r>
              <w:t>Zamawiający przewiduje możliwość prowadzenia negocjacji w celu ulepszenia treści ofert, które podlegają ocenie w ramach kryteriów oceny ofert tj.:</w:t>
            </w:r>
          </w:p>
          <w:p w14:paraId="33410FE6" w14:textId="634FBC6B" w:rsidR="00265C7D" w:rsidRDefault="00713E2D" w:rsidP="00E47CA1">
            <w:pPr>
              <w:pStyle w:val="Akapitzlist"/>
              <w:numPr>
                <w:ilvl w:val="0"/>
                <w:numId w:val="33"/>
              </w:numPr>
              <w:spacing w:before="60"/>
              <w:ind w:left="714" w:hanging="357"/>
              <w:jc w:val="both"/>
            </w:pPr>
            <w:r>
              <w:t>c</w:t>
            </w:r>
            <w:r w:rsidR="00265C7D">
              <w:t>ena</w:t>
            </w:r>
          </w:p>
          <w:p w14:paraId="4F2E655A" w14:textId="5DF9FB39" w:rsidR="00713E2D" w:rsidRDefault="00713E2D" w:rsidP="00713E2D">
            <w:pPr>
              <w:pStyle w:val="Akapitzlist"/>
              <w:numPr>
                <w:ilvl w:val="0"/>
                <w:numId w:val="33"/>
              </w:numPr>
            </w:pPr>
            <w:r w:rsidRPr="00713E2D">
              <w:t>okres gwarancji i rękojmi</w:t>
            </w:r>
            <w:r w:rsidR="0058358F">
              <w:t xml:space="preserve"> za wady</w:t>
            </w:r>
          </w:p>
          <w:p w14:paraId="72739266" w14:textId="5C2E90B4" w:rsidR="00E47CA1" w:rsidRPr="00E47CA1" w:rsidRDefault="00E47CA1" w:rsidP="00E47CA1">
            <w:pPr>
              <w:jc w:val="both"/>
              <w:rPr>
                <w:sz w:val="12"/>
                <w:szCs w:val="12"/>
              </w:rPr>
            </w:pPr>
          </w:p>
        </w:tc>
      </w:tr>
      <w:tr w:rsidR="009E1376" w:rsidRPr="00A639C4" w14:paraId="67762414" w14:textId="77777777" w:rsidTr="00E47CA1">
        <w:tc>
          <w:tcPr>
            <w:tcW w:w="1560" w:type="dxa"/>
            <w:shd w:val="clear" w:color="auto" w:fill="BFBFBF" w:themeFill="background1" w:themeFillShade="BF"/>
          </w:tcPr>
          <w:p w14:paraId="7A6F6403" w14:textId="5C478B20" w:rsidR="009E1376" w:rsidRPr="00A639C4" w:rsidRDefault="009E1376" w:rsidP="00B46C4D">
            <w:pPr>
              <w:tabs>
                <w:tab w:val="left" w:pos="408"/>
              </w:tabs>
              <w:spacing w:before="80" w:after="80"/>
              <w:jc w:val="center"/>
              <w:rPr>
                <w:b/>
              </w:rPr>
            </w:pPr>
            <w:bookmarkStart w:id="1" w:name="_Hlk123634923"/>
            <w:r w:rsidRPr="00A639C4">
              <w:rPr>
                <w:b/>
              </w:rPr>
              <w:lastRenderedPageBreak/>
              <w:t>Pkt 3.8 IDW</w:t>
            </w:r>
          </w:p>
        </w:tc>
        <w:tc>
          <w:tcPr>
            <w:tcW w:w="8641" w:type="dxa"/>
            <w:shd w:val="clear" w:color="auto" w:fill="BFBFBF" w:themeFill="background1" w:themeFillShade="BF"/>
          </w:tcPr>
          <w:p w14:paraId="1E5CC173" w14:textId="19389242" w:rsidR="009E1376" w:rsidRPr="00A639C4" w:rsidRDefault="009E1376" w:rsidP="00B46C4D">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9E1376" w:rsidRPr="00A639C4" w14:paraId="2727A62A" w14:textId="77777777" w:rsidTr="00E47CA1">
        <w:tc>
          <w:tcPr>
            <w:tcW w:w="1560" w:type="dxa"/>
            <w:shd w:val="clear" w:color="auto" w:fill="auto"/>
          </w:tcPr>
          <w:p w14:paraId="1D8CBF62" w14:textId="77777777" w:rsidR="009E1376" w:rsidRPr="00A639C4" w:rsidRDefault="009E1376" w:rsidP="00B46C4D">
            <w:pPr>
              <w:tabs>
                <w:tab w:val="left" w:pos="408"/>
              </w:tabs>
              <w:jc w:val="center"/>
              <w:rPr>
                <w:b/>
              </w:rPr>
            </w:pPr>
          </w:p>
        </w:tc>
        <w:tc>
          <w:tcPr>
            <w:tcW w:w="8641" w:type="dxa"/>
            <w:shd w:val="clear" w:color="auto" w:fill="auto"/>
          </w:tcPr>
          <w:p w14:paraId="02C2D120" w14:textId="18F5DB2B" w:rsidR="003D0DB8" w:rsidRPr="008534DB" w:rsidRDefault="003D0DB8" w:rsidP="003D0DB8">
            <w:pPr>
              <w:jc w:val="both"/>
            </w:pPr>
            <w:r w:rsidRPr="008534DB">
              <w:t xml:space="preserve">Zamawiający </w:t>
            </w:r>
            <w:r w:rsidRPr="007F3EF0">
              <w:rPr>
                <w:b/>
                <w:bCs/>
              </w:rPr>
              <w:t>nie</w:t>
            </w:r>
            <w:r>
              <w:t xml:space="preserve"> </w:t>
            </w:r>
            <w:r w:rsidRPr="008534DB">
              <w:rPr>
                <w:b/>
                <w:bCs/>
              </w:rPr>
              <w:t>przewiduje możliwoś</w:t>
            </w:r>
            <w:r>
              <w:rPr>
                <w:b/>
                <w:bCs/>
              </w:rPr>
              <w:t>ci</w:t>
            </w:r>
            <w:r w:rsidRPr="008534DB">
              <w:t xml:space="preserve"> skorzystania z „prawa opcji”</w:t>
            </w:r>
            <w:r>
              <w:t xml:space="preserve"> </w:t>
            </w:r>
            <w:r w:rsidRPr="003D0DB8">
              <w:t xml:space="preserve">tzn. dodatkowych </w:t>
            </w:r>
            <w:r w:rsidRPr="003D0DB8">
              <w:rPr>
                <w:u w:val="single"/>
              </w:rPr>
              <w:t>robót budowlanych</w:t>
            </w:r>
            <w:r w:rsidRPr="008534DB">
              <w:t xml:space="preserve"> zgodnie z </w:t>
            </w:r>
            <w:bookmarkStart w:id="2" w:name="_Hlk123632681"/>
            <w:r w:rsidRPr="008534DB">
              <w:t xml:space="preserve">art. 441 ust.1 </w:t>
            </w:r>
            <w:proofErr w:type="spellStart"/>
            <w:r w:rsidRPr="008534DB">
              <w:t>Pzp</w:t>
            </w:r>
            <w:bookmarkEnd w:id="2"/>
            <w:proofErr w:type="spellEnd"/>
            <w:r w:rsidRPr="003D0DB8">
              <w:t>.</w:t>
            </w:r>
          </w:p>
          <w:p w14:paraId="3B96E6F9" w14:textId="08EDC47C" w:rsidR="0006539D" w:rsidRPr="00EC2F5C" w:rsidRDefault="0006539D" w:rsidP="00B46C4D">
            <w:pPr>
              <w:widowControl/>
              <w:autoSpaceDE/>
              <w:autoSpaceDN/>
              <w:adjustRightInd/>
              <w:contextualSpacing/>
              <w:jc w:val="both"/>
              <w:rPr>
                <w:b/>
                <w:bCs/>
                <w:sz w:val="12"/>
                <w:szCs w:val="12"/>
              </w:rPr>
            </w:pPr>
          </w:p>
        </w:tc>
      </w:tr>
      <w:bookmarkEnd w:id="1"/>
      <w:tr w:rsidR="009E1376" w:rsidRPr="00A639C4" w14:paraId="214B6BF8" w14:textId="77777777" w:rsidTr="00E47CA1">
        <w:tc>
          <w:tcPr>
            <w:tcW w:w="1560" w:type="dxa"/>
            <w:shd w:val="clear" w:color="auto" w:fill="BFBFBF" w:themeFill="background1" w:themeFillShade="BF"/>
          </w:tcPr>
          <w:p w14:paraId="4D350397" w14:textId="7FC52D83" w:rsidR="009E1376" w:rsidRPr="00A639C4" w:rsidRDefault="009E1376" w:rsidP="00B46C4D">
            <w:pPr>
              <w:tabs>
                <w:tab w:val="left" w:pos="408"/>
              </w:tabs>
              <w:spacing w:before="360"/>
              <w:jc w:val="center"/>
              <w:rPr>
                <w:b/>
              </w:rPr>
            </w:pPr>
            <w:r w:rsidRPr="00A639C4">
              <w:rPr>
                <w:b/>
              </w:rPr>
              <w:t>Pkt 3.10 IDW</w:t>
            </w:r>
          </w:p>
        </w:tc>
        <w:tc>
          <w:tcPr>
            <w:tcW w:w="8641" w:type="dxa"/>
            <w:shd w:val="clear" w:color="auto" w:fill="BFBFBF" w:themeFill="background1" w:themeFillShade="BF"/>
          </w:tcPr>
          <w:p w14:paraId="37E68364" w14:textId="1FDD83F7" w:rsidR="009E1376" w:rsidRPr="00A639C4" w:rsidRDefault="009E1376" w:rsidP="00B46C4D">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E47CA1">
        <w:tc>
          <w:tcPr>
            <w:tcW w:w="1560" w:type="dxa"/>
            <w:tcBorders>
              <w:bottom w:val="single" w:sz="4" w:space="0" w:color="auto"/>
            </w:tcBorders>
            <w:shd w:val="clear" w:color="auto" w:fill="auto"/>
          </w:tcPr>
          <w:p w14:paraId="6579DE5C" w14:textId="77777777"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0F546463" w14:textId="77777777" w:rsidR="009E1376" w:rsidRPr="005C00DD" w:rsidRDefault="009E1376" w:rsidP="00B46C4D">
            <w:pPr>
              <w:jc w:val="both"/>
              <w:rPr>
                <w:b/>
                <w:sz w:val="10"/>
                <w:szCs w:val="10"/>
              </w:rPr>
            </w:pPr>
          </w:p>
          <w:p w14:paraId="339BF232" w14:textId="77777777" w:rsidR="009E1376" w:rsidRPr="00A639C4" w:rsidRDefault="009E1376" w:rsidP="00B46C4D">
            <w:pPr>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51C14524" w14:textId="77777777" w:rsidR="009E1376" w:rsidRPr="00560447" w:rsidRDefault="009E1376" w:rsidP="00B46C4D">
            <w:pPr>
              <w:jc w:val="both"/>
              <w:rPr>
                <w:b/>
                <w:sz w:val="12"/>
                <w:szCs w:val="12"/>
              </w:rPr>
            </w:pPr>
          </w:p>
          <w:p w14:paraId="7E866006" w14:textId="04B5F7DF" w:rsidR="009E1376" w:rsidRPr="00A639C4" w:rsidRDefault="009E1376" w:rsidP="00B46C4D">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2C511E" w:rsidRDefault="009E1376" w:rsidP="00B46C4D">
            <w:pPr>
              <w:jc w:val="both"/>
              <w:rPr>
                <w:b/>
                <w:sz w:val="14"/>
                <w:szCs w:val="14"/>
              </w:rPr>
            </w:pPr>
          </w:p>
          <w:p w14:paraId="2C316B50" w14:textId="77777777" w:rsidR="009E1376" w:rsidRPr="00A639C4" w:rsidRDefault="009E1376" w:rsidP="00B46C4D">
            <w:pPr>
              <w:jc w:val="both"/>
              <w:rPr>
                <w:b/>
              </w:rPr>
            </w:pPr>
            <w:r w:rsidRPr="00A639C4">
              <w:rPr>
                <w:b/>
              </w:rPr>
              <w:t>1) rodzaj czynności niezbędnych do realizacji zamówienia, których dotyczą wymagania zatrudnienia na podstawie stosunku pracy przez wykonawcę lub podwykonawcę osób wykonujących czynności w trakcie realizacji zamówienia;</w:t>
            </w:r>
          </w:p>
          <w:p w14:paraId="7F9CA602" w14:textId="092CBC39" w:rsidR="009E1376" w:rsidRPr="00A639C4" w:rsidRDefault="009E1376" w:rsidP="00B46C4D">
            <w:pPr>
              <w:jc w:val="both"/>
            </w:pPr>
            <w:r w:rsidRPr="00A639C4">
              <w:t xml:space="preserve">Zamawiający wymaga zatrudnienia na </w:t>
            </w:r>
            <w:r w:rsidRPr="00A639C4">
              <w:rPr>
                <w:bCs/>
              </w:rPr>
              <w:t>podstawie stosunku pracy</w:t>
            </w:r>
            <w:r w:rsidRPr="00A639C4">
              <w:t xml:space="preserve"> przez wykonawcę lub podwykonawcę osób </w:t>
            </w:r>
            <w:bookmarkStart w:id="3" w:name="_Hlk1632458"/>
            <w:r w:rsidRPr="00A639C4">
              <w:t>wykonujących czynności w trakcie realizacji zamówienia:</w:t>
            </w:r>
          </w:p>
          <w:bookmarkEnd w:id="3"/>
          <w:p w14:paraId="3BA7B918" w14:textId="5E97F3A9" w:rsidR="00D125CF" w:rsidRPr="00161408" w:rsidRDefault="00D125CF" w:rsidP="00BC4ED4">
            <w:pPr>
              <w:spacing w:before="60"/>
              <w:jc w:val="both"/>
            </w:pPr>
            <w:r w:rsidRPr="00D125CF">
              <w:rPr>
                <w:b/>
                <w:bCs/>
              </w:rPr>
              <w:t xml:space="preserve">Pracownicy fizyczni </w:t>
            </w:r>
            <w:r w:rsidR="00BC4ED4">
              <w:rPr>
                <w:b/>
                <w:bCs/>
              </w:rPr>
              <w:t>i o</w:t>
            </w:r>
            <w:r w:rsidRPr="00D125CF">
              <w:rPr>
                <w:b/>
                <w:bCs/>
              </w:rPr>
              <w:t xml:space="preserve">peratorzy </w:t>
            </w:r>
            <w:r w:rsidRPr="00161408">
              <w:rPr>
                <w:b/>
                <w:bCs/>
              </w:rPr>
              <w:t xml:space="preserve">podstawowych maszyn budowlanych </w:t>
            </w:r>
            <w:r w:rsidR="000A06EE" w:rsidRPr="00161408">
              <w:rPr>
                <w:b/>
                <w:bCs/>
              </w:rPr>
              <w:t>na terenie budowy</w:t>
            </w:r>
          </w:p>
          <w:p w14:paraId="77A7A582" w14:textId="7D294BEB" w:rsidR="00235DE9" w:rsidRPr="00235DE9" w:rsidRDefault="00235DE9" w:rsidP="00235DE9">
            <w:pPr>
              <w:jc w:val="both"/>
            </w:pPr>
            <w:r w:rsidRPr="00161408">
              <w:t>(np. os</w:t>
            </w:r>
            <w:r w:rsidR="009A4ED7">
              <w:t>oby</w:t>
            </w:r>
            <w:r w:rsidRPr="00161408">
              <w:t xml:space="preserve"> wykonując</w:t>
            </w:r>
            <w:r w:rsidR="009A4ED7">
              <w:t>e</w:t>
            </w:r>
            <w:r w:rsidRPr="00161408">
              <w:t xml:space="preserve"> wszystkie prace wchodzące w zakres robót wynikających z </w:t>
            </w:r>
            <w:r w:rsidR="00161408" w:rsidRPr="00161408">
              <w:t>dokumentacji technicznej</w:t>
            </w:r>
            <w:r w:rsidR="009A4ED7">
              <w:t xml:space="preserve"> - SST</w:t>
            </w:r>
            <w:r w:rsidR="00161408" w:rsidRPr="00161408">
              <w:t xml:space="preserve"> i kosztorysu ofertowego</w:t>
            </w:r>
            <w:r w:rsidRPr="00161408">
              <w:t>).</w:t>
            </w:r>
          </w:p>
          <w:p w14:paraId="7585702C" w14:textId="4CC24E53" w:rsidR="00235DE9" w:rsidRPr="00235DE9" w:rsidRDefault="00235DE9" w:rsidP="00235DE9">
            <w:pPr>
              <w:jc w:val="both"/>
            </w:pPr>
            <w:r w:rsidRPr="00235DE9">
              <w:t xml:space="preserve">Zamawiający wymaga zatrudnienia na podstawie stosunku pracy przez wykonawcę lub podwykonawcę osób wykonujących w trakcie realizacji zamówienia czynności bezpośrednio związane z wykonywaniem robót (bezpośrednie wykonywanie robót budowlanych w zakresie wszystkich branż przewidzianych w dokumentacji </w:t>
            </w:r>
            <w:r w:rsidR="00196283">
              <w:t>technicznej - SST</w:t>
            </w:r>
            <w:r w:rsidRPr="00235DE9">
              <w:t>) czyli tzw. pracowników fizycznych</w:t>
            </w:r>
            <w:r w:rsidR="00196283">
              <w:t xml:space="preserve"> i operatorów podstawowych maszyn budowlanych na terenie budowy</w:t>
            </w:r>
            <w:r w:rsidRPr="00235DE9">
              <w:t>, niezależnie od tego czy prace te będzie wykonywał Wykonawca czy podwykonawca.</w:t>
            </w:r>
          </w:p>
          <w:p w14:paraId="5F310C09" w14:textId="77777777" w:rsidR="00235DE9" w:rsidRPr="00BC4ED4" w:rsidRDefault="00235DE9" w:rsidP="00B46C4D">
            <w:pPr>
              <w:jc w:val="both"/>
              <w:rPr>
                <w:sz w:val="14"/>
                <w:szCs w:val="14"/>
              </w:rPr>
            </w:pPr>
          </w:p>
          <w:p w14:paraId="22B1D718" w14:textId="6FB3B0FB" w:rsidR="002B71A0" w:rsidRDefault="004B76EC" w:rsidP="00B46C4D">
            <w:pPr>
              <w:jc w:val="both"/>
              <w:rPr>
                <w:sz w:val="16"/>
                <w:szCs w:val="16"/>
              </w:rPr>
            </w:pPr>
            <w:r w:rsidRPr="00A639C4">
              <w:t>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w:t>
            </w:r>
          </w:p>
          <w:p w14:paraId="462184A4" w14:textId="77777777" w:rsidR="004B76EC" w:rsidRPr="002C511E" w:rsidRDefault="004B76EC" w:rsidP="00B46C4D">
            <w:pPr>
              <w:jc w:val="both"/>
              <w:rPr>
                <w:sz w:val="16"/>
                <w:szCs w:val="16"/>
              </w:rPr>
            </w:pPr>
          </w:p>
          <w:p w14:paraId="29EA9E72" w14:textId="77777777" w:rsidR="009E1376" w:rsidRPr="00A639C4" w:rsidRDefault="009E1376" w:rsidP="00B46C4D">
            <w:pPr>
              <w:jc w:val="both"/>
              <w:rPr>
                <w:b/>
              </w:rPr>
            </w:pPr>
            <w:r w:rsidRPr="00A639C4">
              <w:rPr>
                <w:b/>
              </w:rPr>
              <w:t>2) sposób weryfikacji zatrudnienia tych osób;</w:t>
            </w:r>
          </w:p>
          <w:p w14:paraId="67C5565D" w14:textId="53D8828A" w:rsidR="009E1376" w:rsidRPr="00A639C4" w:rsidRDefault="009E1376" w:rsidP="00B46C4D">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2C511E" w:rsidRDefault="009E1376" w:rsidP="00B46C4D">
            <w:pPr>
              <w:jc w:val="both"/>
              <w:rPr>
                <w:b/>
                <w:sz w:val="16"/>
                <w:szCs w:val="16"/>
              </w:rPr>
            </w:pPr>
          </w:p>
          <w:p w14:paraId="425AF457" w14:textId="77777777" w:rsidR="009E1376" w:rsidRPr="00A639C4" w:rsidRDefault="009E1376" w:rsidP="00B46C4D">
            <w:pPr>
              <w:jc w:val="both"/>
              <w:rPr>
                <w:b/>
              </w:rPr>
            </w:pPr>
            <w:r w:rsidRPr="00A639C4">
              <w:rPr>
                <w:b/>
              </w:rPr>
              <w:t>3) uprawnienia zamawiającego w zakresie kontroli spełniania przez wykonawcę wymagań związanych z zatrudnianiem tych osób oraz sankcji z tytułu niespełnienia tych wymagań.</w:t>
            </w:r>
          </w:p>
          <w:p w14:paraId="51B67B5A" w14:textId="2E14ACC9" w:rsidR="009E1376" w:rsidRPr="002B57BE" w:rsidRDefault="009E1376" w:rsidP="00B46C4D">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w:t>
            </w:r>
            <w:r w:rsidR="003E6125" w:rsidRPr="003E6125">
              <w:t>karami umownymi określonymi w projektowanych postanowieniach umownych.</w:t>
            </w:r>
          </w:p>
        </w:tc>
      </w:tr>
      <w:tr w:rsidR="009E1376" w:rsidRPr="00A639C4" w14:paraId="32227B2D" w14:textId="77777777" w:rsidTr="00E47CA1">
        <w:tc>
          <w:tcPr>
            <w:tcW w:w="1560" w:type="dxa"/>
            <w:shd w:val="clear" w:color="auto" w:fill="BFBFBF" w:themeFill="background1" w:themeFillShade="BF"/>
          </w:tcPr>
          <w:p w14:paraId="5200B712" w14:textId="2FC0D74A" w:rsidR="009E1376" w:rsidRPr="00A639C4" w:rsidRDefault="009E1376" w:rsidP="00B46C4D">
            <w:pPr>
              <w:tabs>
                <w:tab w:val="left" w:pos="408"/>
              </w:tabs>
              <w:spacing w:before="100" w:after="100"/>
              <w:jc w:val="center"/>
              <w:rPr>
                <w:b/>
              </w:rPr>
            </w:pPr>
            <w:r w:rsidRPr="00A639C4">
              <w:rPr>
                <w:b/>
              </w:rPr>
              <w:t>Pkt 4.2 IDW</w:t>
            </w:r>
          </w:p>
        </w:tc>
        <w:tc>
          <w:tcPr>
            <w:tcW w:w="8641" w:type="dxa"/>
            <w:shd w:val="clear" w:color="auto" w:fill="BFBFBF" w:themeFill="background1" w:themeFillShade="BF"/>
          </w:tcPr>
          <w:p w14:paraId="007C0D9A" w14:textId="25C5FB76" w:rsidR="009E1376" w:rsidRPr="00A639C4" w:rsidRDefault="009E1376" w:rsidP="00B46C4D">
            <w:pPr>
              <w:tabs>
                <w:tab w:val="left" w:pos="408"/>
              </w:tabs>
              <w:spacing w:before="100" w:after="100"/>
              <w:rPr>
                <w:b/>
              </w:rPr>
            </w:pPr>
            <w:r w:rsidRPr="00A639C4">
              <w:rPr>
                <w:b/>
              </w:rPr>
              <w:t>Składanie ofert częściowych</w:t>
            </w:r>
          </w:p>
        </w:tc>
      </w:tr>
      <w:tr w:rsidR="00D125CF" w:rsidRPr="00A639C4" w14:paraId="555BB7B8" w14:textId="77777777" w:rsidTr="00E47CA1">
        <w:tc>
          <w:tcPr>
            <w:tcW w:w="1560" w:type="dxa"/>
            <w:shd w:val="clear" w:color="auto" w:fill="auto"/>
          </w:tcPr>
          <w:p w14:paraId="7F7FF4A8" w14:textId="3DAAC5AF" w:rsidR="00D125CF" w:rsidRPr="00A639C4" w:rsidRDefault="00D125CF" w:rsidP="00B46C4D">
            <w:pPr>
              <w:tabs>
                <w:tab w:val="left" w:pos="408"/>
              </w:tabs>
              <w:jc w:val="center"/>
              <w:rPr>
                <w:b/>
              </w:rPr>
            </w:pPr>
          </w:p>
        </w:tc>
        <w:tc>
          <w:tcPr>
            <w:tcW w:w="8641" w:type="dxa"/>
            <w:shd w:val="clear" w:color="auto" w:fill="auto"/>
          </w:tcPr>
          <w:p w14:paraId="21D22985" w14:textId="77777777" w:rsidR="00D125CF" w:rsidRPr="002C511E" w:rsidRDefault="00D125CF" w:rsidP="00B46C4D">
            <w:pPr>
              <w:tabs>
                <w:tab w:val="left" w:pos="408"/>
              </w:tabs>
              <w:jc w:val="both"/>
              <w:rPr>
                <w:bCs/>
                <w:sz w:val="8"/>
                <w:szCs w:val="8"/>
              </w:rPr>
            </w:pPr>
          </w:p>
          <w:p w14:paraId="168FA7C3" w14:textId="77777777" w:rsidR="00D125CF" w:rsidRPr="00A639C4" w:rsidRDefault="00D125CF" w:rsidP="00B46C4D">
            <w:pPr>
              <w:tabs>
                <w:tab w:val="left" w:pos="408"/>
              </w:tabs>
              <w:rPr>
                <w:bCs/>
              </w:rPr>
            </w:pPr>
            <w:r w:rsidRPr="00A639C4">
              <w:rPr>
                <w:bCs/>
              </w:rPr>
              <w:t xml:space="preserve">Zamawiający </w:t>
            </w:r>
            <w:r w:rsidRPr="00A639C4">
              <w:rPr>
                <w:b/>
                <w:bCs/>
                <w:u w:val="single"/>
              </w:rPr>
              <w:t>nie dopuszcza</w:t>
            </w:r>
            <w:r w:rsidRPr="00A639C4">
              <w:rPr>
                <w:bCs/>
              </w:rPr>
              <w:t xml:space="preserve"> składania ofert częściowych.</w:t>
            </w:r>
          </w:p>
          <w:p w14:paraId="2023B284" w14:textId="77777777" w:rsidR="00D125CF" w:rsidRPr="002C511E" w:rsidRDefault="00D125CF" w:rsidP="00B46C4D">
            <w:pPr>
              <w:tabs>
                <w:tab w:val="left" w:pos="408"/>
              </w:tabs>
              <w:jc w:val="both"/>
              <w:rPr>
                <w:bCs/>
                <w:sz w:val="12"/>
                <w:szCs w:val="12"/>
              </w:rPr>
            </w:pPr>
          </w:p>
          <w:p w14:paraId="14844128" w14:textId="77777777" w:rsidR="00D125CF" w:rsidRPr="00A639C4" w:rsidRDefault="00D125CF" w:rsidP="00B46C4D">
            <w:pPr>
              <w:tabs>
                <w:tab w:val="left" w:pos="16874"/>
                <w:tab w:val="left" w:pos="17157"/>
              </w:tabs>
              <w:jc w:val="both"/>
            </w:pPr>
            <w:r w:rsidRPr="00A639C4">
              <w:t xml:space="preserve">Przedmiot zamówienia nie został podzielony na części. </w:t>
            </w:r>
          </w:p>
          <w:p w14:paraId="30C44EC9" w14:textId="77777777" w:rsidR="00D125CF" w:rsidRPr="002C511E" w:rsidRDefault="00D125CF" w:rsidP="00B46C4D">
            <w:pPr>
              <w:jc w:val="both"/>
              <w:rPr>
                <w:color w:val="000000"/>
                <w:sz w:val="8"/>
                <w:szCs w:val="8"/>
              </w:rPr>
            </w:pPr>
          </w:p>
          <w:p w14:paraId="547D662E" w14:textId="77777777" w:rsidR="00D125CF" w:rsidRPr="00A639C4" w:rsidRDefault="00D125CF" w:rsidP="00B46C4D">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69C5D6F6" w14:textId="77777777" w:rsidR="00D125CF" w:rsidRPr="00A639C4" w:rsidRDefault="00D125CF" w:rsidP="00B46C4D">
            <w:pPr>
              <w:jc w:val="both"/>
              <w:rPr>
                <w:color w:val="000000"/>
              </w:rPr>
            </w:pPr>
            <w:r w:rsidRPr="00A639C4">
              <w:rPr>
                <w:color w:val="000000"/>
              </w:rPr>
              <w:lastRenderedPageBreak/>
              <w:t xml:space="preserve">Zamawiający wskazuje, że nie jest zobowiązany do dokonywania podziału zamówienia na części za wszelką cenę – tj. po to, żeby podziału dokonać, niezależnie od tego w jaki sposób i jaką metodologią. </w:t>
            </w:r>
          </w:p>
          <w:p w14:paraId="65D49CEB" w14:textId="77777777" w:rsidR="00D125CF" w:rsidRPr="00A639C4" w:rsidRDefault="00D125CF" w:rsidP="00B46C4D">
            <w:pPr>
              <w:jc w:val="both"/>
              <w:rPr>
                <w:color w:val="000000"/>
              </w:rPr>
            </w:pPr>
            <w:r w:rsidRPr="00A639C4">
              <w:rPr>
                <w:color w:val="000000"/>
              </w:rPr>
              <w:t xml:space="preserve">Przepisy ustawy </w:t>
            </w:r>
            <w:proofErr w:type="spellStart"/>
            <w:r w:rsidRPr="00A639C4">
              <w:t>Pzp</w:t>
            </w:r>
            <w:proofErr w:type="spellEnd"/>
            <w:r w:rsidRPr="00A639C4">
              <w:t xml:space="preserve"> </w:t>
            </w:r>
            <w:r w:rsidRPr="00A639C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2894BF63" w14:textId="77777777" w:rsidR="00D125CF" w:rsidRPr="00A639C4" w:rsidRDefault="00D125CF" w:rsidP="00B46C4D">
            <w:pPr>
              <w:jc w:val="both"/>
              <w:rPr>
                <w:color w:val="000000"/>
              </w:rPr>
            </w:pPr>
            <w:r w:rsidRPr="00A639C4">
              <w:rPr>
                <w:color w:val="000000"/>
              </w:rPr>
              <w:t xml:space="preserve">Stanowiący podstawę dla tego obowiązku przepis art. 91 ust.2 ustawy </w:t>
            </w:r>
            <w:proofErr w:type="spellStart"/>
            <w:r w:rsidRPr="00A639C4">
              <w:rPr>
                <w:color w:val="000000"/>
              </w:rPr>
              <w:t>Pzp</w:t>
            </w:r>
            <w:proofErr w:type="spellEnd"/>
            <w:r w:rsidRPr="00A639C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6D7EEE89" w14:textId="77777777" w:rsidR="00D125CF" w:rsidRPr="00A639C4" w:rsidRDefault="00D125CF" w:rsidP="00B46C4D">
            <w:pPr>
              <w:ind w:firstLine="708"/>
              <w:jc w:val="both"/>
              <w:rPr>
                <w:color w:val="000000"/>
              </w:rPr>
            </w:pPr>
            <w:r w:rsidRPr="00A639C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3991F91A" w14:textId="77777777" w:rsidR="00D125CF" w:rsidRPr="00A639C4" w:rsidRDefault="00D125CF" w:rsidP="00B46C4D">
            <w:pPr>
              <w:ind w:firstLine="708"/>
              <w:jc w:val="both"/>
              <w:rPr>
                <w:color w:val="000000"/>
              </w:rPr>
            </w:pPr>
            <w:r w:rsidRPr="00A639C4">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do wyspecjalizowanych sektorów MŚP – całość zamówienia dotyczy specyficznej i wyspecjalizowanej branży. </w:t>
            </w:r>
          </w:p>
          <w:p w14:paraId="300E33B0" w14:textId="77777777" w:rsidR="00D125CF" w:rsidRPr="00A639C4" w:rsidRDefault="00D125CF" w:rsidP="00B46C4D">
            <w:pPr>
              <w:ind w:firstLine="708"/>
              <w:jc w:val="both"/>
              <w:rPr>
                <w:color w:val="000000"/>
              </w:rPr>
            </w:pPr>
            <w:r w:rsidRPr="00A639C4">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2BE1A73A" w14:textId="77777777" w:rsidR="00D125CF" w:rsidRPr="00A639C4" w:rsidRDefault="00D125CF" w:rsidP="00B46C4D">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0AD93012" w14:textId="77777777" w:rsidR="00D125CF" w:rsidRPr="00A639C4" w:rsidRDefault="00D125CF" w:rsidP="00B46C4D">
            <w:pPr>
              <w:ind w:firstLine="708"/>
              <w:jc w:val="both"/>
              <w:rPr>
                <w:color w:val="000000"/>
              </w:rPr>
            </w:pPr>
            <w:r w:rsidRPr="00A639C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4915C767" w14:textId="77777777" w:rsidR="00D125CF" w:rsidRPr="00A639C4" w:rsidRDefault="00D125CF" w:rsidP="00B46C4D">
            <w:pPr>
              <w:ind w:firstLine="708"/>
              <w:jc w:val="both"/>
              <w:rPr>
                <w:color w:val="000000"/>
              </w:rPr>
            </w:pPr>
            <w:r w:rsidRPr="00A639C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A639C4">
              <w:rPr>
                <w:strike/>
                <w:color w:val="000000"/>
              </w:rPr>
              <w:t xml:space="preserve"> </w:t>
            </w:r>
            <w:r w:rsidRPr="00A639C4">
              <w:rPr>
                <w:color w:val="000000"/>
              </w:rPr>
              <w:t>unika odpowiedzialności z uwagi na trudności z jednoznacznym ustaleniem przyczyn wystąpienia wad czy usterek.</w:t>
            </w:r>
          </w:p>
          <w:p w14:paraId="638FA257" w14:textId="77777777" w:rsidR="00D125CF" w:rsidRPr="00A639C4" w:rsidRDefault="00D125CF" w:rsidP="00B46C4D">
            <w:pPr>
              <w:ind w:firstLine="708"/>
              <w:jc w:val="both"/>
              <w:rPr>
                <w:color w:val="000000"/>
              </w:rPr>
            </w:pPr>
            <w:r w:rsidRPr="00A639C4">
              <w:rPr>
                <w:color w:val="000000"/>
              </w:rPr>
              <w:t>Zamawiający uznał, że niedokonanie podziału przedmiotu zamówienia 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1853E156" w14:textId="77777777" w:rsidR="00D125CF" w:rsidRPr="00A639C4" w:rsidRDefault="00D125CF" w:rsidP="00B46C4D">
            <w:pPr>
              <w:ind w:firstLine="708"/>
              <w:jc w:val="both"/>
              <w:rPr>
                <w:color w:val="000000"/>
              </w:rPr>
            </w:pPr>
            <w:r w:rsidRPr="00A639C4">
              <w:rPr>
                <w:color w:val="000000"/>
              </w:rPr>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64F87223" w14:textId="77777777" w:rsidR="00D125CF" w:rsidRPr="00A639C4" w:rsidRDefault="00D125CF" w:rsidP="00B46C4D">
            <w:pPr>
              <w:ind w:firstLine="708"/>
              <w:jc w:val="both"/>
              <w:rPr>
                <w:color w:val="000000"/>
              </w:rPr>
            </w:pPr>
            <w:r w:rsidRPr="00A639C4">
              <w:rPr>
                <w:color w:val="000000"/>
              </w:rPr>
              <w:t xml:space="preserve">W opinii Zamawiającego korzystniejsze warunki realizacji zamówienia będą miały miejsce w sytuacji, w której udzielenie zamówienia nastąpi w całości jednemu wykonawcy. Nie </w:t>
            </w:r>
            <w:r w:rsidRPr="00A639C4">
              <w:rPr>
                <w:color w:val="000000"/>
              </w:rPr>
              <w:lastRenderedPageBreak/>
              <w:t>wpływa to na zmniejszenie konkurencyjności MŚP, nie zaburza konkurencyjności, pozwala na racjonalne i efektywne wykorzystanie środków publicznych.</w:t>
            </w:r>
          </w:p>
          <w:p w14:paraId="2A3F9703" w14:textId="77777777" w:rsidR="00D125CF" w:rsidRPr="00A639C4" w:rsidRDefault="00D125CF" w:rsidP="00B46C4D">
            <w:pPr>
              <w:ind w:firstLine="708"/>
              <w:jc w:val="both"/>
              <w:rPr>
                <w:color w:val="000000"/>
              </w:rPr>
            </w:pPr>
            <w:r w:rsidRPr="00A639C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64910FF3" w14:textId="77777777" w:rsidR="00D125CF" w:rsidRPr="00A639C4" w:rsidRDefault="00D125CF" w:rsidP="00B46C4D">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2C1DD085" w14:textId="77777777" w:rsidR="00D125CF" w:rsidRPr="00A639C4" w:rsidRDefault="00D125CF" w:rsidP="00B46C4D">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0ED53FBB" w14:textId="77777777" w:rsidR="00D125CF" w:rsidRPr="00A639C4" w:rsidRDefault="00D125CF" w:rsidP="00B46C4D">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25FAB25E" w14:textId="77777777" w:rsidR="00D125CF" w:rsidRPr="00A639C4" w:rsidRDefault="00D125CF" w:rsidP="00B46C4D">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D125CF" w:rsidRPr="002C511E" w:rsidRDefault="00D125CF" w:rsidP="00B46C4D">
            <w:pPr>
              <w:jc w:val="both"/>
              <w:rPr>
                <w:bCs/>
                <w:sz w:val="14"/>
                <w:szCs w:val="14"/>
              </w:rPr>
            </w:pPr>
          </w:p>
        </w:tc>
      </w:tr>
      <w:tr w:rsidR="009E1376" w:rsidRPr="00A639C4" w14:paraId="09EA691B" w14:textId="77777777" w:rsidTr="00E47CA1">
        <w:tc>
          <w:tcPr>
            <w:tcW w:w="1560" w:type="dxa"/>
            <w:tcBorders>
              <w:bottom w:val="single" w:sz="4" w:space="0" w:color="auto"/>
            </w:tcBorders>
            <w:shd w:val="clear" w:color="auto" w:fill="BFBFBF" w:themeFill="background1" w:themeFillShade="BF"/>
          </w:tcPr>
          <w:p w14:paraId="1792CE75" w14:textId="03BAC915" w:rsidR="009E1376" w:rsidRPr="00A639C4" w:rsidRDefault="009E1376" w:rsidP="00B46C4D">
            <w:pPr>
              <w:tabs>
                <w:tab w:val="left" w:pos="408"/>
              </w:tabs>
              <w:spacing w:before="100" w:after="100"/>
              <w:jc w:val="center"/>
              <w:rPr>
                <w:b/>
              </w:rPr>
            </w:pPr>
            <w:r w:rsidRPr="00A639C4">
              <w:rPr>
                <w:b/>
              </w:rPr>
              <w:lastRenderedPageBreak/>
              <w:t>Pkt 4.4 IDW</w:t>
            </w:r>
          </w:p>
        </w:tc>
        <w:tc>
          <w:tcPr>
            <w:tcW w:w="8641" w:type="dxa"/>
            <w:tcBorders>
              <w:bottom w:val="single" w:sz="4" w:space="0" w:color="auto"/>
            </w:tcBorders>
            <w:shd w:val="clear" w:color="auto" w:fill="BFBFBF" w:themeFill="background1" w:themeFillShade="BF"/>
          </w:tcPr>
          <w:p w14:paraId="76071CD7" w14:textId="6D7F9E16" w:rsidR="009E1376" w:rsidRPr="00A639C4" w:rsidRDefault="009E1376" w:rsidP="00B46C4D">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9E1376" w:rsidRPr="00A639C4" w14:paraId="5B099D95" w14:textId="77777777" w:rsidTr="00E47CA1">
        <w:tc>
          <w:tcPr>
            <w:tcW w:w="1560" w:type="dxa"/>
            <w:tcBorders>
              <w:bottom w:val="single" w:sz="4" w:space="0" w:color="auto"/>
            </w:tcBorders>
            <w:shd w:val="clear" w:color="auto" w:fill="auto"/>
          </w:tcPr>
          <w:p w14:paraId="3AA3E3B6" w14:textId="5505CB73" w:rsidR="009E1376" w:rsidRPr="00A639C4" w:rsidRDefault="009E1376" w:rsidP="00B46C4D">
            <w:pPr>
              <w:tabs>
                <w:tab w:val="left" w:pos="408"/>
              </w:tabs>
              <w:rPr>
                <w:b/>
              </w:rPr>
            </w:pPr>
          </w:p>
        </w:tc>
        <w:tc>
          <w:tcPr>
            <w:tcW w:w="8641" w:type="dxa"/>
            <w:tcBorders>
              <w:bottom w:val="single" w:sz="4" w:space="0" w:color="auto"/>
            </w:tcBorders>
            <w:shd w:val="clear" w:color="auto" w:fill="auto"/>
          </w:tcPr>
          <w:p w14:paraId="1B06481F" w14:textId="582EB71A" w:rsidR="009E1376" w:rsidRPr="00B17796" w:rsidRDefault="009E1376" w:rsidP="00B17796">
            <w:pPr>
              <w:spacing w:before="120" w:after="120"/>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zamówienia, o który</w:t>
            </w:r>
            <w:r w:rsidR="009A4ED7">
              <w:t>m</w:t>
            </w:r>
            <w:r w:rsidRPr="00A639C4">
              <w:t xml:space="preserve"> mowa w art. 305 pkt.1 w zw. z art. 214 ust. 1 pkt 7  </w:t>
            </w:r>
            <w:proofErr w:type="spellStart"/>
            <w:r w:rsidRPr="00A639C4">
              <w:t>Pzp</w:t>
            </w:r>
            <w:proofErr w:type="spellEnd"/>
          </w:p>
        </w:tc>
      </w:tr>
      <w:tr w:rsidR="009E1376" w:rsidRPr="00A639C4" w14:paraId="6BE6590F" w14:textId="77777777" w:rsidTr="00E47CA1">
        <w:trPr>
          <w:trHeight w:val="164"/>
        </w:trPr>
        <w:tc>
          <w:tcPr>
            <w:tcW w:w="1560" w:type="dxa"/>
            <w:shd w:val="clear" w:color="auto" w:fill="BFBFBF" w:themeFill="background1" w:themeFillShade="BF"/>
          </w:tcPr>
          <w:p w14:paraId="1AEF528B" w14:textId="77777777" w:rsidR="009E1376" w:rsidRPr="00A639C4" w:rsidRDefault="009E1376" w:rsidP="00B46C4D">
            <w:pPr>
              <w:spacing w:before="80" w:after="80"/>
              <w:jc w:val="center"/>
              <w:rPr>
                <w:b/>
              </w:rPr>
            </w:pPr>
            <w:r w:rsidRPr="00A639C4">
              <w:rPr>
                <w:b/>
              </w:rPr>
              <w:t>Pkt 5.1 IDW</w:t>
            </w:r>
          </w:p>
        </w:tc>
        <w:tc>
          <w:tcPr>
            <w:tcW w:w="8641" w:type="dxa"/>
            <w:shd w:val="clear" w:color="auto" w:fill="BFBFBF" w:themeFill="background1" w:themeFillShade="BF"/>
          </w:tcPr>
          <w:p w14:paraId="777C055B" w14:textId="5A8D8F2E" w:rsidR="009E1376" w:rsidRPr="00A639C4" w:rsidRDefault="009E1376" w:rsidP="00B46C4D">
            <w:pPr>
              <w:spacing w:before="80" w:after="80"/>
              <w:rPr>
                <w:b/>
              </w:rPr>
            </w:pPr>
            <w:r w:rsidRPr="00A639C4">
              <w:rPr>
                <w:b/>
              </w:rPr>
              <w:t>Wizja lokalna</w:t>
            </w:r>
          </w:p>
        </w:tc>
      </w:tr>
      <w:tr w:rsidR="009E1376" w:rsidRPr="00A639C4" w14:paraId="2987B09E" w14:textId="77777777" w:rsidTr="00E47CA1">
        <w:tc>
          <w:tcPr>
            <w:tcW w:w="1560" w:type="dxa"/>
            <w:tcBorders>
              <w:bottom w:val="single" w:sz="4" w:space="0" w:color="auto"/>
            </w:tcBorders>
            <w:shd w:val="clear" w:color="auto" w:fill="auto"/>
          </w:tcPr>
          <w:p w14:paraId="7EF38EF4" w14:textId="77777777" w:rsidR="009E1376" w:rsidRPr="00A639C4" w:rsidRDefault="009E1376" w:rsidP="00B46C4D"/>
        </w:tc>
        <w:tc>
          <w:tcPr>
            <w:tcW w:w="8641" w:type="dxa"/>
            <w:tcBorders>
              <w:bottom w:val="single" w:sz="4" w:space="0" w:color="auto"/>
            </w:tcBorders>
            <w:shd w:val="clear" w:color="auto" w:fill="auto"/>
          </w:tcPr>
          <w:p w14:paraId="5EE41B65" w14:textId="77777777" w:rsidR="00D125CF" w:rsidRPr="00A639C4" w:rsidRDefault="00D125CF" w:rsidP="004F5FC3">
            <w:pPr>
              <w:spacing w:before="100"/>
              <w:rPr>
                <w:bCs/>
              </w:rPr>
            </w:pPr>
            <w:r w:rsidRPr="00A639C4">
              <w:rPr>
                <w:b/>
              </w:rPr>
              <w:t xml:space="preserve">Zamawiający </w:t>
            </w:r>
            <w:r w:rsidRPr="00A639C4">
              <w:rPr>
                <w:b/>
                <w:u w:val="single"/>
              </w:rPr>
              <w:t>nie wymaga</w:t>
            </w:r>
            <w:r w:rsidRPr="00A639C4">
              <w:rPr>
                <w:b/>
              </w:rPr>
              <w:t xml:space="preserve"> złożenia oferty po odbyciu wizji lokalnej</w:t>
            </w:r>
            <w:r w:rsidRPr="00A639C4">
              <w:rPr>
                <w:bCs/>
              </w:rPr>
              <w:t>.</w:t>
            </w:r>
          </w:p>
          <w:p w14:paraId="6FFBD6EB" w14:textId="77777777" w:rsidR="00D125CF" w:rsidRPr="00C01B35" w:rsidRDefault="00D125CF" w:rsidP="00B46C4D">
            <w:pPr>
              <w:rPr>
                <w:b/>
                <w:sz w:val="12"/>
                <w:szCs w:val="12"/>
              </w:rPr>
            </w:pPr>
          </w:p>
          <w:p w14:paraId="0CB7C7BF" w14:textId="77777777" w:rsidR="00D125CF" w:rsidRPr="00A639C4" w:rsidRDefault="00D125CF" w:rsidP="00B46C4D">
            <w:pPr>
              <w:jc w:val="both"/>
              <w:rPr>
                <w:b/>
              </w:rPr>
            </w:pPr>
            <w:r w:rsidRPr="00A639C4">
              <w:rPr>
                <w:b/>
              </w:rPr>
              <w:t xml:space="preserve">Zamawiający </w:t>
            </w:r>
            <w:r w:rsidRPr="00A639C4">
              <w:rPr>
                <w:b/>
                <w:u w:val="single"/>
              </w:rPr>
              <w:t>nie wymaga</w:t>
            </w:r>
            <w:r w:rsidRPr="00A639C4">
              <w:rPr>
                <w:b/>
              </w:rPr>
              <w:t xml:space="preserve"> złożenia oferty po sprawdzeniu przez wykonawcę dokumentów niezbędnych do realizacji zamówienia dostępnych na miejscu u Zamawiającego.</w:t>
            </w:r>
          </w:p>
          <w:p w14:paraId="4E9E49F2" w14:textId="77777777" w:rsidR="009E1376" w:rsidRPr="00C01B35" w:rsidRDefault="009E1376" w:rsidP="00B46C4D">
            <w:pPr>
              <w:jc w:val="both"/>
              <w:rPr>
                <w:sz w:val="12"/>
                <w:szCs w:val="12"/>
              </w:rPr>
            </w:pPr>
          </w:p>
        </w:tc>
      </w:tr>
      <w:tr w:rsidR="0066585A" w:rsidRPr="00A639C4" w14:paraId="6E3431A4" w14:textId="77777777" w:rsidTr="00E47CA1">
        <w:tc>
          <w:tcPr>
            <w:tcW w:w="1560" w:type="dxa"/>
            <w:shd w:val="clear" w:color="auto" w:fill="BFBFBF" w:themeFill="background1" w:themeFillShade="BF"/>
          </w:tcPr>
          <w:p w14:paraId="3FE3F7D8" w14:textId="4FD0D68D" w:rsidR="0066585A" w:rsidRPr="00A639C4" w:rsidRDefault="00347D74" w:rsidP="00B46C4D">
            <w:pPr>
              <w:tabs>
                <w:tab w:val="left" w:pos="408"/>
              </w:tabs>
              <w:spacing w:before="80" w:after="80"/>
              <w:jc w:val="center"/>
              <w:rPr>
                <w:b/>
              </w:rPr>
            </w:pPr>
            <w:r w:rsidRPr="00A639C4">
              <w:rPr>
                <w:b/>
              </w:rPr>
              <w:t>6.2 IDW</w:t>
            </w:r>
          </w:p>
        </w:tc>
        <w:tc>
          <w:tcPr>
            <w:tcW w:w="8641" w:type="dxa"/>
            <w:shd w:val="clear" w:color="auto" w:fill="BFBFBF" w:themeFill="background1" w:themeFillShade="BF"/>
          </w:tcPr>
          <w:p w14:paraId="27A7DF74" w14:textId="26C2BC78" w:rsidR="0066585A" w:rsidRPr="00A639C4" w:rsidRDefault="00347D74" w:rsidP="00B46C4D">
            <w:pPr>
              <w:spacing w:before="80" w:after="80"/>
              <w:rPr>
                <w:b/>
              </w:rPr>
            </w:pPr>
            <w:r w:rsidRPr="00A639C4">
              <w:rPr>
                <w:b/>
              </w:rPr>
              <w:t>Obowiązek osobistego wykonania przez Wykonawcę kluczowych części zamówienia</w:t>
            </w:r>
          </w:p>
        </w:tc>
      </w:tr>
      <w:tr w:rsidR="0066585A" w:rsidRPr="00A639C4" w14:paraId="032FACC3" w14:textId="77777777" w:rsidTr="00E47CA1">
        <w:tc>
          <w:tcPr>
            <w:tcW w:w="1560" w:type="dxa"/>
            <w:shd w:val="clear" w:color="auto" w:fill="auto"/>
          </w:tcPr>
          <w:p w14:paraId="59307303" w14:textId="77777777" w:rsidR="0066585A" w:rsidRPr="00A639C4" w:rsidRDefault="0066585A" w:rsidP="00B46C4D">
            <w:pPr>
              <w:tabs>
                <w:tab w:val="left" w:pos="408"/>
              </w:tabs>
              <w:spacing w:before="80" w:after="80"/>
              <w:jc w:val="center"/>
              <w:rPr>
                <w:b/>
              </w:rPr>
            </w:pPr>
          </w:p>
        </w:tc>
        <w:tc>
          <w:tcPr>
            <w:tcW w:w="8641" w:type="dxa"/>
            <w:shd w:val="clear" w:color="auto" w:fill="auto"/>
          </w:tcPr>
          <w:p w14:paraId="771F2971" w14:textId="3FA2CC1B" w:rsidR="00347D74" w:rsidRPr="00A639C4" w:rsidRDefault="00347D74" w:rsidP="000059FF">
            <w:pPr>
              <w:pStyle w:val="arimr"/>
              <w:widowControl/>
              <w:suppressAutoHyphens/>
              <w:snapToGrid/>
              <w:spacing w:before="80"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1E436F" w:rsidRPr="00B17796" w:rsidRDefault="001E436F" w:rsidP="00B46C4D">
            <w:pPr>
              <w:pStyle w:val="arimr"/>
              <w:widowControl/>
              <w:suppressAutoHyphens/>
              <w:snapToGrid/>
              <w:spacing w:line="240" w:lineRule="auto"/>
              <w:jc w:val="both"/>
              <w:rPr>
                <w:rFonts w:ascii="Arial" w:hAnsi="Arial" w:cs="Arial"/>
                <w:b/>
                <w:sz w:val="8"/>
                <w:szCs w:val="8"/>
              </w:rPr>
            </w:pPr>
          </w:p>
        </w:tc>
      </w:tr>
      <w:tr w:rsidR="009E1376" w:rsidRPr="00A639C4" w14:paraId="3567789B" w14:textId="77777777" w:rsidTr="00E47CA1">
        <w:tc>
          <w:tcPr>
            <w:tcW w:w="1560" w:type="dxa"/>
            <w:shd w:val="clear" w:color="auto" w:fill="BFBFBF" w:themeFill="background1" w:themeFillShade="BF"/>
          </w:tcPr>
          <w:p w14:paraId="558F5FDC" w14:textId="436113FD" w:rsidR="009E1376" w:rsidRPr="00A639C4" w:rsidRDefault="009E1376" w:rsidP="00B46C4D">
            <w:pPr>
              <w:tabs>
                <w:tab w:val="left" w:pos="408"/>
              </w:tabs>
              <w:spacing w:before="80" w:after="80"/>
              <w:jc w:val="center"/>
              <w:rPr>
                <w:b/>
              </w:rPr>
            </w:pPr>
            <w:r w:rsidRPr="00A639C4">
              <w:rPr>
                <w:b/>
              </w:rPr>
              <w:t>Pkt 7.1 IDW</w:t>
            </w:r>
          </w:p>
        </w:tc>
        <w:tc>
          <w:tcPr>
            <w:tcW w:w="8641" w:type="dxa"/>
            <w:shd w:val="clear" w:color="auto" w:fill="BFBFBF" w:themeFill="background1" w:themeFillShade="BF"/>
          </w:tcPr>
          <w:p w14:paraId="303326E2" w14:textId="7053D133" w:rsidR="009E1376" w:rsidRPr="00A639C4" w:rsidRDefault="009E1376" w:rsidP="00B46C4D">
            <w:pPr>
              <w:spacing w:before="80" w:after="80"/>
              <w:rPr>
                <w:bCs/>
              </w:rPr>
            </w:pPr>
            <w:r w:rsidRPr="00A639C4">
              <w:rPr>
                <w:b/>
              </w:rPr>
              <w:t>Termin wykonania zamówienia</w:t>
            </w:r>
          </w:p>
        </w:tc>
      </w:tr>
      <w:tr w:rsidR="00B9322E" w:rsidRPr="00A639C4" w14:paraId="0385F7B7" w14:textId="77777777" w:rsidTr="00E47CA1">
        <w:tc>
          <w:tcPr>
            <w:tcW w:w="1560" w:type="dxa"/>
            <w:tcBorders>
              <w:bottom w:val="single" w:sz="4" w:space="0" w:color="auto"/>
            </w:tcBorders>
            <w:shd w:val="clear" w:color="auto" w:fill="auto"/>
          </w:tcPr>
          <w:p w14:paraId="5D8A973E" w14:textId="77777777" w:rsidR="00B9322E" w:rsidRPr="00A639C4" w:rsidRDefault="00B9322E" w:rsidP="00B9322E">
            <w:pPr>
              <w:tabs>
                <w:tab w:val="left" w:pos="408"/>
              </w:tabs>
              <w:rPr>
                <w:b/>
              </w:rPr>
            </w:pPr>
          </w:p>
        </w:tc>
        <w:tc>
          <w:tcPr>
            <w:tcW w:w="8641" w:type="dxa"/>
            <w:tcBorders>
              <w:bottom w:val="single" w:sz="4" w:space="0" w:color="auto"/>
            </w:tcBorders>
            <w:shd w:val="clear" w:color="auto" w:fill="auto"/>
          </w:tcPr>
          <w:p w14:paraId="0C88C5A3" w14:textId="77777777" w:rsidR="00B9322E" w:rsidRPr="00B17796" w:rsidRDefault="00B9322E" w:rsidP="00B9322E">
            <w:pPr>
              <w:jc w:val="both"/>
              <w:rPr>
                <w:sz w:val="8"/>
                <w:szCs w:val="8"/>
              </w:rPr>
            </w:pPr>
          </w:p>
          <w:p w14:paraId="7612C432" w14:textId="77777777" w:rsidR="00B9322E" w:rsidRDefault="00B9322E" w:rsidP="00B9322E">
            <w:pPr>
              <w:spacing w:after="60"/>
              <w:rPr>
                <w:b/>
              </w:rPr>
            </w:pPr>
            <w:r w:rsidRPr="00A639C4">
              <w:rPr>
                <w:b/>
              </w:rPr>
              <w:t xml:space="preserve">Termin wykonania zamówienia: </w:t>
            </w:r>
            <w:r>
              <w:rPr>
                <w:b/>
              </w:rPr>
              <w:t>do 20-12-2024r.</w:t>
            </w:r>
          </w:p>
          <w:p w14:paraId="48FDA507" w14:textId="77777777" w:rsidR="00B9322E" w:rsidRDefault="00B9322E" w:rsidP="00B9322E">
            <w:pPr>
              <w:spacing w:after="60"/>
              <w:rPr>
                <w:b/>
              </w:rPr>
            </w:pPr>
          </w:p>
          <w:p w14:paraId="45B0E8EA" w14:textId="77777777" w:rsidR="00B9322E" w:rsidRPr="005C0EEE" w:rsidRDefault="00B9322E" w:rsidP="00B9322E">
            <w:r w:rsidRPr="005C0EEE">
              <w:t>Z uwagi, iż zadanie posiada finansowane jednoroczne, przyjęty przez Zamawiającego termin realizacji jest na tyle optymalny, że pozwala na wykonanie robót w stosunkowo sprzyjających warunkach pogodowych oraz dotrzymanie terminów odbioru i rozliczenia zadania w roku 2024.</w:t>
            </w:r>
          </w:p>
          <w:p w14:paraId="2EE43E03" w14:textId="77777777" w:rsidR="00B9322E" w:rsidRPr="005C0EEE" w:rsidRDefault="00B9322E" w:rsidP="00B9322E">
            <w:r w:rsidRPr="005C0EEE">
              <w:t>Przyjęta technologia robót , wymaga by realizacja robót odbywała się w odpowiednich warunkach atmosferycznych – określonych w SST i została zakończona  przed okresem zimowym.</w:t>
            </w:r>
          </w:p>
          <w:p w14:paraId="052BCD3D" w14:textId="77777777" w:rsidR="00B9322E" w:rsidRPr="005C0EEE" w:rsidRDefault="00B9322E" w:rsidP="00B9322E"/>
          <w:p w14:paraId="7C6D4FF5" w14:textId="77777777" w:rsidR="00B9322E" w:rsidRPr="005C0EEE" w:rsidRDefault="00B9322E" w:rsidP="00B9322E">
            <w:r w:rsidRPr="005C0EEE">
              <w:t>Ponadto określenie terminu zakończenia robót w jednostkach czasowych od daty podpisania umowy jest ryzykowne i nieprzewidywalne z powodu możliwości przeciągnięcia się procedury przetargowej (np. zadawanych pytań przez potencjalnych oferentów) co wygenerowałoby termin zakończenia prac w okresie zimowym  lub po 2024 roku.</w:t>
            </w:r>
          </w:p>
          <w:p w14:paraId="08A1700E" w14:textId="77777777" w:rsidR="00B9322E" w:rsidRPr="005C0EEE" w:rsidRDefault="00B9322E" w:rsidP="00B9322E"/>
          <w:p w14:paraId="34547AEA" w14:textId="77777777" w:rsidR="00B9322E" w:rsidRPr="005C0EEE" w:rsidRDefault="00B9322E" w:rsidP="00B9322E">
            <w:r w:rsidRPr="005C0EEE">
              <w:t xml:space="preserve">Mając na uwadze specyfikę przedmiotu zamówienia wskazanie daty wykonania umowy jest uzasadnione obiektywną przyczyną ( art. 436 ust. 1 </w:t>
            </w:r>
            <w:proofErr w:type="spellStart"/>
            <w:r w:rsidRPr="005C0EEE">
              <w:t>Pzp</w:t>
            </w:r>
            <w:proofErr w:type="spellEnd"/>
            <w:r w:rsidRPr="005C0EEE">
              <w:t xml:space="preserve">).  </w:t>
            </w:r>
          </w:p>
          <w:p w14:paraId="27FC34D5" w14:textId="77777777" w:rsidR="00B9322E" w:rsidRDefault="00B9322E" w:rsidP="00B9322E">
            <w:pPr>
              <w:spacing w:after="60"/>
              <w:rPr>
                <w:b/>
              </w:rPr>
            </w:pPr>
          </w:p>
          <w:p w14:paraId="11839058" w14:textId="77777777" w:rsidR="00B9322E" w:rsidRPr="00790011" w:rsidRDefault="00B9322E" w:rsidP="00B9322E">
            <w:r w:rsidRPr="00790011">
              <w:t xml:space="preserve">Określenie w/w terminu wynika z obowiązku realizacji i rozliczenia przedmiotowego zadania w bieżącym roku budżetowym. Według zapisów umownych, po wykonaniu wszystkich robót budowlanych składających się na przedmiot umowy, w terminie nie dłuższym niż 14 dni od daty zgłoszenia, musi nastąpić odbiór końcowy robót. </w:t>
            </w:r>
          </w:p>
          <w:p w14:paraId="7F4545F3" w14:textId="77777777" w:rsidR="00B9322E" w:rsidRPr="00790011" w:rsidRDefault="00B9322E" w:rsidP="00B9322E">
            <w:r w:rsidRPr="00790011">
              <w:t>Płatności są realizowane w terminie nie dłuższym niż 30 dni od daty otrzymania faktury.</w:t>
            </w:r>
          </w:p>
          <w:p w14:paraId="1F996E25" w14:textId="77777777" w:rsidR="00B9322E" w:rsidRPr="00790011" w:rsidRDefault="00B9322E" w:rsidP="00B9322E">
            <w:pPr>
              <w:rPr>
                <w:u w:val="single"/>
              </w:rPr>
            </w:pPr>
          </w:p>
          <w:p w14:paraId="5C234673" w14:textId="77777777" w:rsidR="00B9322E" w:rsidRPr="00790011" w:rsidRDefault="00B9322E" w:rsidP="00B9322E">
            <w:pPr>
              <w:tabs>
                <w:tab w:val="center" w:pos="4536"/>
              </w:tabs>
              <w:jc w:val="both"/>
            </w:pPr>
            <w:r w:rsidRPr="00790011">
              <w:t>Zamawiający jest jednostką budżetową, finansowaną przez Samorząd Województwa Podkarpackiego.</w:t>
            </w:r>
          </w:p>
          <w:p w14:paraId="50528EC8" w14:textId="77777777" w:rsidR="00B9322E" w:rsidRPr="00790011" w:rsidRDefault="00B9322E" w:rsidP="00B9322E">
            <w:pPr>
              <w:tabs>
                <w:tab w:val="center" w:pos="4536"/>
              </w:tabs>
              <w:jc w:val="both"/>
            </w:pPr>
            <w:r w:rsidRPr="00790011">
              <w:t xml:space="preserve">Zamawiający jako jednostka sektora finansów publicznych zawiera umowy, których przedmiotem są usługi, dostawy lub roboty budowlane, na zasadach określonych w przepisach o zamówieniach publicznych. </w:t>
            </w:r>
          </w:p>
          <w:p w14:paraId="0A3C62CE" w14:textId="77777777" w:rsidR="00B9322E" w:rsidRPr="00790011" w:rsidRDefault="00B9322E" w:rsidP="00B9322E">
            <w:pPr>
              <w:tabs>
                <w:tab w:val="center" w:pos="4536"/>
              </w:tabs>
              <w:jc w:val="both"/>
            </w:pPr>
            <w:r w:rsidRPr="00790011">
              <w:t xml:space="preserve">Podstawą gospodarki finansowej jednostki samorządu terytorialnego w danym roku budżetowym jest uchwała budżetowa. </w:t>
            </w:r>
          </w:p>
          <w:p w14:paraId="49A72BA3" w14:textId="77777777" w:rsidR="00B9322E" w:rsidRPr="00790011" w:rsidRDefault="00B9322E" w:rsidP="00B9322E">
            <w:pPr>
              <w:tabs>
                <w:tab w:val="center" w:pos="4536"/>
              </w:tabs>
              <w:jc w:val="both"/>
            </w:pPr>
            <w:r w:rsidRPr="00790011">
              <w:t>Zamawiający ponosi wydatki publiczne  na cele i w wysokościach ustalonych w:</w:t>
            </w:r>
          </w:p>
          <w:p w14:paraId="2D41EBE6" w14:textId="77777777" w:rsidR="00B9322E" w:rsidRPr="00790011" w:rsidRDefault="00B9322E" w:rsidP="00B9322E">
            <w:pPr>
              <w:tabs>
                <w:tab w:val="center" w:pos="4536"/>
              </w:tabs>
              <w:jc w:val="both"/>
            </w:pPr>
            <w:r w:rsidRPr="00790011">
              <w:t>1)</w:t>
            </w:r>
            <w:hyperlink r:id="rId8" w:anchor="/search-hypertext/17569559_art(44)_1?pit=2021-03-09" w:history="1">
              <w:r w:rsidRPr="00790011">
                <w:t>ustawie</w:t>
              </w:r>
            </w:hyperlink>
            <w:r w:rsidRPr="00790011">
              <w:t xml:space="preserve"> budżetowej;</w:t>
            </w:r>
          </w:p>
          <w:p w14:paraId="5503AEAB" w14:textId="77777777" w:rsidR="00B9322E" w:rsidRPr="00790011" w:rsidRDefault="00B9322E" w:rsidP="00B9322E">
            <w:pPr>
              <w:tabs>
                <w:tab w:val="center" w:pos="4536"/>
              </w:tabs>
              <w:jc w:val="both"/>
            </w:pPr>
            <w:r w:rsidRPr="00790011">
              <w:t>2)uchwale budżetowej jednostki samorządu terytorialnego;</w:t>
            </w:r>
          </w:p>
          <w:p w14:paraId="0950C757" w14:textId="77777777" w:rsidR="00B9322E" w:rsidRPr="00790011" w:rsidRDefault="00B9322E" w:rsidP="00B9322E">
            <w:pPr>
              <w:tabs>
                <w:tab w:val="center" w:pos="4536"/>
              </w:tabs>
              <w:jc w:val="both"/>
            </w:pPr>
            <w:r w:rsidRPr="00790011">
              <w:t>3)planie finansowym jednostki sektora finansów publicznych.</w:t>
            </w:r>
          </w:p>
          <w:p w14:paraId="7AFC19B0" w14:textId="77777777" w:rsidR="00B9322E" w:rsidRPr="00790011" w:rsidRDefault="00B9322E" w:rsidP="00B9322E">
            <w:pPr>
              <w:tabs>
                <w:tab w:val="center" w:pos="4536"/>
              </w:tabs>
              <w:jc w:val="both"/>
            </w:pPr>
            <w:r w:rsidRPr="00790011">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347260E9" w14:textId="77777777" w:rsidR="00B9322E" w:rsidRPr="00790011" w:rsidRDefault="00B9322E" w:rsidP="00B9322E">
            <w:pPr>
              <w:tabs>
                <w:tab w:val="center" w:pos="4536"/>
              </w:tabs>
              <w:jc w:val="both"/>
            </w:pPr>
          </w:p>
          <w:p w14:paraId="22FC9ABF" w14:textId="77777777" w:rsidR="00B9322E" w:rsidRPr="00790011" w:rsidRDefault="00B9322E" w:rsidP="00B9322E">
            <w:pPr>
              <w:spacing w:before="100" w:beforeAutospacing="1" w:after="100" w:afterAutospacing="1"/>
              <w:jc w:val="both"/>
            </w:pPr>
            <w:r w:rsidRPr="00790011">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4FC94B88" w14:textId="77777777" w:rsidR="00B9322E" w:rsidRPr="00790011" w:rsidRDefault="00B9322E" w:rsidP="00B9322E">
            <w:pPr>
              <w:spacing w:before="100" w:beforeAutospacing="1" w:after="100" w:afterAutospacing="1"/>
            </w:pPr>
            <w:r w:rsidRPr="00790011">
              <w:t xml:space="preserve">Sytuacja taka jest podyktowana min. tym że Zamawiający prowadzi gospodarkę finansową w oparciu o zasady gospodarki budżetowej przyjętej dla jednostek samorządowych. Pomimo braku osobowości prawnej zasady te obowiązują, a podstawową zasadą jest jednoroczny budżet jednostki. </w:t>
            </w:r>
          </w:p>
          <w:p w14:paraId="78637872" w14:textId="77777777" w:rsidR="00B9322E" w:rsidRPr="00790011" w:rsidRDefault="00B9322E" w:rsidP="00B9322E">
            <w:pPr>
              <w:tabs>
                <w:tab w:val="center" w:pos="4536"/>
              </w:tabs>
              <w:jc w:val="both"/>
            </w:pPr>
            <w:r w:rsidRPr="00790011">
              <w:t>W związku z faktem, że Zamawiający:</w:t>
            </w:r>
          </w:p>
          <w:p w14:paraId="1B1097AA" w14:textId="77777777" w:rsidR="00B9322E" w:rsidRPr="00790011" w:rsidRDefault="00B9322E" w:rsidP="00B9322E">
            <w:pPr>
              <w:pStyle w:val="Akapitzlist"/>
              <w:widowControl/>
              <w:numPr>
                <w:ilvl w:val="0"/>
                <w:numId w:val="29"/>
              </w:numPr>
              <w:tabs>
                <w:tab w:val="center" w:pos="4536"/>
              </w:tabs>
              <w:autoSpaceDE/>
              <w:autoSpaceDN/>
              <w:adjustRightInd/>
              <w:spacing w:after="200"/>
              <w:contextualSpacing/>
              <w:jc w:val="both"/>
            </w:pPr>
            <w:r w:rsidRPr="00790011">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66971E1C" w14:textId="77777777" w:rsidR="00B9322E" w:rsidRPr="00790011" w:rsidRDefault="00B9322E" w:rsidP="00B9322E">
            <w:pPr>
              <w:pStyle w:val="Akapitzlist"/>
              <w:widowControl/>
              <w:numPr>
                <w:ilvl w:val="0"/>
                <w:numId w:val="29"/>
              </w:numPr>
              <w:tabs>
                <w:tab w:val="center" w:pos="4536"/>
              </w:tabs>
              <w:autoSpaceDE/>
              <w:autoSpaceDN/>
              <w:adjustRightInd/>
              <w:spacing w:after="200"/>
              <w:contextualSpacing/>
              <w:jc w:val="both"/>
            </w:pPr>
            <w:r w:rsidRPr="00790011">
              <w:t xml:space="preserve">jako jednostka sektora finansów publicznych może zaciągać zobowiązania do sfinansowania w danym roku do wysokości wynikającej z planu wydatków, </w:t>
            </w:r>
          </w:p>
          <w:p w14:paraId="4E6B11B4" w14:textId="77777777" w:rsidR="00B9322E" w:rsidRPr="00790011" w:rsidRDefault="00B9322E" w:rsidP="00B9322E">
            <w:pPr>
              <w:pStyle w:val="Akapitzlist"/>
              <w:widowControl/>
              <w:numPr>
                <w:ilvl w:val="0"/>
                <w:numId w:val="29"/>
              </w:numPr>
              <w:tabs>
                <w:tab w:val="center" w:pos="4536"/>
              </w:tabs>
              <w:autoSpaceDE/>
              <w:autoSpaceDN/>
              <w:adjustRightInd/>
              <w:spacing w:after="200"/>
              <w:contextualSpacing/>
              <w:jc w:val="both"/>
            </w:pPr>
            <w:r w:rsidRPr="00790011">
              <w:t xml:space="preserve">nie posiada uchwały zezwalającej na zaciągnięcie zobowiązania wieloletniego </w:t>
            </w:r>
          </w:p>
          <w:p w14:paraId="7C93180E" w14:textId="77777777" w:rsidR="00B9322E" w:rsidRPr="00790011" w:rsidRDefault="00B9322E" w:rsidP="00B9322E">
            <w:pPr>
              <w:tabs>
                <w:tab w:val="center" w:pos="4536"/>
              </w:tabs>
              <w:jc w:val="both"/>
            </w:pPr>
            <w:r w:rsidRPr="00790011">
              <w:t xml:space="preserve">oraz mając na uwadze specyfikę przedmiotu zamówienia wskazanie daty wykonania umowy jest uzasadnione obiektywną przyczyną ( art. 436 ust. 1 </w:t>
            </w:r>
            <w:proofErr w:type="spellStart"/>
            <w:r w:rsidRPr="00790011">
              <w:t>Pzp</w:t>
            </w:r>
            <w:proofErr w:type="spellEnd"/>
            <w:r w:rsidRPr="00790011">
              <w:t xml:space="preserve">).  </w:t>
            </w:r>
          </w:p>
          <w:p w14:paraId="14A11A98" w14:textId="0749F28B" w:rsidR="00B9322E" w:rsidRPr="00B17796" w:rsidRDefault="00B9322E" w:rsidP="00B9322E">
            <w:pPr>
              <w:spacing w:after="60"/>
              <w:rPr>
                <w:b/>
              </w:rPr>
            </w:pPr>
          </w:p>
        </w:tc>
      </w:tr>
      <w:tr w:rsidR="00B9322E" w:rsidRPr="00A639C4" w14:paraId="5C3DF8E2" w14:textId="77777777" w:rsidTr="00E47CA1">
        <w:tc>
          <w:tcPr>
            <w:tcW w:w="1560" w:type="dxa"/>
            <w:shd w:val="clear" w:color="auto" w:fill="BFBFBF" w:themeFill="background1" w:themeFillShade="BF"/>
          </w:tcPr>
          <w:p w14:paraId="457CC753" w14:textId="2F3C5D21" w:rsidR="00B9322E" w:rsidRPr="00A639C4" w:rsidRDefault="00B9322E" w:rsidP="00B9322E">
            <w:pPr>
              <w:tabs>
                <w:tab w:val="left" w:pos="408"/>
              </w:tabs>
              <w:spacing w:before="80" w:after="80"/>
              <w:jc w:val="center"/>
              <w:rPr>
                <w:b/>
              </w:rPr>
            </w:pPr>
            <w:r w:rsidRPr="00A639C4">
              <w:rPr>
                <w:b/>
              </w:rPr>
              <w:lastRenderedPageBreak/>
              <w:t>Pkt 8.</w:t>
            </w:r>
            <w:r>
              <w:rPr>
                <w:b/>
              </w:rPr>
              <w:t>1</w:t>
            </w:r>
            <w:r w:rsidRPr="00A639C4">
              <w:rPr>
                <w:b/>
              </w:rPr>
              <w:t xml:space="preserve"> IDW</w:t>
            </w:r>
          </w:p>
        </w:tc>
        <w:tc>
          <w:tcPr>
            <w:tcW w:w="8641" w:type="dxa"/>
            <w:shd w:val="clear" w:color="auto" w:fill="BFBFBF" w:themeFill="background1" w:themeFillShade="BF"/>
          </w:tcPr>
          <w:p w14:paraId="5EF79C8F" w14:textId="77777777" w:rsidR="00B9322E" w:rsidRPr="00A639C4" w:rsidRDefault="00B9322E" w:rsidP="00B9322E">
            <w:pPr>
              <w:spacing w:before="80" w:after="80"/>
              <w:rPr>
                <w:b/>
                <w:bCs/>
              </w:rPr>
            </w:pPr>
            <w:r w:rsidRPr="00A639C4">
              <w:rPr>
                <w:b/>
              </w:rPr>
              <w:t xml:space="preserve">Warunki udziału w postępowaniu o udzielenie zamówienia </w:t>
            </w:r>
          </w:p>
        </w:tc>
      </w:tr>
      <w:tr w:rsidR="00B9322E" w:rsidRPr="00A639C4" w14:paraId="78420147" w14:textId="77777777" w:rsidTr="00E47CA1">
        <w:tc>
          <w:tcPr>
            <w:tcW w:w="1560" w:type="dxa"/>
            <w:tcBorders>
              <w:bottom w:val="single" w:sz="4" w:space="0" w:color="auto"/>
            </w:tcBorders>
            <w:shd w:val="clear" w:color="auto" w:fill="auto"/>
          </w:tcPr>
          <w:p w14:paraId="5081D543" w14:textId="77777777" w:rsidR="00B9322E" w:rsidRPr="00A639C4" w:rsidRDefault="00B9322E" w:rsidP="00B9322E">
            <w:pPr>
              <w:tabs>
                <w:tab w:val="left" w:pos="408"/>
              </w:tabs>
              <w:rPr>
                <w:b/>
              </w:rPr>
            </w:pPr>
          </w:p>
        </w:tc>
        <w:tc>
          <w:tcPr>
            <w:tcW w:w="8641" w:type="dxa"/>
            <w:tcBorders>
              <w:bottom w:val="single" w:sz="4" w:space="0" w:color="auto"/>
            </w:tcBorders>
            <w:shd w:val="clear" w:color="auto" w:fill="auto"/>
          </w:tcPr>
          <w:p w14:paraId="7A0A749A" w14:textId="77777777" w:rsidR="00B9322E" w:rsidRPr="00A639C4" w:rsidRDefault="00B9322E" w:rsidP="00B9322E">
            <w:pPr>
              <w:pStyle w:val="Teksttreci0"/>
              <w:shd w:val="clear" w:color="auto" w:fill="auto"/>
              <w:spacing w:before="60" w:line="240" w:lineRule="auto"/>
              <w:ind w:right="23"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7E281F7E" w14:textId="77777777" w:rsidR="00B9322E" w:rsidRPr="00A639C4" w:rsidRDefault="00B9322E" w:rsidP="00B9322E">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67A2A548" w14:textId="77777777" w:rsidR="00B9322E" w:rsidRPr="00A639C4" w:rsidRDefault="00B9322E" w:rsidP="00B9322E">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56CA21A" w14:textId="77777777" w:rsidR="00B9322E" w:rsidRPr="00A639C4" w:rsidRDefault="00B9322E" w:rsidP="00B9322E">
            <w:pPr>
              <w:pStyle w:val="Teksttreci0"/>
              <w:shd w:val="clear" w:color="auto" w:fill="auto"/>
              <w:spacing w:line="240" w:lineRule="auto"/>
              <w:ind w:left="868" w:right="20" w:firstLine="0"/>
              <w:jc w:val="both"/>
              <w:rPr>
                <w:rFonts w:ascii="Arial" w:hAnsi="Arial" w:cs="Arial"/>
                <w:sz w:val="20"/>
                <w:szCs w:val="20"/>
              </w:rPr>
            </w:pPr>
          </w:p>
          <w:p w14:paraId="1393AA72" w14:textId="77777777" w:rsidR="00B9322E" w:rsidRPr="00A639C4" w:rsidRDefault="00B9322E" w:rsidP="00B9322E">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14:paraId="3E3F0076" w14:textId="77777777" w:rsidR="00B9322E" w:rsidRPr="00A639C4" w:rsidRDefault="00B9322E" w:rsidP="00B9322E">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6A4533BE" w14:textId="77777777" w:rsidR="00B9322E" w:rsidRPr="00A639C4" w:rsidRDefault="00B9322E" w:rsidP="00B9322E">
            <w:pPr>
              <w:pStyle w:val="Teksttreci0"/>
              <w:shd w:val="clear" w:color="auto" w:fill="auto"/>
              <w:spacing w:line="240" w:lineRule="auto"/>
              <w:ind w:left="868" w:right="20" w:firstLine="0"/>
              <w:jc w:val="both"/>
              <w:rPr>
                <w:rFonts w:ascii="Arial" w:hAnsi="Arial" w:cs="Arial"/>
                <w:sz w:val="20"/>
                <w:szCs w:val="20"/>
              </w:rPr>
            </w:pPr>
          </w:p>
          <w:p w14:paraId="7BDEF6C8" w14:textId="77777777" w:rsidR="00B9322E" w:rsidRPr="00A639C4" w:rsidRDefault="00B9322E" w:rsidP="00B9322E">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5D0F93D6" w14:textId="77777777" w:rsidR="00B9322E" w:rsidRPr="00A639C4" w:rsidRDefault="00B9322E" w:rsidP="00B9322E">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FB9C796" w14:textId="77777777" w:rsidR="00B9322E" w:rsidRDefault="00B9322E" w:rsidP="00B9322E">
            <w:pPr>
              <w:pStyle w:val="Teksttreci0"/>
              <w:shd w:val="clear" w:color="auto" w:fill="auto"/>
              <w:spacing w:line="240" w:lineRule="auto"/>
              <w:ind w:right="20" w:firstLine="0"/>
              <w:jc w:val="both"/>
              <w:rPr>
                <w:rFonts w:ascii="Arial" w:hAnsi="Arial" w:cs="Arial"/>
                <w:sz w:val="20"/>
                <w:szCs w:val="20"/>
              </w:rPr>
            </w:pPr>
          </w:p>
          <w:p w14:paraId="4995FBDA" w14:textId="77777777" w:rsidR="00B9322E" w:rsidRPr="00A639C4" w:rsidRDefault="00B9322E" w:rsidP="00B9322E">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12FD03C3" w14:textId="39A771AD" w:rsidR="00B9322E" w:rsidRPr="00A639C4" w:rsidRDefault="00B9322E" w:rsidP="00B9322E">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r>
              <w:rPr>
                <w:rFonts w:ascii="Arial" w:hAnsi="Arial" w:cs="Arial"/>
                <w:sz w:val="20"/>
                <w:szCs w:val="20"/>
              </w:rPr>
              <w:t>:</w:t>
            </w:r>
          </w:p>
          <w:p w14:paraId="0F8601F8" w14:textId="08B3484A" w:rsidR="00B9322E" w:rsidRPr="005316D3" w:rsidRDefault="00B9322E" w:rsidP="00B9322E">
            <w:pPr>
              <w:pStyle w:val="Teksttreci0"/>
              <w:shd w:val="clear" w:color="auto" w:fill="auto"/>
              <w:spacing w:line="240" w:lineRule="auto"/>
              <w:ind w:right="20" w:firstLine="0"/>
              <w:jc w:val="both"/>
              <w:rPr>
                <w:rFonts w:ascii="Arial" w:hAnsi="Arial" w:cs="Arial"/>
                <w:sz w:val="18"/>
                <w:szCs w:val="18"/>
              </w:rPr>
            </w:pPr>
          </w:p>
          <w:p w14:paraId="23064E6D" w14:textId="01B01974" w:rsidR="00B9322E" w:rsidRDefault="00B9322E" w:rsidP="00B9322E">
            <w:pPr>
              <w:widowControl/>
              <w:numPr>
                <w:ilvl w:val="0"/>
                <w:numId w:val="21"/>
              </w:numPr>
              <w:tabs>
                <w:tab w:val="left" w:pos="300"/>
              </w:tabs>
              <w:ind w:left="300" w:hanging="300"/>
              <w:jc w:val="both"/>
              <w:rPr>
                <w:b/>
                <w:bCs/>
                <w:color w:val="000000"/>
              </w:rPr>
            </w:pPr>
            <w:r w:rsidRPr="00D262FC">
              <w:rPr>
                <w:b/>
                <w:bCs/>
                <w:color w:val="000000"/>
              </w:rPr>
              <w:t>Doświadczenie wykonawcy</w:t>
            </w:r>
          </w:p>
          <w:p w14:paraId="5A6CD05D" w14:textId="454C3817" w:rsidR="00B9322E" w:rsidRPr="00A253D8" w:rsidRDefault="00B9322E" w:rsidP="00B9322E">
            <w:pPr>
              <w:jc w:val="both"/>
              <w:rPr>
                <w:color w:val="FF0000"/>
              </w:rPr>
            </w:pPr>
            <w:r>
              <w:rPr>
                <w:color w:val="000000"/>
              </w:rPr>
              <w:t xml:space="preserve">Wykonawca spełni ten warunek udziału w postępowaniu, jeżeli wykaże, że wykonał </w:t>
            </w:r>
            <w:r>
              <w:rPr>
                <w:spacing w:val="-6"/>
              </w:rPr>
              <w:t xml:space="preserve">w ciągu ostatnich </w:t>
            </w:r>
            <w:r w:rsidRPr="004F5FC3">
              <w:rPr>
                <w:b/>
                <w:bCs/>
                <w:spacing w:val="-6"/>
              </w:rPr>
              <w:t>5 lat</w:t>
            </w:r>
            <w:r>
              <w:rPr>
                <w:spacing w:val="-6"/>
              </w:rPr>
              <w:t xml:space="preserve"> przed upływem terminu składania ofert (a jeżeli okres prowadzenia działalności jest krótszy – w tym okresie) </w:t>
            </w:r>
            <w:r>
              <w:t xml:space="preserve">min. </w:t>
            </w:r>
            <w:r>
              <w:rPr>
                <w:b/>
                <w:bCs/>
              </w:rPr>
              <w:t>3 500 m</w:t>
            </w:r>
            <w:r>
              <w:rPr>
                <w:b/>
                <w:bCs/>
                <w:vertAlign w:val="superscript"/>
              </w:rPr>
              <w:t>2</w:t>
            </w:r>
            <w:r>
              <w:t xml:space="preserve"> budowy lub rozbudowy lub przebudowy lub remontu nawierzchni drogi publicznej / dróg publicznych zrealizowanych w technologii betonów asfaltowych </w:t>
            </w:r>
            <w:r w:rsidRPr="004C58AB">
              <w:t>poparte dokumentami (dowodami) potwierdzającymi, że roboty zostały wykonane należycie (np. referencje)</w:t>
            </w:r>
          </w:p>
          <w:p w14:paraId="1B8278DF" w14:textId="77777777" w:rsidR="00B9322E" w:rsidRPr="004C58AB" w:rsidRDefault="00B9322E" w:rsidP="00B9322E">
            <w:pPr>
              <w:ind w:left="280"/>
              <w:jc w:val="both"/>
            </w:pPr>
          </w:p>
          <w:p w14:paraId="7763CADD" w14:textId="77777777" w:rsidR="00B9322E" w:rsidRPr="004C58AB" w:rsidRDefault="00B9322E" w:rsidP="00B9322E">
            <w:pPr>
              <w:jc w:val="both"/>
            </w:pPr>
            <w:r w:rsidRPr="004C58AB">
              <w:t>Zamawiający</w:t>
            </w:r>
            <w:r w:rsidRPr="004C58AB">
              <w:rPr>
                <w:b/>
              </w:rPr>
              <w:t xml:space="preserve"> </w:t>
            </w:r>
            <w:r w:rsidRPr="004C58AB">
              <w:rPr>
                <w:b/>
                <w:u w:val="single"/>
              </w:rPr>
              <w:t>nie wymaga</w:t>
            </w:r>
            <w:r w:rsidRPr="004C58AB">
              <w:rPr>
                <w:b/>
              </w:rPr>
              <w:t>,</w:t>
            </w:r>
            <w:r w:rsidRPr="004C58AB">
              <w:t xml:space="preserve"> aby </w:t>
            </w:r>
            <w:r w:rsidRPr="004C58AB">
              <w:rPr>
                <w:b/>
              </w:rPr>
              <w:t xml:space="preserve">ww. zakres </w:t>
            </w:r>
            <w:r w:rsidRPr="004C58AB">
              <w:t>był wykonany w ramach jednego zadania/ zlecenia/ zamówienia/inwestycji.</w:t>
            </w:r>
          </w:p>
          <w:p w14:paraId="4A6A87E8" w14:textId="77777777" w:rsidR="00B9322E" w:rsidRPr="004C58AB" w:rsidRDefault="00B9322E" w:rsidP="00B9322E">
            <w:pPr>
              <w:contextualSpacing/>
              <w:jc w:val="both"/>
            </w:pPr>
          </w:p>
          <w:p w14:paraId="695B0255" w14:textId="73ECA06D" w:rsidR="00B9322E" w:rsidRPr="00A639C4" w:rsidRDefault="00B9322E" w:rsidP="00B9322E">
            <w:pPr>
              <w:jc w:val="both"/>
              <w:rPr>
                <w:color w:val="000000"/>
              </w:rPr>
            </w:pPr>
            <w:r w:rsidRPr="004C58AB">
              <w:rPr>
                <w:rFonts w:eastAsiaTheme="minorEastAsia"/>
              </w:rPr>
              <w:t>Zamawiający dopuszcza aby ww. doświadczenie było uzyskane podczas realizacji kontraktów w systemie „zaprojektuj i wybuduj”.</w:t>
            </w:r>
          </w:p>
          <w:p w14:paraId="20C53A51" w14:textId="77777777" w:rsidR="00B9322E" w:rsidRPr="009E176C" w:rsidRDefault="00B9322E" w:rsidP="00B9322E">
            <w:pPr>
              <w:contextualSpacing/>
              <w:jc w:val="both"/>
              <w:rPr>
                <w:bCs/>
                <w:sz w:val="14"/>
                <w:szCs w:val="14"/>
              </w:rPr>
            </w:pPr>
          </w:p>
          <w:p w14:paraId="58AE4E92" w14:textId="0AD4933F" w:rsidR="00B9322E" w:rsidRDefault="00B9322E" w:rsidP="00B9322E">
            <w:pPr>
              <w:contextualSpacing/>
              <w:jc w:val="both"/>
              <w:rPr>
                <w:bCs/>
              </w:rPr>
            </w:pPr>
            <w:r>
              <w:rPr>
                <w:bCs/>
              </w:rPr>
              <w:t>Poprzez sformułowania: „budowa”, „rozbudowa”, „przebudowa”, „remont”, „droga publiczna” Zamawiający rozumie definicje zgodne z określonymi w „Ustawie Prawo budowlane” oraz „Ustawie o drogach publicznych”.</w:t>
            </w:r>
          </w:p>
          <w:p w14:paraId="540D8CD2" w14:textId="77777777" w:rsidR="00B9322E" w:rsidRDefault="00B9322E" w:rsidP="00B9322E">
            <w:pPr>
              <w:pStyle w:val="Teksttreci0"/>
              <w:shd w:val="clear" w:color="auto" w:fill="auto"/>
              <w:spacing w:line="240" w:lineRule="auto"/>
              <w:ind w:right="20" w:firstLine="0"/>
              <w:jc w:val="both"/>
              <w:rPr>
                <w:rFonts w:ascii="Arial" w:hAnsi="Arial" w:cs="Arial"/>
                <w:sz w:val="30"/>
                <w:szCs w:val="30"/>
              </w:rPr>
            </w:pPr>
          </w:p>
          <w:p w14:paraId="18ED21BE" w14:textId="77777777" w:rsidR="00B9322E" w:rsidRPr="00FD1D58" w:rsidRDefault="00B9322E" w:rsidP="00B9322E">
            <w:pPr>
              <w:widowControl/>
              <w:numPr>
                <w:ilvl w:val="0"/>
                <w:numId w:val="21"/>
              </w:numPr>
              <w:tabs>
                <w:tab w:val="right" w:pos="284"/>
                <w:tab w:val="left" w:pos="400"/>
              </w:tabs>
              <w:ind w:left="300" w:hanging="268"/>
              <w:jc w:val="both"/>
              <w:rPr>
                <w:b/>
                <w:bCs/>
                <w:color w:val="000000"/>
              </w:rPr>
            </w:pPr>
            <w:r w:rsidRPr="00FD1D58">
              <w:rPr>
                <w:b/>
                <w:bCs/>
                <w:color w:val="000000"/>
              </w:rPr>
              <w:t>Kwalifikacje zawodowe i doświadczenie osób skierowanych przez wykonawcę do realizacji zamówienia</w:t>
            </w:r>
          </w:p>
          <w:p w14:paraId="5C3427C6" w14:textId="22B7604E" w:rsidR="00B9322E" w:rsidRPr="00FD1D58" w:rsidRDefault="00B9322E" w:rsidP="00B9322E">
            <w:pPr>
              <w:pStyle w:val="ZLITPKTzmpktliter"/>
              <w:spacing w:line="240" w:lineRule="auto"/>
              <w:ind w:left="300" w:firstLine="0"/>
              <w:rPr>
                <w:rFonts w:ascii="Arial" w:hAnsi="Arial"/>
                <w:color w:val="000000"/>
                <w:sz w:val="20"/>
              </w:rPr>
            </w:pPr>
            <w:r w:rsidRPr="00FD1D58">
              <w:rPr>
                <w:rFonts w:ascii="Arial" w:hAnsi="Arial"/>
                <w:color w:val="000000"/>
                <w:sz w:val="20"/>
              </w:rPr>
              <w:t>Wykonawca spełni ten warunek udziału w postępowaniu, jeżeli wykaże, że dysponuje</w:t>
            </w:r>
            <w:r>
              <w:rPr>
                <w:rFonts w:ascii="Arial" w:hAnsi="Arial"/>
                <w:color w:val="000000"/>
                <w:sz w:val="20"/>
              </w:rPr>
              <w:t xml:space="preserve"> lub będzie dysponował</w:t>
            </w:r>
            <w:r w:rsidRPr="00FD1D58">
              <w:rPr>
                <w:rFonts w:ascii="Arial" w:hAnsi="Arial"/>
                <w:color w:val="000000"/>
                <w:sz w:val="20"/>
              </w:rPr>
              <w:t xml:space="preserve"> następującymi osobami:</w:t>
            </w:r>
          </w:p>
          <w:p w14:paraId="57E6C825" w14:textId="77777777" w:rsidR="00B9322E" w:rsidRPr="007A217B" w:rsidRDefault="00B9322E" w:rsidP="00B9322E">
            <w:pPr>
              <w:jc w:val="both"/>
              <w:rPr>
                <w:b/>
                <w:strike/>
                <w:color w:val="000000"/>
                <w:sz w:val="6"/>
                <w:szCs w:val="6"/>
              </w:rPr>
            </w:pPr>
            <w:r w:rsidRPr="00FD1D58">
              <w:rPr>
                <w:b/>
                <w:strike/>
                <w:color w:val="000000"/>
              </w:rPr>
              <w:t xml:space="preserve"> </w:t>
            </w:r>
          </w:p>
          <w:p w14:paraId="3539AB23" w14:textId="77777777" w:rsidR="00B9322E" w:rsidRDefault="00B9322E" w:rsidP="00B9322E">
            <w:pPr>
              <w:ind w:left="284"/>
              <w:jc w:val="both"/>
              <w:rPr>
                <w:b/>
                <w:color w:val="000000"/>
              </w:rPr>
            </w:pPr>
            <w:r>
              <w:rPr>
                <w:b/>
                <w:color w:val="000000"/>
                <w:u w:val="single"/>
              </w:rPr>
              <w:t>Kierownik budowy - 1 osoba</w:t>
            </w:r>
            <w:r>
              <w:rPr>
                <w:b/>
                <w:color w:val="000000"/>
              </w:rPr>
              <w:t xml:space="preserve"> </w:t>
            </w:r>
          </w:p>
          <w:p w14:paraId="0067201B" w14:textId="77777777" w:rsidR="00B9322E" w:rsidRDefault="00B9322E" w:rsidP="00B9322E">
            <w:pPr>
              <w:pStyle w:val="Akapitzlist"/>
              <w:ind w:left="360" w:right="3"/>
              <w:contextualSpacing/>
              <w:jc w:val="both"/>
              <w:rPr>
                <w:color w:val="000000"/>
              </w:rPr>
            </w:pPr>
            <w:r>
              <w:rPr>
                <w:b/>
                <w:color w:val="000000"/>
                <w:u w:val="single"/>
              </w:rPr>
              <w:t>Kwalifikacje:</w:t>
            </w:r>
          </w:p>
          <w:p w14:paraId="0F475CBD" w14:textId="415099AC" w:rsidR="00B9322E" w:rsidRDefault="00B9322E" w:rsidP="00B9322E">
            <w:pPr>
              <w:ind w:left="284"/>
              <w:jc w:val="both"/>
            </w:pPr>
            <w:r w:rsidRPr="004C58AB">
              <w:t xml:space="preserve">Osoba ta musi posiadać </w:t>
            </w:r>
            <w:r w:rsidRPr="004C58AB">
              <w:rPr>
                <w:b/>
                <w:u w:val="single"/>
              </w:rPr>
              <w:t xml:space="preserve">uprawnienia budowlane </w:t>
            </w:r>
            <w:r w:rsidRPr="004C58AB">
              <w:rPr>
                <w:b/>
                <w:spacing w:val="-6"/>
                <w:u w:val="single"/>
              </w:rPr>
              <w:t xml:space="preserve">w specjalności </w:t>
            </w:r>
            <w:r>
              <w:rPr>
                <w:b/>
                <w:spacing w:val="-6"/>
                <w:u w:val="single"/>
              </w:rPr>
              <w:t xml:space="preserve">budownictwa drogowego </w:t>
            </w:r>
            <w:r w:rsidRPr="004C58AB">
              <w:t xml:space="preserve">wydane zgodnie z ustawą z dnia 07 lipca 1994r. Prawo budowlane oraz </w:t>
            </w:r>
            <w:r>
              <w:t xml:space="preserve"> </w:t>
            </w:r>
            <w:r w:rsidRPr="00EB38FF">
              <w:t>Rozporządzeniem Ministra Inwestycji i Rozwoju z 29 kwietnia 2019 r. w sprawie przygotowania zawodowego do wykonywania samodzielnych funkcji technicznych w budownictwie</w:t>
            </w:r>
            <w:r w:rsidRPr="00351309">
              <w:t xml:space="preserve"> </w:t>
            </w:r>
            <w:r w:rsidRPr="004C58AB">
              <w:t xml:space="preserve">albo odpowiadające im ważne uprawnienia </w:t>
            </w:r>
            <w:r>
              <w:t>budowlane, które zostały wydane</w:t>
            </w:r>
            <w:r w:rsidRPr="004C58AB">
              <w:t xml:space="preserve"> na podstawie wcześniej obowiązujących przepisów, które pozwalać będą na pełnienie funkcji Kierownika Budowy w zakresie niniejszego zamówienia.</w:t>
            </w:r>
          </w:p>
          <w:p w14:paraId="3FBD8997" w14:textId="77777777" w:rsidR="00B9322E" w:rsidRPr="007A217B" w:rsidRDefault="00B9322E" w:rsidP="00B9322E">
            <w:pPr>
              <w:ind w:left="360"/>
              <w:jc w:val="both"/>
              <w:rPr>
                <w:rFonts w:eastAsiaTheme="minorEastAsia"/>
                <w:sz w:val="4"/>
                <w:szCs w:val="4"/>
              </w:rPr>
            </w:pPr>
          </w:p>
          <w:p w14:paraId="65544046" w14:textId="77777777" w:rsidR="00B9322E" w:rsidRDefault="00B9322E" w:rsidP="00B9322E">
            <w:pPr>
              <w:ind w:left="284"/>
              <w:jc w:val="both"/>
              <w:rPr>
                <w:b/>
                <w:color w:val="000000"/>
              </w:rPr>
            </w:pPr>
            <w:r>
              <w:rPr>
                <w:b/>
                <w:color w:val="000000"/>
              </w:rPr>
              <w:t>Doświadczenie:</w:t>
            </w:r>
          </w:p>
          <w:p w14:paraId="6C32A85A" w14:textId="77777777" w:rsidR="00B9322E" w:rsidRDefault="00B9322E" w:rsidP="00B9322E">
            <w:pPr>
              <w:ind w:left="284"/>
              <w:jc w:val="both"/>
              <w:rPr>
                <w:color w:val="000000"/>
              </w:rPr>
            </w:pPr>
            <w:r>
              <w:rPr>
                <w:color w:val="000000"/>
              </w:rPr>
              <w:t xml:space="preserve">Osoba ta musi posiadać </w:t>
            </w:r>
          </w:p>
          <w:p w14:paraId="6E716640" w14:textId="7A6E835D" w:rsidR="00B9322E" w:rsidRPr="00F64A26" w:rsidRDefault="00B9322E" w:rsidP="00B9322E">
            <w:pPr>
              <w:pStyle w:val="Akapitzlist"/>
              <w:numPr>
                <w:ilvl w:val="0"/>
                <w:numId w:val="23"/>
              </w:numPr>
              <w:jc w:val="both"/>
              <w:rPr>
                <w:color w:val="000000"/>
                <w:u w:val="single"/>
              </w:rPr>
            </w:pPr>
            <w:r>
              <w:rPr>
                <w:color w:val="000000"/>
              </w:rPr>
              <w:t xml:space="preserve">minimum </w:t>
            </w:r>
            <w:r>
              <w:t>3 lata</w:t>
            </w:r>
            <w:r>
              <w:rPr>
                <w:color w:val="000000"/>
              </w:rPr>
              <w:t xml:space="preserve"> doświadczenia w pełnieniu funkcji Kierownika Budowy lub Kierownika Robót Budowlanych. </w:t>
            </w:r>
            <w:r w:rsidRPr="00F64A26">
              <w:rPr>
                <w:color w:val="000000"/>
                <w:u w:val="single"/>
              </w:rPr>
              <w:t>Okres ten musi zawierać się w okresie posiadania uprawnień.</w:t>
            </w:r>
          </w:p>
          <w:p w14:paraId="0F6C9246" w14:textId="77777777" w:rsidR="00B9322E" w:rsidRPr="007A217B" w:rsidRDefault="00B9322E" w:rsidP="00B9322E">
            <w:pPr>
              <w:ind w:left="426"/>
              <w:jc w:val="both"/>
              <w:rPr>
                <w:b/>
                <w:sz w:val="10"/>
                <w:szCs w:val="10"/>
                <w:u w:val="single"/>
              </w:rPr>
            </w:pPr>
          </w:p>
          <w:p w14:paraId="0645BC9E" w14:textId="0938984E" w:rsidR="00B9322E" w:rsidRPr="003232E8" w:rsidRDefault="00B9322E" w:rsidP="00B9322E">
            <w:pPr>
              <w:jc w:val="both"/>
              <w:rPr>
                <w:color w:val="000000"/>
              </w:rPr>
            </w:pPr>
            <w:r>
              <w:rPr>
                <w:color w:val="000000"/>
              </w:rPr>
              <w:t xml:space="preserve">Zamawiający, określając wymogi dla osoby w zakresie posiadanych uprawnień budowlanych, dopuszcza odpowiadające im 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 </w:t>
            </w:r>
          </w:p>
          <w:p w14:paraId="374F4CCC" w14:textId="77777777" w:rsidR="00B9322E" w:rsidRPr="009E176C" w:rsidRDefault="00B9322E" w:rsidP="00B9322E">
            <w:pPr>
              <w:jc w:val="both"/>
              <w:rPr>
                <w:bCs/>
                <w:sz w:val="12"/>
                <w:szCs w:val="12"/>
              </w:rPr>
            </w:pPr>
          </w:p>
        </w:tc>
      </w:tr>
      <w:tr w:rsidR="00B9322E" w:rsidRPr="00A639C4" w14:paraId="1171392D" w14:textId="77777777" w:rsidTr="00E47CA1">
        <w:tc>
          <w:tcPr>
            <w:tcW w:w="1560" w:type="dxa"/>
            <w:shd w:val="clear" w:color="auto" w:fill="BFBFBF" w:themeFill="background1" w:themeFillShade="BF"/>
          </w:tcPr>
          <w:p w14:paraId="1737F276" w14:textId="477871C1" w:rsidR="00B9322E" w:rsidRPr="00A639C4" w:rsidRDefault="00B9322E" w:rsidP="00B9322E">
            <w:pPr>
              <w:tabs>
                <w:tab w:val="left" w:pos="408"/>
              </w:tabs>
              <w:spacing w:before="280"/>
              <w:jc w:val="center"/>
              <w:rPr>
                <w:b/>
              </w:rPr>
            </w:pPr>
            <w:r w:rsidRPr="00A639C4">
              <w:rPr>
                <w:b/>
              </w:rPr>
              <w:lastRenderedPageBreak/>
              <w:t>Pkt 10.</w:t>
            </w:r>
            <w:r>
              <w:rPr>
                <w:b/>
              </w:rPr>
              <w:t>2</w:t>
            </w:r>
            <w:r w:rsidRPr="00A639C4">
              <w:rPr>
                <w:b/>
              </w:rPr>
              <w:t xml:space="preserve"> IDW</w:t>
            </w:r>
          </w:p>
        </w:tc>
        <w:tc>
          <w:tcPr>
            <w:tcW w:w="8641" w:type="dxa"/>
            <w:shd w:val="clear" w:color="auto" w:fill="BFBFBF" w:themeFill="background1" w:themeFillShade="BF"/>
          </w:tcPr>
          <w:p w14:paraId="585D6179" w14:textId="77777777" w:rsidR="00B9322E" w:rsidRPr="00A639C4" w:rsidRDefault="00B9322E" w:rsidP="00B9322E">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B9322E" w:rsidRPr="00A639C4" w14:paraId="6F5B374F" w14:textId="77777777" w:rsidTr="00E47CA1">
        <w:tc>
          <w:tcPr>
            <w:tcW w:w="1560" w:type="dxa"/>
            <w:tcBorders>
              <w:bottom w:val="single" w:sz="4" w:space="0" w:color="auto"/>
            </w:tcBorders>
            <w:shd w:val="clear" w:color="auto" w:fill="auto"/>
          </w:tcPr>
          <w:p w14:paraId="3FAB1B23"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1C0BB1DD" w14:textId="25D2C2A3" w:rsidR="00B9322E" w:rsidRDefault="00B9322E" w:rsidP="00B9322E">
            <w:pPr>
              <w:spacing w:before="120"/>
              <w:jc w:val="both"/>
            </w:pPr>
            <w:r w:rsidRPr="00365DB1">
              <w:t xml:space="preserve">Zamawiający w przedmiotowym postępowaniu o udzielenie zamówienia </w:t>
            </w:r>
            <w:r w:rsidRPr="00365DB1">
              <w:rPr>
                <w:b/>
                <w:bCs/>
                <w:u w:val="single"/>
              </w:rPr>
              <w:t>nie żąda</w:t>
            </w:r>
            <w:r w:rsidRPr="00365DB1">
              <w:t xml:space="preserve"> złożenia podmiotowych środków </w:t>
            </w:r>
            <w:r w:rsidRPr="00DA730F">
              <w:t xml:space="preserve"> dowodowych  na </w:t>
            </w:r>
            <w:r w:rsidRPr="00DA730F">
              <w:rPr>
                <w:u w:val="single"/>
              </w:rPr>
              <w:t>potwierdzenie braku podstaw wykluczenia.</w:t>
            </w:r>
          </w:p>
          <w:p w14:paraId="420F2AE8" w14:textId="77777777" w:rsidR="00B9322E" w:rsidRPr="00A639C4" w:rsidRDefault="00B9322E" w:rsidP="00B9322E">
            <w:pPr>
              <w:jc w:val="both"/>
            </w:pPr>
          </w:p>
          <w:p w14:paraId="5AEDD973" w14:textId="2E930664" w:rsidR="00B9322E" w:rsidRDefault="00B9322E" w:rsidP="00B9322E">
            <w:pPr>
              <w:jc w:val="both"/>
              <w:rPr>
                <w:u w:val="single"/>
              </w:rPr>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70C390BC" w14:textId="2D270186" w:rsidR="00B9322E" w:rsidRPr="00B17796" w:rsidRDefault="00B9322E" w:rsidP="00B9322E">
            <w:pPr>
              <w:pStyle w:val="Akapitzlist"/>
              <w:widowControl/>
              <w:numPr>
                <w:ilvl w:val="0"/>
                <w:numId w:val="12"/>
              </w:numPr>
              <w:autoSpaceDE/>
              <w:autoSpaceDN/>
              <w:adjustRightInd/>
              <w:spacing w:before="100"/>
              <w:ind w:left="453" w:hanging="357"/>
              <w:jc w:val="both"/>
              <w:rPr>
                <w:b/>
                <w:u w:val="single"/>
              </w:rPr>
            </w:pPr>
            <w:r w:rsidRPr="00A639C4">
              <w:rPr>
                <w:b/>
              </w:rPr>
              <w:t xml:space="preserve">wykazu robót budowlanych </w:t>
            </w:r>
            <w:r w:rsidRPr="00A639C4">
              <w:t xml:space="preserve">wykonanych nie wcześniej niż w </w:t>
            </w:r>
            <w:r w:rsidRPr="00A639C4">
              <w:rPr>
                <w:b/>
              </w:rPr>
              <w:t xml:space="preserve">okresie </w:t>
            </w:r>
            <w:r w:rsidRPr="009E176C">
              <w:rPr>
                <w:b/>
              </w:rPr>
              <w:t>ostatnich 5 lat</w:t>
            </w:r>
            <w:r w:rsidRPr="009E176C">
              <w:t>,</w:t>
            </w:r>
            <w:r w:rsidRPr="00A639C4">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t>.</w:t>
            </w:r>
          </w:p>
          <w:p w14:paraId="6324D747" w14:textId="4C723052" w:rsidR="00B9322E" w:rsidRPr="00DA730F" w:rsidRDefault="00B9322E" w:rsidP="00B9322E">
            <w:pPr>
              <w:pStyle w:val="Akapitzlist"/>
              <w:widowControl/>
              <w:numPr>
                <w:ilvl w:val="0"/>
                <w:numId w:val="12"/>
              </w:numPr>
              <w:autoSpaceDE/>
              <w:autoSpaceDN/>
              <w:adjustRightInd/>
              <w:spacing w:before="100"/>
              <w:ind w:left="453" w:hanging="357"/>
              <w:jc w:val="both"/>
              <w:rPr>
                <w:bCs/>
                <w:sz w:val="12"/>
                <w:szCs w:val="12"/>
              </w:rPr>
            </w:pPr>
            <w:r w:rsidRPr="00DA730F">
              <w:rPr>
                <w:b/>
              </w:rPr>
              <w:t>wykazu osób</w:t>
            </w:r>
            <w:r w:rsidRPr="00DA730F">
              <w:rPr>
                <w:bCs/>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bCs/>
              </w:rPr>
              <w:t>.</w:t>
            </w:r>
          </w:p>
          <w:p w14:paraId="7F190B97" w14:textId="77777777" w:rsidR="00B9322E" w:rsidRPr="00DA730F" w:rsidRDefault="00B9322E" w:rsidP="00B9322E">
            <w:pPr>
              <w:widowControl/>
              <w:autoSpaceDE/>
              <w:autoSpaceDN/>
              <w:adjustRightInd/>
              <w:spacing w:before="100"/>
              <w:ind w:left="96"/>
              <w:jc w:val="both"/>
              <w:rPr>
                <w:sz w:val="12"/>
                <w:szCs w:val="12"/>
              </w:rPr>
            </w:pPr>
          </w:p>
          <w:p w14:paraId="1763BC4D" w14:textId="77777777" w:rsidR="00B9322E" w:rsidRPr="00A639C4" w:rsidRDefault="00B9322E" w:rsidP="00B9322E">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B9322E" w:rsidRPr="00011E8E" w:rsidRDefault="00B9322E" w:rsidP="00B9322E">
            <w:pPr>
              <w:widowControl/>
              <w:autoSpaceDE/>
              <w:autoSpaceDN/>
              <w:adjustRightInd/>
              <w:jc w:val="both"/>
              <w:rPr>
                <w:b/>
                <w:sz w:val="16"/>
                <w:szCs w:val="16"/>
              </w:rPr>
            </w:pPr>
          </w:p>
        </w:tc>
      </w:tr>
      <w:tr w:rsidR="00B9322E" w:rsidRPr="00A639C4" w14:paraId="00C6F274" w14:textId="77777777" w:rsidTr="00E47CA1">
        <w:tc>
          <w:tcPr>
            <w:tcW w:w="1560" w:type="dxa"/>
            <w:shd w:val="clear" w:color="auto" w:fill="BFBFBF" w:themeFill="background1" w:themeFillShade="BF"/>
          </w:tcPr>
          <w:p w14:paraId="03B16A36" w14:textId="38617079" w:rsidR="00B9322E" w:rsidRPr="00A639C4" w:rsidRDefault="00B9322E" w:rsidP="00B9322E">
            <w:pPr>
              <w:tabs>
                <w:tab w:val="left" w:pos="408"/>
              </w:tabs>
              <w:spacing w:before="40" w:after="40"/>
              <w:jc w:val="center"/>
              <w:rPr>
                <w:b/>
              </w:rPr>
            </w:pPr>
            <w:r>
              <w:rPr>
                <w:b/>
              </w:rPr>
              <w:t>Pkt 9.2</w:t>
            </w:r>
          </w:p>
        </w:tc>
        <w:tc>
          <w:tcPr>
            <w:tcW w:w="8641" w:type="dxa"/>
            <w:shd w:val="clear" w:color="auto" w:fill="BFBFBF" w:themeFill="background1" w:themeFillShade="BF"/>
          </w:tcPr>
          <w:p w14:paraId="484456E9" w14:textId="06D45ECA" w:rsidR="00B9322E" w:rsidRPr="00A639C4" w:rsidRDefault="00B9322E" w:rsidP="00B9322E">
            <w:pPr>
              <w:spacing w:before="40" w:after="40"/>
              <w:rPr>
                <w:b/>
              </w:rPr>
            </w:pPr>
            <w:r>
              <w:rPr>
                <w:b/>
              </w:rPr>
              <w:t>Fakultatywne p</w:t>
            </w:r>
            <w:r w:rsidRPr="00B44348">
              <w:rPr>
                <w:b/>
              </w:rPr>
              <w:t>odstawy wykluczenia z postępowania</w:t>
            </w:r>
          </w:p>
        </w:tc>
      </w:tr>
      <w:tr w:rsidR="00B9322E" w:rsidRPr="00A639C4" w14:paraId="1B9DF83D" w14:textId="77777777" w:rsidTr="00E47CA1">
        <w:tc>
          <w:tcPr>
            <w:tcW w:w="1560" w:type="dxa"/>
            <w:shd w:val="clear" w:color="auto" w:fill="auto"/>
          </w:tcPr>
          <w:p w14:paraId="6242F48B" w14:textId="77777777" w:rsidR="00B9322E" w:rsidRPr="00A639C4" w:rsidRDefault="00B9322E" w:rsidP="00B9322E">
            <w:pPr>
              <w:tabs>
                <w:tab w:val="left" w:pos="408"/>
              </w:tabs>
              <w:spacing w:before="40" w:after="40"/>
              <w:jc w:val="center"/>
              <w:rPr>
                <w:b/>
              </w:rPr>
            </w:pPr>
          </w:p>
        </w:tc>
        <w:tc>
          <w:tcPr>
            <w:tcW w:w="8641" w:type="dxa"/>
            <w:shd w:val="clear" w:color="auto" w:fill="auto"/>
          </w:tcPr>
          <w:p w14:paraId="3DAC71FE" w14:textId="7C63D339" w:rsidR="00B9322E" w:rsidRPr="00D279B2" w:rsidRDefault="00B9322E" w:rsidP="00B9322E">
            <w:pPr>
              <w:pStyle w:val="Teksttreci0"/>
              <w:shd w:val="clear" w:color="auto" w:fill="auto"/>
              <w:spacing w:before="80" w:after="6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tc>
      </w:tr>
      <w:tr w:rsidR="00B9322E" w:rsidRPr="00A639C4" w14:paraId="2B961039" w14:textId="77777777" w:rsidTr="00E47CA1">
        <w:tc>
          <w:tcPr>
            <w:tcW w:w="1560" w:type="dxa"/>
            <w:shd w:val="clear" w:color="auto" w:fill="BFBFBF" w:themeFill="background1" w:themeFillShade="BF"/>
          </w:tcPr>
          <w:p w14:paraId="1965C385" w14:textId="77777777" w:rsidR="00B9322E" w:rsidRPr="00A639C4" w:rsidRDefault="00B9322E" w:rsidP="00B9322E">
            <w:pPr>
              <w:tabs>
                <w:tab w:val="left" w:pos="408"/>
              </w:tabs>
              <w:spacing w:before="40" w:after="40"/>
              <w:jc w:val="center"/>
              <w:rPr>
                <w:b/>
              </w:rPr>
            </w:pPr>
            <w:r w:rsidRPr="00A639C4">
              <w:rPr>
                <w:b/>
              </w:rPr>
              <w:t>Pkt 11.1 IDW</w:t>
            </w:r>
          </w:p>
        </w:tc>
        <w:tc>
          <w:tcPr>
            <w:tcW w:w="8641" w:type="dxa"/>
            <w:shd w:val="clear" w:color="auto" w:fill="BFBFBF" w:themeFill="background1" w:themeFillShade="BF"/>
          </w:tcPr>
          <w:p w14:paraId="5C4A5B1B" w14:textId="013F7879" w:rsidR="00B9322E" w:rsidRPr="00A639C4" w:rsidRDefault="00B9322E" w:rsidP="00B9322E">
            <w:pPr>
              <w:spacing w:before="40" w:after="40"/>
              <w:rPr>
                <w:b/>
                <w:bCs/>
                <w:color w:val="000000"/>
              </w:rPr>
            </w:pPr>
            <w:r w:rsidRPr="00A639C4">
              <w:rPr>
                <w:b/>
              </w:rPr>
              <w:t>Przedmiotowe środki dowodowe</w:t>
            </w:r>
          </w:p>
        </w:tc>
      </w:tr>
      <w:tr w:rsidR="00B9322E" w:rsidRPr="00A639C4" w14:paraId="26BD9609" w14:textId="77777777" w:rsidTr="00E47CA1">
        <w:tc>
          <w:tcPr>
            <w:tcW w:w="1560" w:type="dxa"/>
            <w:tcBorders>
              <w:bottom w:val="single" w:sz="4" w:space="0" w:color="auto"/>
            </w:tcBorders>
            <w:shd w:val="clear" w:color="auto" w:fill="auto"/>
          </w:tcPr>
          <w:p w14:paraId="36F92663"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0244DC21" w14:textId="75FD6477" w:rsidR="00B9322E" w:rsidRPr="00226A17" w:rsidRDefault="00B9322E" w:rsidP="00B9322E">
            <w:pPr>
              <w:spacing w:before="80" w:after="80"/>
              <w:jc w:val="both"/>
            </w:pPr>
            <w:r w:rsidRPr="00A639C4">
              <w:t xml:space="preserve">Zamawiający </w:t>
            </w:r>
            <w:r w:rsidRPr="00A639C4">
              <w:rPr>
                <w:b/>
                <w:u w:val="single"/>
              </w:rPr>
              <w:t>nie przewiduje</w:t>
            </w:r>
            <w:r w:rsidRPr="00A639C4">
              <w:t xml:space="preserve"> wprowadzenia przedmiotowych środków dowodowych  </w:t>
            </w:r>
          </w:p>
        </w:tc>
      </w:tr>
      <w:tr w:rsidR="00B9322E" w:rsidRPr="00A639C4" w14:paraId="773C9F96" w14:textId="77777777" w:rsidTr="00E47CA1">
        <w:tc>
          <w:tcPr>
            <w:tcW w:w="1560" w:type="dxa"/>
            <w:shd w:val="clear" w:color="auto" w:fill="BFBFBF" w:themeFill="background1" w:themeFillShade="BF"/>
          </w:tcPr>
          <w:p w14:paraId="5231AC04" w14:textId="77777777" w:rsidR="00B9322E" w:rsidRPr="00A639C4" w:rsidRDefault="00B9322E" w:rsidP="00B9322E">
            <w:pPr>
              <w:tabs>
                <w:tab w:val="left" w:pos="408"/>
              </w:tabs>
              <w:spacing w:before="120" w:after="60"/>
              <w:jc w:val="center"/>
              <w:rPr>
                <w:b/>
              </w:rPr>
            </w:pPr>
            <w:r w:rsidRPr="00A639C4">
              <w:rPr>
                <w:b/>
              </w:rPr>
              <w:t>Pkt 15.6 IDW</w:t>
            </w:r>
          </w:p>
        </w:tc>
        <w:tc>
          <w:tcPr>
            <w:tcW w:w="8641" w:type="dxa"/>
            <w:shd w:val="clear" w:color="auto" w:fill="BFBFBF" w:themeFill="background1" w:themeFillShade="BF"/>
          </w:tcPr>
          <w:p w14:paraId="56A0F0A4" w14:textId="77777777" w:rsidR="00B9322E" w:rsidRPr="00A639C4" w:rsidRDefault="00B9322E" w:rsidP="00B9322E">
            <w:pPr>
              <w:tabs>
                <w:tab w:val="left" w:pos="408"/>
              </w:tabs>
              <w:spacing w:before="60" w:after="60"/>
              <w:rPr>
                <w:b/>
              </w:rPr>
            </w:pPr>
            <w:r w:rsidRPr="00A639C4">
              <w:rPr>
                <w:b/>
              </w:rPr>
              <w:t>Opis sposobu przygotowania ofert oraz wymagania formalne dotyczące składanych oświadczeń i dokumentów</w:t>
            </w:r>
          </w:p>
        </w:tc>
      </w:tr>
      <w:tr w:rsidR="00B9322E" w:rsidRPr="00A639C4" w14:paraId="1FDBEECD" w14:textId="77777777" w:rsidTr="00E47CA1">
        <w:tc>
          <w:tcPr>
            <w:tcW w:w="1560" w:type="dxa"/>
            <w:tcBorders>
              <w:bottom w:val="single" w:sz="4" w:space="0" w:color="auto"/>
            </w:tcBorders>
            <w:shd w:val="clear" w:color="auto" w:fill="auto"/>
          </w:tcPr>
          <w:p w14:paraId="6BC33FCA"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3C7323CA" w14:textId="799220B3" w:rsidR="00B9322E" w:rsidRPr="00A639C4" w:rsidRDefault="00B9322E" w:rsidP="00B9322E">
            <w:pPr>
              <w:spacing w:before="100"/>
              <w:jc w:val="both"/>
              <w:rPr>
                <w:b/>
                <w:color w:val="000000"/>
                <w:u w:val="single"/>
              </w:rPr>
            </w:pPr>
            <w:r w:rsidRPr="006C359B">
              <w:rPr>
                <w:b/>
                <w:bCs/>
                <w:color w:val="000000"/>
                <w:u w:val="single"/>
              </w:rPr>
              <w:t>Wykonawca wraz z ofertą złożoną na formularzu ofertowym jest zobowiązany złożyć</w:t>
            </w:r>
            <w:r w:rsidRPr="00A639C4">
              <w:rPr>
                <w:b/>
                <w:color w:val="000000"/>
                <w:u w:val="single"/>
              </w:rPr>
              <w:t>:</w:t>
            </w:r>
          </w:p>
          <w:p w14:paraId="2830DC85" w14:textId="77777777" w:rsidR="00B9322E" w:rsidRPr="00D279B2" w:rsidRDefault="00B9322E" w:rsidP="00B9322E">
            <w:pPr>
              <w:ind w:firstLine="708"/>
              <w:jc w:val="both"/>
              <w:rPr>
                <w:color w:val="000000"/>
                <w:sz w:val="8"/>
                <w:szCs w:val="8"/>
              </w:rPr>
            </w:pPr>
          </w:p>
          <w:p w14:paraId="7FD27F6C" w14:textId="77777777" w:rsidR="00B9322E" w:rsidRPr="00A639C4" w:rsidRDefault="00B9322E" w:rsidP="00B9322E">
            <w:pPr>
              <w:pStyle w:val="Akapitzlist"/>
              <w:numPr>
                <w:ilvl w:val="0"/>
                <w:numId w:val="18"/>
              </w:numPr>
              <w:jc w:val="both"/>
              <w:rPr>
                <w:color w:val="000000"/>
              </w:rPr>
            </w:pPr>
            <w:r w:rsidRPr="00A639C4">
              <w:rPr>
                <w:color w:val="000000"/>
              </w:rPr>
              <w:t xml:space="preserve">oświadczenie o niepodleganiu wykluczeniu </w:t>
            </w:r>
          </w:p>
          <w:p w14:paraId="496F5A61" w14:textId="2C108E01" w:rsidR="00B9322E" w:rsidRPr="00A639C4" w:rsidRDefault="00B9322E" w:rsidP="00B9322E">
            <w:pPr>
              <w:pStyle w:val="Akapitzlist"/>
              <w:numPr>
                <w:ilvl w:val="0"/>
                <w:numId w:val="18"/>
              </w:numPr>
              <w:jc w:val="both"/>
              <w:rPr>
                <w:color w:val="000000"/>
              </w:rPr>
            </w:pPr>
            <w:r w:rsidRPr="00A639C4">
              <w:rPr>
                <w:color w:val="000000"/>
              </w:rPr>
              <w:t>oświadczenie o spełnianiu warunków udziału w postępowaniu;</w:t>
            </w:r>
          </w:p>
          <w:p w14:paraId="4FEB16BA" w14:textId="48C446E5" w:rsidR="00B9322E" w:rsidRPr="00A639C4" w:rsidRDefault="00B9322E" w:rsidP="00B9322E">
            <w:pPr>
              <w:pStyle w:val="Akapitzlist"/>
              <w:numPr>
                <w:ilvl w:val="0"/>
                <w:numId w:val="18"/>
              </w:numPr>
              <w:jc w:val="both"/>
              <w:rPr>
                <w:color w:val="000000"/>
              </w:rPr>
            </w:pPr>
            <w:r>
              <w:rPr>
                <w:color w:val="000000"/>
              </w:rPr>
              <w:t>Kosztorys ofertowy (KO);</w:t>
            </w:r>
          </w:p>
          <w:p w14:paraId="08D3AF19" w14:textId="573A736D" w:rsidR="00B9322E" w:rsidRPr="00A639C4" w:rsidRDefault="00B9322E" w:rsidP="00B9322E">
            <w:pPr>
              <w:pStyle w:val="Akapitzlist"/>
              <w:numPr>
                <w:ilvl w:val="0"/>
                <w:numId w:val="18"/>
              </w:numPr>
              <w:jc w:val="both"/>
              <w:rPr>
                <w:color w:val="000000"/>
              </w:rPr>
            </w:pPr>
            <w:r w:rsidRPr="00A639C4">
              <w:rPr>
                <w:color w:val="000000"/>
              </w:rPr>
              <w:t>dowód wniesienia wadium;</w:t>
            </w:r>
          </w:p>
          <w:p w14:paraId="3BF0F72C" w14:textId="77777777" w:rsidR="00B9322E" w:rsidRPr="00A639C4" w:rsidRDefault="00B9322E" w:rsidP="00B9322E">
            <w:pPr>
              <w:pStyle w:val="Akapitzlist"/>
              <w:numPr>
                <w:ilvl w:val="0"/>
                <w:numId w:val="18"/>
              </w:numPr>
              <w:jc w:val="both"/>
              <w:rPr>
                <w:color w:val="000000"/>
              </w:rPr>
            </w:pPr>
            <w:r w:rsidRPr="00A639C4">
              <w:rPr>
                <w:color w:val="000000"/>
              </w:rPr>
              <w:t>zobowiązanie innego podmiotu, o którym mowa w SWZ (jeżeli dotyczy);</w:t>
            </w:r>
          </w:p>
          <w:p w14:paraId="26472974" w14:textId="77777777" w:rsidR="00B9322E" w:rsidRPr="00A639C4" w:rsidRDefault="00B9322E" w:rsidP="00B9322E">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30E1226" w14:textId="77777777" w:rsidR="00B9322E" w:rsidRPr="00A639C4" w:rsidRDefault="00B9322E" w:rsidP="00B9322E">
            <w:pPr>
              <w:pStyle w:val="Akapitzlist"/>
              <w:numPr>
                <w:ilvl w:val="0"/>
                <w:numId w:val="18"/>
              </w:numPr>
              <w:jc w:val="both"/>
              <w:rPr>
                <w:color w:val="000000"/>
              </w:rPr>
            </w:pPr>
            <w:r w:rsidRPr="00A639C4">
              <w:rPr>
                <w:color w:val="000000"/>
              </w:rPr>
              <w:t>oświadczenie na podstawie art. 117 ust. 4 (jeżeli dotyczy tj. Konsorcja, Spółki cywilne)</w:t>
            </w:r>
          </w:p>
          <w:p w14:paraId="7F7AAA15" w14:textId="77777777" w:rsidR="00B9322E" w:rsidRPr="002F149C" w:rsidRDefault="00B9322E" w:rsidP="00B9322E">
            <w:pPr>
              <w:jc w:val="both"/>
              <w:rPr>
                <w:b/>
                <w:sz w:val="16"/>
                <w:szCs w:val="16"/>
              </w:rPr>
            </w:pPr>
          </w:p>
        </w:tc>
      </w:tr>
      <w:tr w:rsidR="00B9322E" w:rsidRPr="00A639C4" w14:paraId="62B183E8" w14:textId="77777777" w:rsidTr="00E47CA1">
        <w:tc>
          <w:tcPr>
            <w:tcW w:w="1560" w:type="dxa"/>
            <w:shd w:val="clear" w:color="auto" w:fill="BFBFBF" w:themeFill="background1" w:themeFillShade="BF"/>
          </w:tcPr>
          <w:p w14:paraId="5364FC06" w14:textId="77777777" w:rsidR="00B9322E" w:rsidRPr="00A639C4" w:rsidRDefault="00B9322E" w:rsidP="00B9322E">
            <w:pPr>
              <w:tabs>
                <w:tab w:val="left" w:pos="408"/>
              </w:tabs>
              <w:spacing w:before="100" w:after="100"/>
              <w:jc w:val="center"/>
              <w:rPr>
                <w:b/>
              </w:rPr>
            </w:pPr>
            <w:r w:rsidRPr="00A639C4">
              <w:rPr>
                <w:b/>
              </w:rPr>
              <w:t>Pkt 17.1 IDW</w:t>
            </w:r>
          </w:p>
        </w:tc>
        <w:tc>
          <w:tcPr>
            <w:tcW w:w="8641" w:type="dxa"/>
            <w:shd w:val="clear" w:color="auto" w:fill="BFBFBF" w:themeFill="background1" w:themeFillShade="BF"/>
          </w:tcPr>
          <w:p w14:paraId="05DF4D9F" w14:textId="70FBCA70" w:rsidR="00B9322E" w:rsidRPr="00A639C4" w:rsidRDefault="00B9322E" w:rsidP="00B9322E">
            <w:pPr>
              <w:spacing w:before="100" w:after="100"/>
              <w:rPr>
                <w:b/>
              </w:rPr>
            </w:pPr>
            <w:r w:rsidRPr="00A639C4">
              <w:rPr>
                <w:b/>
              </w:rPr>
              <w:t>Wymagania dotyczące wadium</w:t>
            </w:r>
          </w:p>
        </w:tc>
      </w:tr>
      <w:tr w:rsidR="00B9322E" w:rsidRPr="00A639C4" w14:paraId="43ADAD82" w14:textId="77777777" w:rsidTr="00E47CA1">
        <w:tc>
          <w:tcPr>
            <w:tcW w:w="1560" w:type="dxa"/>
            <w:tcBorders>
              <w:bottom w:val="single" w:sz="4" w:space="0" w:color="auto"/>
            </w:tcBorders>
            <w:shd w:val="clear" w:color="auto" w:fill="auto"/>
          </w:tcPr>
          <w:p w14:paraId="4F1E4F7F"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1FB6BEBB" w14:textId="77777777" w:rsidR="00B9322E" w:rsidRPr="00BE67F7" w:rsidRDefault="00B9322E" w:rsidP="00B9322E">
            <w:pPr>
              <w:jc w:val="both"/>
              <w:rPr>
                <w:sz w:val="8"/>
                <w:szCs w:val="8"/>
              </w:rPr>
            </w:pPr>
          </w:p>
          <w:p w14:paraId="40BFC494" w14:textId="02AF8F7A" w:rsidR="00B9322E" w:rsidRPr="00154865" w:rsidRDefault="00B9322E" w:rsidP="00B9322E">
            <w:pPr>
              <w:jc w:val="both"/>
              <w:rPr>
                <w:b/>
                <w:bCs/>
              </w:rPr>
            </w:pPr>
            <w:r w:rsidRPr="00A639C4">
              <w:t xml:space="preserve">Zamawiający </w:t>
            </w:r>
            <w:r w:rsidRPr="00A639C4">
              <w:rPr>
                <w:b/>
                <w:u w:val="single"/>
              </w:rPr>
              <w:t xml:space="preserve">przewiduje </w:t>
            </w:r>
            <w:r w:rsidRPr="00A639C4">
              <w:t xml:space="preserve">obowiązek wniesienia wadium przed upływem terminu składania ofert w </w:t>
            </w:r>
            <w:r w:rsidRPr="00B371BD">
              <w:t xml:space="preserve">wysokości  </w:t>
            </w:r>
            <w:r>
              <w:rPr>
                <w:b/>
                <w:bCs/>
              </w:rPr>
              <w:t>5 500,00</w:t>
            </w:r>
            <w:r w:rsidRPr="00B371BD">
              <w:rPr>
                <w:b/>
                <w:bCs/>
              </w:rPr>
              <w:t xml:space="preserve"> PLN</w:t>
            </w:r>
          </w:p>
          <w:p w14:paraId="1675E3B7" w14:textId="77777777" w:rsidR="00B9322E" w:rsidRPr="00BE67F7" w:rsidRDefault="00B9322E" w:rsidP="00B9322E">
            <w:pPr>
              <w:jc w:val="both"/>
              <w:rPr>
                <w:b/>
                <w:sz w:val="8"/>
                <w:szCs w:val="8"/>
              </w:rPr>
            </w:pPr>
          </w:p>
        </w:tc>
      </w:tr>
      <w:tr w:rsidR="00B9322E" w:rsidRPr="00A639C4" w14:paraId="6383B0AB" w14:textId="77777777" w:rsidTr="00E47CA1">
        <w:tc>
          <w:tcPr>
            <w:tcW w:w="1560" w:type="dxa"/>
            <w:shd w:val="clear" w:color="auto" w:fill="BFBFBF" w:themeFill="background1" w:themeFillShade="BF"/>
          </w:tcPr>
          <w:p w14:paraId="68B9A715" w14:textId="77777777" w:rsidR="00B9322E" w:rsidRPr="00A639C4" w:rsidRDefault="00B9322E" w:rsidP="00B9322E">
            <w:pPr>
              <w:tabs>
                <w:tab w:val="left" w:pos="408"/>
              </w:tabs>
              <w:jc w:val="center"/>
              <w:rPr>
                <w:b/>
              </w:rPr>
            </w:pPr>
            <w:r w:rsidRPr="00A639C4">
              <w:rPr>
                <w:b/>
              </w:rPr>
              <w:t>Pkt 19.1 IDW</w:t>
            </w:r>
          </w:p>
          <w:p w14:paraId="3380D668" w14:textId="354BBE2D" w:rsidR="00B9322E" w:rsidRPr="00A639C4" w:rsidRDefault="00B9322E" w:rsidP="00B9322E">
            <w:pPr>
              <w:tabs>
                <w:tab w:val="left" w:pos="408"/>
              </w:tabs>
              <w:spacing w:before="60" w:after="60"/>
              <w:jc w:val="center"/>
              <w:rPr>
                <w:b/>
              </w:rPr>
            </w:pPr>
            <w:r w:rsidRPr="00A639C4">
              <w:rPr>
                <w:b/>
              </w:rPr>
              <w:t>Pkt 19.2 IDW</w:t>
            </w:r>
          </w:p>
        </w:tc>
        <w:tc>
          <w:tcPr>
            <w:tcW w:w="8641" w:type="dxa"/>
            <w:shd w:val="clear" w:color="auto" w:fill="BFBFBF" w:themeFill="background1" w:themeFillShade="BF"/>
          </w:tcPr>
          <w:p w14:paraId="70AE230E" w14:textId="35CB8D41" w:rsidR="00B9322E" w:rsidRPr="00A639C4" w:rsidRDefault="00B9322E" w:rsidP="00B9322E">
            <w:pPr>
              <w:tabs>
                <w:tab w:val="left" w:pos="408"/>
              </w:tabs>
              <w:spacing w:before="60" w:after="60"/>
              <w:rPr>
                <w:b/>
              </w:rPr>
            </w:pPr>
            <w:r w:rsidRPr="00A639C4">
              <w:rPr>
                <w:b/>
                <w:bCs/>
                <w:color w:val="000000"/>
              </w:rPr>
              <w:t>Termin składania i otwarcia ofert</w:t>
            </w:r>
          </w:p>
        </w:tc>
      </w:tr>
      <w:tr w:rsidR="00B9322E" w:rsidRPr="00A639C4" w14:paraId="77F13A21" w14:textId="77777777" w:rsidTr="00E47CA1">
        <w:tc>
          <w:tcPr>
            <w:tcW w:w="1560" w:type="dxa"/>
            <w:shd w:val="clear" w:color="auto" w:fill="auto"/>
          </w:tcPr>
          <w:p w14:paraId="68896D38" w14:textId="77777777" w:rsidR="00B9322E" w:rsidRPr="00A639C4" w:rsidRDefault="00B9322E" w:rsidP="00B9322E">
            <w:pPr>
              <w:tabs>
                <w:tab w:val="left" w:pos="408"/>
              </w:tabs>
              <w:spacing w:before="60" w:after="60"/>
              <w:jc w:val="center"/>
              <w:rPr>
                <w:b/>
              </w:rPr>
            </w:pPr>
          </w:p>
        </w:tc>
        <w:tc>
          <w:tcPr>
            <w:tcW w:w="8641" w:type="dxa"/>
            <w:shd w:val="clear" w:color="auto" w:fill="auto"/>
          </w:tcPr>
          <w:p w14:paraId="5CF6C656" w14:textId="6BEC6F2B" w:rsidR="00B9322E" w:rsidRPr="00C16D5F" w:rsidRDefault="00B9322E" w:rsidP="00B9322E">
            <w:pPr>
              <w:widowControl/>
              <w:autoSpaceDE/>
              <w:autoSpaceDN/>
              <w:adjustRightInd/>
              <w:spacing w:before="120" w:line="360" w:lineRule="auto"/>
              <w:jc w:val="both"/>
            </w:pPr>
            <w:r w:rsidRPr="00FA41C7">
              <w:rPr>
                <w:rFonts w:eastAsia="Calibri"/>
              </w:rPr>
              <w:t xml:space="preserve">Termin składania ofert </w:t>
            </w:r>
            <w:r w:rsidRPr="00C16D5F">
              <w:rPr>
                <w:b/>
              </w:rPr>
              <w:t xml:space="preserve">19.11.2024 r. do godziny </w:t>
            </w:r>
            <w:r w:rsidRPr="00C16D5F">
              <w:rPr>
                <w:b/>
                <w:bCs/>
                <w:caps/>
              </w:rPr>
              <w:t>09:00</w:t>
            </w:r>
            <w:r w:rsidRPr="00C16D5F">
              <w:t>.</w:t>
            </w:r>
          </w:p>
          <w:p w14:paraId="0223B547" w14:textId="5E21ACDF" w:rsidR="00B9322E" w:rsidRPr="00C16D5F" w:rsidRDefault="00B9322E" w:rsidP="00B9322E">
            <w:pPr>
              <w:jc w:val="both"/>
            </w:pPr>
            <w:r w:rsidRPr="00C16D5F">
              <w:rPr>
                <w:rFonts w:eastAsia="Calibri"/>
              </w:rPr>
              <w:t xml:space="preserve">Termin otwarcia ofert </w:t>
            </w:r>
            <w:r w:rsidRPr="00C16D5F">
              <w:rPr>
                <w:b/>
              </w:rPr>
              <w:t xml:space="preserve">19.11.2024 r. godzina </w:t>
            </w:r>
            <w:r w:rsidRPr="00C16D5F">
              <w:rPr>
                <w:b/>
                <w:bCs/>
                <w:caps/>
              </w:rPr>
              <w:t>09:15</w:t>
            </w:r>
          </w:p>
          <w:p w14:paraId="0F14F764" w14:textId="77777777" w:rsidR="00B9322E" w:rsidRPr="00BE67F7" w:rsidRDefault="00B9322E" w:rsidP="00B9322E">
            <w:pPr>
              <w:tabs>
                <w:tab w:val="left" w:pos="408"/>
              </w:tabs>
              <w:spacing w:before="60" w:after="60"/>
              <w:rPr>
                <w:sz w:val="6"/>
                <w:szCs w:val="6"/>
              </w:rPr>
            </w:pPr>
          </w:p>
          <w:p w14:paraId="7B2FE857" w14:textId="13F33CD4" w:rsidR="00B9322E" w:rsidRPr="008C5D67" w:rsidRDefault="00B9322E" w:rsidP="00B9322E">
            <w:pPr>
              <w:tabs>
                <w:tab w:val="left" w:pos="408"/>
              </w:tabs>
              <w:spacing w:before="60" w:after="60"/>
            </w:pPr>
            <w:r w:rsidRPr="00A639C4">
              <w:t xml:space="preserve">Ofertę należy złożyć na zasadach określonych w </w:t>
            </w:r>
            <w:proofErr w:type="spellStart"/>
            <w:r w:rsidRPr="00A639C4">
              <w:t>Pzp</w:t>
            </w:r>
            <w:proofErr w:type="spellEnd"/>
            <w:r w:rsidRPr="00A639C4">
              <w:t xml:space="preserve"> i SWZ.</w:t>
            </w:r>
          </w:p>
        </w:tc>
      </w:tr>
      <w:tr w:rsidR="00B9322E" w:rsidRPr="00A639C4" w14:paraId="0F29E392" w14:textId="77777777" w:rsidTr="00E47CA1">
        <w:tc>
          <w:tcPr>
            <w:tcW w:w="1560" w:type="dxa"/>
            <w:shd w:val="clear" w:color="auto" w:fill="BFBFBF" w:themeFill="background1" w:themeFillShade="BF"/>
          </w:tcPr>
          <w:p w14:paraId="78E63FBF" w14:textId="77777777" w:rsidR="00B9322E" w:rsidRPr="00A639C4" w:rsidRDefault="00B9322E" w:rsidP="00B9322E">
            <w:pPr>
              <w:tabs>
                <w:tab w:val="left" w:pos="408"/>
              </w:tabs>
              <w:spacing w:before="60" w:after="60"/>
              <w:jc w:val="center"/>
              <w:rPr>
                <w:b/>
              </w:rPr>
            </w:pPr>
            <w:r w:rsidRPr="00A639C4">
              <w:rPr>
                <w:b/>
              </w:rPr>
              <w:t>Pkt 18.1 IDW</w:t>
            </w:r>
          </w:p>
        </w:tc>
        <w:tc>
          <w:tcPr>
            <w:tcW w:w="8641" w:type="dxa"/>
            <w:shd w:val="clear" w:color="auto" w:fill="BFBFBF" w:themeFill="background1" w:themeFillShade="BF"/>
          </w:tcPr>
          <w:p w14:paraId="34287554" w14:textId="77777777" w:rsidR="00B9322E" w:rsidRPr="00A639C4" w:rsidRDefault="00B9322E" w:rsidP="00B9322E">
            <w:pPr>
              <w:tabs>
                <w:tab w:val="left" w:pos="408"/>
              </w:tabs>
              <w:spacing w:before="60" w:after="60"/>
              <w:rPr>
                <w:b/>
              </w:rPr>
            </w:pPr>
            <w:r w:rsidRPr="00A639C4">
              <w:rPr>
                <w:b/>
              </w:rPr>
              <w:t>Termin związania ofertą</w:t>
            </w:r>
          </w:p>
        </w:tc>
      </w:tr>
      <w:tr w:rsidR="00B9322E" w:rsidRPr="00A639C4" w14:paraId="2C626DDD" w14:textId="77777777" w:rsidTr="00E47CA1">
        <w:tc>
          <w:tcPr>
            <w:tcW w:w="1560" w:type="dxa"/>
            <w:tcBorders>
              <w:bottom w:val="single" w:sz="4" w:space="0" w:color="auto"/>
            </w:tcBorders>
            <w:shd w:val="clear" w:color="auto" w:fill="auto"/>
          </w:tcPr>
          <w:p w14:paraId="550C1987"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51C92377" w14:textId="59C9C80E" w:rsidR="00B9322E" w:rsidRPr="00A639C4" w:rsidRDefault="00B9322E" w:rsidP="00B9322E">
            <w:pPr>
              <w:tabs>
                <w:tab w:val="left" w:pos="408"/>
              </w:tabs>
              <w:spacing w:before="120" w:after="120"/>
            </w:pPr>
            <w:r w:rsidRPr="00FA41C7">
              <w:t xml:space="preserve">Termin związania ofertą </w:t>
            </w:r>
            <w:r>
              <w:rPr>
                <w:b/>
                <w:bCs/>
              </w:rPr>
              <w:t>18.12.</w:t>
            </w:r>
            <w:r w:rsidRPr="00C16D5F">
              <w:rPr>
                <w:b/>
                <w:bCs/>
              </w:rPr>
              <w:t>2024 r</w:t>
            </w:r>
            <w:r w:rsidRPr="00C16D5F">
              <w:t>.</w:t>
            </w:r>
          </w:p>
        </w:tc>
      </w:tr>
      <w:tr w:rsidR="00B9322E" w:rsidRPr="00A639C4" w14:paraId="19C18581" w14:textId="77777777" w:rsidTr="00E47CA1">
        <w:tc>
          <w:tcPr>
            <w:tcW w:w="1560" w:type="dxa"/>
            <w:shd w:val="clear" w:color="auto" w:fill="BFBFBF" w:themeFill="background1" w:themeFillShade="BF"/>
          </w:tcPr>
          <w:p w14:paraId="19725769" w14:textId="77777777" w:rsidR="00B9322E" w:rsidRPr="00A639C4" w:rsidRDefault="00B9322E" w:rsidP="00B9322E">
            <w:pPr>
              <w:tabs>
                <w:tab w:val="left" w:pos="408"/>
              </w:tabs>
              <w:spacing w:before="100" w:after="100"/>
              <w:jc w:val="center"/>
              <w:rPr>
                <w:b/>
              </w:rPr>
            </w:pPr>
            <w:r w:rsidRPr="00A639C4">
              <w:rPr>
                <w:b/>
              </w:rPr>
              <w:t>Pkt 20.2 IDW</w:t>
            </w:r>
          </w:p>
        </w:tc>
        <w:tc>
          <w:tcPr>
            <w:tcW w:w="8641" w:type="dxa"/>
            <w:shd w:val="clear" w:color="auto" w:fill="BFBFBF" w:themeFill="background1" w:themeFillShade="BF"/>
          </w:tcPr>
          <w:p w14:paraId="7D21EE57" w14:textId="1B97F9B0" w:rsidR="00B9322E" w:rsidRPr="00A639C4" w:rsidRDefault="00B9322E" w:rsidP="00B9322E">
            <w:pPr>
              <w:spacing w:before="100" w:after="100"/>
              <w:ind w:left="360"/>
              <w:jc w:val="center"/>
              <w:rPr>
                <w:b/>
                <w:bCs/>
                <w:color w:val="000000"/>
              </w:rPr>
            </w:pPr>
            <w:r w:rsidRPr="00A639C4">
              <w:rPr>
                <w:b/>
                <w:bCs/>
                <w:color w:val="000000"/>
              </w:rPr>
              <w:t>Opis kryteriów oceny ofert, wraz z podaniem wag tych kryteriów i sposobu oceny ofert</w:t>
            </w:r>
          </w:p>
        </w:tc>
      </w:tr>
      <w:tr w:rsidR="00B9322E" w:rsidRPr="00A639C4" w14:paraId="5716D869" w14:textId="77777777" w:rsidTr="00E47CA1">
        <w:tc>
          <w:tcPr>
            <w:tcW w:w="1560" w:type="dxa"/>
            <w:tcBorders>
              <w:bottom w:val="single" w:sz="4" w:space="0" w:color="auto"/>
            </w:tcBorders>
            <w:shd w:val="clear" w:color="auto" w:fill="auto"/>
          </w:tcPr>
          <w:p w14:paraId="302B701E"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6E13349F" w14:textId="77777777" w:rsidR="00B9322E" w:rsidRPr="002C402D" w:rsidRDefault="00B9322E" w:rsidP="00B9322E">
            <w:pPr>
              <w:widowControl/>
              <w:autoSpaceDE/>
              <w:autoSpaceDN/>
              <w:adjustRightInd/>
              <w:jc w:val="both"/>
              <w:rPr>
                <w:sz w:val="10"/>
                <w:szCs w:val="10"/>
              </w:rPr>
            </w:pPr>
          </w:p>
          <w:p w14:paraId="71D6B5B7" w14:textId="77777777" w:rsidR="00B9322E" w:rsidRDefault="00B9322E" w:rsidP="00B9322E">
            <w:pPr>
              <w:pStyle w:val="Akapitzlist"/>
              <w:widowControl/>
              <w:numPr>
                <w:ilvl w:val="0"/>
                <w:numId w:val="5"/>
              </w:numPr>
              <w:tabs>
                <w:tab w:val="clear" w:pos="1800"/>
              </w:tabs>
              <w:autoSpaceDE/>
              <w:autoSpaceDN/>
              <w:adjustRightInd/>
              <w:ind w:left="426" w:hanging="426"/>
              <w:jc w:val="both"/>
            </w:pPr>
            <w:r w:rsidRPr="003644F4">
              <w:t xml:space="preserve">Przy wyborze najkorzystniejszej oferty Zamawiający będzie się kierował </w:t>
            </w:r>
          </w:p>
          <w:p w14:paraId="5506145B" w14:textId="77777777" w:rsidR="00B9322E" w:rsidRDefault="00B9322E" w:rsidP="00B9322E">
            <w:pPr>
              <w:pStyle w:val="Akapitzlist"/>
              <w:widowControl/>
              <w:autoSpaceDE/>
              <w:autoSpaceDN/>
              <w:adjustRightInd/>
              <w:ind w:left="426"/>
              <w:jc w:val="both"/>
            </w:pPr>
            <w:r w:rsidRPr="003644F4">
              <w:t>następującymi kryteriami oceny ofert:</w:t>
            </w:r>
          </w:p>
          <w:p w14:paraId="6547D008" w14:textId="77777777" w:rsidR="00B9322E" w:rsidRPr="00CB694E" w:rsidRDefault="00B9322E" w:rsidP="00B9322E">
            <w:pPr>
              <w:widowControl/>
              <w:autoSpaceDE/>
              <w:autoSpaceDN/>
              <w:adjustRightInd/>
              <w:jc w:val="both"/>
              <w:rPr>
                <w:sz w:val="10"/>
                <w:szCs w:val="10"/>
              </w:rPr>
            </w:pPr>
          </w:p>
          <w:p w14:paraId="5D8EC67E" w14:textId="58AF0A88" w:rsidR="00B9322E" w:rsidRPr="000E368E" w:rsidRDefault="00B9322E" w:rsidP="00B9322E">
            <w:pPr>
              <w:pStyle w:val="Akapitzlist"/>
              <w:widowControl/>
              <w:numPr>
                <w:ilvl w:val="0"/>
                <w:numId w:val="25"/>
              </w:numPr>
              <w:tabs>
                <w:tab w:val="clear" w:pos="1800"/>
                <w:tab w:val="num" w:pos="1450"/>
              </w:tabs>
              <w:autoSpaceDE/>
              <w:autoSpaceDN/>
              <w:adjustRightInd/>
              <w:spacing w:after="60"/>
              <w:ind w:left="599"/>
            </w:pPr>
            <w:r w:rsidRPr="0034485C">
              <w:rPr>
                <w:b/>
              </w:rPr>
              <w:t>Cena (C)</w:t>
            </w:r>
            <w:r w:rsidRPr="000E368E">
              <w:t xml:space="preserve"> – waga kryterium </w:t>
            </w:r>
            <w:r w:rsidRPr="004D25C7">
              <w:rPr>
                <w:b/>
                <w:bCs/>
              </w:rPr>
              <w:t>60%;</w:t>
            </w:r>
          </w:p>
          <w:p w14:paraId="430AF9D4" w14:textId="6CEFB588" w:rsidR="00B9322E" w:rsidRDefault="00B9322E" w:rsidP="00B9322E">
            <w:pPr>
              <w:pStyle w:val="Akapitzlist"/>
              <w:widowControl/>
              <w:numPr>
                <w:ilvl w:val="0"/>
                <w:numId w:val="25"/>
              </w:numPr>
              <w:tabs>
                <w:tab w:val="clear" w:pos="1800"/>
                <w:tab w:val="num" w:pos="1450"/>
              </w:tabs>
              <w:autoSpaceDE/>
              <w:autoSpaceDN/>
              <w:adjustRightInd/>
              <w:spacing w:after="60"/>
              <w:ind w:left="599"/>
            </w:pPr>
            <w:r>
              <w:rPr>
                <w:b/>
              </w:rPr>
              <w:t>Kryterium jakościowe</w:t>
            </w:r>
            <w:r w:rsidRPr="0034485C">
              <w:rPr>
                <w:b/>
              </w:rPr>
              <w:t xml:space="preserve"> – </w:t>
            </w:r>
            <w:r>
              <w:rPr>
                <w:b/>
              </w:rPr>
              <w:t>O</w:t>
            </w:r>
            <w:r w:rsidRPr="0034485C">
              <w:rPr>
                <w:b/>
              </w:rPr>
              <w:t>kres gwarancji i rękojmi</w:t>
            </w:r>
            <w:r>
              <w:rPr>
                <w:b/>
              </w:rPr>
              <w:t xml:space="preserve"> za wady</w:t>
            </w:r>
            <w:r>
              <w:t xml:space="preserve"> </w:t>
            </w:r>
            <w:r w:rsidRPr="0034485C">
              <w:rPr>
                <w:caps/>
              </w:rPr>
              <w:t xml:space="preserve"> </w:t>
            </w:r>
            <w:r w:rsidRPr="000E368E">
              <w:t xml:space="preserve">– waga kryterium </w:t>
            </w:r>
            <w:r>
              <w:rPr>
                <w:b/>
                <w:bCs/>
              </w:rPr>
              <w:t>4</w:t>
            </w:r>
            <w:r w:rsidRPr="000347F6">
              <w:rPr>
                <w:b/>
                <w:bCs/>
              </w:rPr>
              <w:t>0%.</w:t>
            </w:r>
          </w:p>
          <w:p w14:paraId="092F4503" w14:textId="77777777" w:rsidR="00B9322E" w:rsidRPr="00144492" w:rsidRDefault="00B9322E" w:rsidP="00B9322E">
            <w:pPr>
              <w:pStyle w:val="Akapitzlist"/>
              <w:widowControl/>
              <w:autoSpaceDE/>
              <w:autoSpaceDN/>
              <w:adjustRightInd/>
              <w:ind w:left="1800"/>
              <w:rPr>
                <w:sz w:val="28"/>
                <w:szCs w:val="28"/>
              </w:rPr>
            </w:pPr>
          </w:p>
          <w:p w14:paraId="75773D08" w14:textId="787B5F85" w:rsidR="00B9322E" w:rsidRPr="00AE094D" w:rsidRDefault="00B9322E" w:rsidP="00B9322E">
            <w:pPr>
              <w:pStyle w:val="Akapitzlist"/>
              <w:widowControl/>
              <w:numPr>
                <w:ilvl w:val="0"/>
                <w:numId w:val="5"/>
              </w:numPr>
              <w:tabs>
                <w:tab w:val="clear" w:pos="1800"/>
              </w:tabs>
              <w:autoSpaceDE/>
              <w:autoSpaceDN/>
              <w:adjustRightInd/>
              <w:spacing w:after="100"/>
              <w:ind w:left="425" w:hanging="425"/>
              <w:jc w:val="both"/>
            </w:pPr>
            <w:r w:rsidRPr="00AE094D">
              <w:t>Zasady oceny ofert w poszczególnych kryteriach:</w:t>
            </w:r>
          </w:p>
          <w:p w14:paraId="67C9EBED" w14:textId="4B9CA3B0" w:rsidR="00B9322E" w:rsidRPr="00AE094D" w:rsidRDefault="00B9322E" w:rsidP="00B9322E">
            <w:pPr>
              <w:pStyle w:val="Akapitzlist"/>
              <w:widowControl/>
              <w:numPr>
                <w:ilvl w:val="0"/>
                <w:numId w:val="7"/>
              </w:numPr>
              <w:autoSpaceDE/>
              <w:autoSpaceDN/>
              <w:adjustRightInd/>
              <w:spacing w:before="240"/>
              <w:ind w:left="741" w:hanging="315"/>
              <w:contextualSpacing/>
              <w:jc w:val="both"/>
              <w:rPr>
                <w:b/>
                <w:u w:val="single"/>
              </w:rPr>
            </w:pPr>
            <w:r w:rsidRPr="00AE094D">
              <w:rPr>
                <w:b/>
                <w:u w:val="single"/>
              </w:rPr>
              <w:t>Cena (C)  – waga kryterium 60%</w:t>
            </w:r>
          </w:p>
          <w:p w14:paraId="6A58F3A5" w14:textId="77777777" w:rsidR="00B9322E" w:rsidRDefault="00B9322E" w:rsidP="00B9322E">
            <w:pPr>
              <w:pStyle w:val="Akapitzlist"/>
              <w:spacing w:before="100"/>
              <w:ind w:left="2014" w:hanging="709"/>
              <w:rPr>
                <w:b/>
              </w:rPr>
            </w:pPr>
            <w:r>
              <w:rPr>
                <w:b/>
              </w:rPr>
              <w:t xml:space="preserve">cena najniższa brutto zamówienia podstawowego </w:t>
            </w:r>
            <w:r>
              <w:rPr>
                <w:b/>
              </w:rPr>
              <w:br/>
              <w:t xml:space="preserve">spośród wszystkich złożonych ofert </w:t>
            </w:r>
            <w:r>
              <w:rPr>
                <w:b/>
              </w:rPr>
              <w:br/>
              <w:t>niepodlegających odrzuceniu</w:t>
            </w:r>
          </w:p>
          <w:p w14:paraId="7187F6BA" w14:textId="77777777" w:rsidR="00B9322E" w:rsidRDefault="00B9322E" w:rsidP="00B9322E">
            <w:pPr>
              <w:pStyle w:val="Akapitzlist"/>
              <w:ind w:left="1080"/>
              <w:jc w:val="both"/>
            </w:pPr>
            <w:r>
              <w:rPr>
                <w:b/>
              </w:rPr>
              <w:t>CZP =</w:t>
            </w:r>
            <w:r>
              <w:t xml:space="preserve"> </w:t>
            </w:r>
            <w:r>
              <w:rPr>
                <w:strike/>
              </w:rPr>
              <w:t xml:space="preserve">------------------------------------------------ </w:t>
            </w:r>
            <w:r>
              <w:t xml:space="preserve">  </w:t>
            </w:r>
            <w:r>
              <w:rPr>
                <w:b/>
              </w:rPr>
              <w:t>x 100 pkt x 60 %</w:t>
            </w:r>
          </w:p>
          <w:p w14:paraId="0BB82FA9" w14:textId="77777777" w:rsidR="00B9322E" w:rsidRDefault="00B9322E" w:rsidP="00B9322E">
            <w:pPr>
              <w:widowControl/>
              <w:autoSpaceDE/>
              <w:autoSpaceDN/>
              <w:adjustRightInd/>
              <w:ind w:firstLine="1730"/>
              <w:contextualSpacing/>
              <w:jc w:val="both"/>
              <w:rPr>
                <w:b/>
              </w:rPr>
            </w:pPr>
            <w:r>
              <w:rPr>
                <w:b/>
              </w:rPr>
              <w:t>cena oferty ocenianej zamówienia brutto</w:t>
            </w:r>
          </w:p>
          <w:p w14:paraId="5F2C0F69" w14:textId="77777777" w:rsidR="00B9322E" w:rsidRDefault="00B9322E" w:rsidP="00B9322E">
            <w:pPr>
              <w:widowControl/>
              <w:autoSpaceDE/>
              <w:autoSpaceDN/>
              <w:adjustRightInd/>
              <w:spacing w:before="160"/>
              <w:contextualSpacing/>
              <w:jc w:val="both"/>
              <w:rPr>
                <w:b/>
              </w:rPr>
            </w:pPr>
          </w:p>
          <w:p w14:paraId="5496451B" w14:textId="34092DBA" w:rsidR="00B9322E" w:rsidRPr="000127E3" w:rsidRDefault="00B9322E" w:rsidP="00B9322E">
            <w:pPr>
              <w:widowControl/>
              <w:autoSpaceDE/>
              <w:autoSpaceDN/>
              <w:adjustRightInd/>
              <w:spacing w:before="160"/>
              <w:contextualSpacing/>
              <w:jc w:val="both"/>
            </w:pPr>
            <w:r w:rsidRPr="00AE094D">
              <w:t xml:space="preserve">Podstawą przyznania punktów w kryterium „cena” będzie cena </w:t>
            </w:r>
            <w:r w:rsidRPr="000127E3">
              <w:t>ofertowa brutto podana przez Wykonawcę w Formularzu Ofertowym.</w:t>
            </w:r>
          </w:p>
          <w:p w14:paraId="23E5F168" w14:textId="77777777" w:rsidR="00B9322E" w:rsidRPr="000127E3" w:rsidRDefault="00B9322E" w:rsidP="00B9322E">
            <w:pPr>
              <w:widowControl/>
              <w:autoSpaceDE/>
              <w:autoSpaceDN/>
              <w:adjustRightInd/>
              <w:contextualSpacing/>
              <w:jc w:val="both"/>
            </w:pPr>
            <w:r w:rsidRPr="000127E3">
              <w:t>Cena ofertowa brutto musi uwzględniać wszelkie koszty jakie Wykonawca poniesie w związku z realizacją przedmiotu zamówienia.</w:t>
            </w:r>
          </w:p>
          <w:p w14:paraId="476AD907" w14:textId="77777777" w:rsidR="00B9322E" w:rsidRDefault="00B9322E" w:rsidP="00B9322E">
            <w:pPr>
              <w:pStyle w:val="Akapitzlist"/>
              <w:widowControl/>
              <w:autoSpaceDE/>
              <w:autoSpaceDN/>
              <w:adjustRightInd/>
              <w:ind w:left="1358"/>
              <w:contextualSpacing/>
              <w:jc w:val="both"/>
            </w:pPr>
          </w:p>
          <w:p w14:paraId="6914CEDC" w14:textId="77777777" w:rsidR="00B9322E" w:rsidRPr="00564C52" w:rsidRDefault="00B9322E" w:rsidP="00B9322E">
            <w:pPr>
              <w:pStyle w:val="Akapitzlist"/>
              <w:widowControl/>
              <w:autoSpaceDE/>
              <w:autoSpaceDN/>
              <w:adjustRightInd/>
              <w:ind w:left="1358"/>
              <w:contextualSpacing/>
              <w:jc w:val="both"/>
              <w:rPr>
                <w:sz w:val="14"/>
                <w:szCs w:val="14"/>
              </w:rPr>
            </w:pPr>
          </w:p>
          <w:p w14:paraId="50ADD5BE" w14:textId="5E6CCA42" w:rsidR="00B9322E" w:rsidRPr="004324AB" w:rsidRDefault="00B9322E" w:rsidP="00B9322E">
            <w:pPr>
              <w:pStyle w:val="Akapitzlist"/>
              <w:widowControl/>
              <w:numPr>
                <w:ilvl w:val="2"/>
                <w:numId w:val="39"/>
              </w:numPr>
              <w:autoSpaceDE/>
              <w:autoSpaceDN/>
              <w:adjustRightInd/>
              <w:ind w:left="732"/>
              <w:contextualSpacing/>
              <w:jc w:val="both"/>
              <w:rPr>
                <w:b/>
                <w:u w:val="single"/>
              </w:rPr>
            </w:pPr>
            <w:r w:rsidRPr="00AF43D8">
              <w:rPr>
                <w:b/>
                <w:u w:val="single"/>
              </w:rPr>
              <w:t xml:space="preserve">Kryterium jakościowe </w:t>
            </w:r>
            <w:r>
              <w:rPr>
                <w:b/>
                <w:u w:val="single"/>
              </w:rPr>
              <w:t xml:space="preserve">- Okres gwarancji i rękojmi za wady </w:t>
            </w:r>
            <w:r w:rsidRPr="002B1468">
              <w:rPr>
                <w:b/>
                <w:u w:val="single"/>
              </w:rPr>
              <w:t xml:space="preserve">– waga kryterium </w:t>
            </w:r>
            <w:r>
              <w:rPr>
                <w:b/>
                <w:u w:val="single"/>
              </w:rPr>
              <w:t>4</w:t>
            </w:r>
            <w:r w:rsidRPr="002B1468">
              <w:rPr>
                <w:b/>
                <w:u w:val="single"/>
              </w:rPr>
              <w:t>0%.</w:t>
            </w:r>
          </w:p>
          <w:p w14:paraId="37EDC0D3" w14:textId="77777777" w:rsidR="00B9322E" w:rsidRPr="00BE67F7" w:rsidRDefault="00B9322E" w:rsidP="00B9322E">
            <w:pPr>
              <w:widowControl/>
              <w:rPr>
                <w:rFonts w:eastAsiaTheme="minorHAnsi"/>
                <w:sz w:val="4"/>
                <w:szCs w:val="4"/>
                <w:lang w:eastAsia="en-US"/>
              </w:rPr>
            </w:pPr>
          </w:p>
          <w:p w14:paraId="370B4096" w14:textId="77777777" w:rsidR="00B9322E" w:rsidRPr="003644F4" w:rsidRDefault="00B9322E" w:rsidP="00B9322E">
            <w:pPr>
              <w:pStyle w:val="ZTIRPKTzmpkttiret"/>
              <w:spacing w:line="240" w:lineRule="auto"/>
              <w:ind w:left="0" w:firstLine="0"/>
              <w:rPr>
                <w:rFonts w:ascii="Arial" w:hAnsi="Arial"/>
                <w:sz w:val="20"/>
              </w:rPr>
            </w:pPr>
            <w:r w:rsidRPr="003644F4">
              <w:rPr>
                <w:rFonts w:ascii="Arial" w:hAnsi="Arial"/>
                <w:sz w:val="20"/>
              </w:rPr>
              <w:t>Opis sposobu obliczenia punktów:</w:t>
            </w:r>
          </w:p>
          <w:p w14:paraId="09939BF7" w14:textId="13C65CF3" w:rsidR="00B9322E" w:rsidRDefault="00B9322E" w:rsidP="00B9322E">
            <w:pPr>
              <w:pStyle w:val="ZTIRPKTzmpkttiret"/>
              <w:spacing w:line="240" w:lineRule="auto"/>
              <w:ind w:left="0" w:firstLine="0"/>
              <w:rPr>
                <w:rFonts w:ascii="Arial" w:hAnsi="Arial"/>
                <w:sz w:val="20"/>
              </w:rPr>
            </w:pPr>
            <w:r w:rsidRPr="003644F4">
              <w:rPr>
                <w:rFonts w:ascii="Arial" w:hAnsi="Arial"/>
                <w:sz w:val="20"/>
              </w:rPr>
              <w:t>Najkrótszy wymagany przez zamawiającego okres gwarancji i rękojmi za wady</w:t>
            </w:r>
            <w:r>
              <w:rPr>
                <w:rFonts w:ascii="Arial" w:hAnsi="Arial"/>
                <w:sz w:val="20"/>
              </w:rPr>
              <w:t xml:space="preserve"> </w:t>
            </w:r>
            <w:r w:rsidRPr="003644F4">
              <w:rPr>
                <w:rFonts w:ascii="Arial" w:hAnsi="Arial"/>
                <w:sz w:val="20"/>
              </w:rPr>
              <w:t xml:space="preserve">to </w:t>
            </w:r>
            <w:r>
              <w:rPr>
                <w:rFonts w:ascii="Arial" w:hAnsi="Arial"/>
                <w:sz w:val="20"/>
              </w:rPr>
              <w:t>3</w:t>
            </w:r>
            <w:r w:rsidRPr="003644F4">
              <w:rPr>
                <w:rFonts w:ascii="Arial" w:hAnsi="Arial"/>
                <w:sz w:val="20"/>
              </w:rPr>
              <w:t xml:space="preserve"> lat</w:t>
            </w:r>
            <w:r>
              <w:rPr>
                <w:rFonts w:ascii="Arial" w:hAnsi="Arial"/>
                <w:sz w:val="20"/>
              </w:rPr>
              <w:t>a</w:t>
            </w:r>
            <w:r w:rsidRPr="003644F4">
              <w:rPr>
                <w:rFonts w:ascii="Arial" w:hAnsi="Arial"/>
                <w:sz w:val="20"/>
              </w:rPr>
              <w:t>.</w:t>
            </w:r>
            <w:r>
              <w:rPr>
                <w:rFonts w:ascii="Arial" w:hAnsi="Arial"/>
                <w:sz w:val="20"/>
              </w:rPr>
              <w:t xml:space="preserve"> </w:t>
            </w:r>
            <w:r w:rsidRPr="003644F4">
              <w:rPr>
                <w:rFonts w:ascii="Arial" w:hAnsi="Arial"/>
                <w:sz w:val="20"/>
              </w:rPr>
              <w:t xml:space="preserve">Wykonawca może zaproponować okres gwarancji i rękojmi za wady tylko w pełnych </w:t>
            </w:r>
          </w:p>
          <w:p w14:paraId="7ED2FB6A" w14:textId="77777777" w:rsidR="00B9322E" w:rsidRDefault="00B9322E" w:rsidP="00B9322E">
            <w:pPr>
              <w:pStyle w:val="ZTIRPKTzmpkttiret"/>
              <w:spacing w:line="240" w:lineRule="auto"/>
              <w:ind w:left="0" w:firstLine="0"/>
              <w:rPr>
                <w:rFonts w:ascii="Arial" w:hAnsi="Arial"/>
                <w:sz w:val="20"/>
              </w:rPr>
            </w:pPr>
            <w:r w:rsidRPr="003644F4">
              <w:rPr>
                <w:rFonts w:ascii="Arial" w:hAnsi="Arial"/>
                <w:sz w:val="20"/>
              </w:rPr>
              <w:t>latach.</w:t>
            </w:r>
            <w:r>
              <w:rPr>
                <w:rFonts w:ascii="Arial" w:hAnsi="Arial"/>
                <w:sz w:val="20"/>
              </w:rPr>
              <w:t xml:space="preserve"> </w:t>
            </w:r>
            <w:r w:rsidRPr="005A272C">
              <w:rPr>
                <w:rFonts w:ascii="Arial" w:hAnsi="Arial"/>
                <w:sz w:val="20"/>
              </w:rPr>
              <w:t>W tym kryterium zostanie przyznana następująca liczba punktów:</w:t>
            </w:r>
          </w:p>
          <w:p w14:paraId="111C011F" w14:textId="77777777" w:rsidR="00B9322E" w:rsidRPr="007D64C6" w:rsidRDefault="00B9322E" w:rsidP="00B9322E">
            <w:pPr>
              <w:pStyle w:val="ZTIRPKTzmpkttiret"/>
              <w:spacing w:line="240" w:lineRule="auto"/>
              <w:ind w:left="0" w:firstLine="0"/>
              <w:rPr>
                <w:rFonts w:ascii="Arial" w:hAnsi="Arial"/>
                <w:sz w:val="12"/>
                <w:szCs w:val="12"/>
              </w:rPr>
            </w:pPr>
          </w:p>
          <w:tbl>
            <w:tblPr>
              <w:tblpPr w:leftFromText="141" w:rightFromText="141" w:vertAnchor="text" w:horzAnchor="margin" w:tblpXSpec="center" w:tblpY="4"/>
              <w:tblOverlap w:val="never"/>
              <w:tblW w:w="7083" w:type="dxa"/>
              <w:tblLayout w:type="fixed"/>
              <w:tblCellMar>
                <w:left w:w="70" w:type="dxa"/>
                <w:right w:w="70" w:type="dxa"/>
              </w:tblCellMar>
              <w:tblLook w:val="04A0" w:firstRow="1" w:lastRow="0" w:firstColumn="1" w:lastColumn="0" w:noHBand="0" w:noVBand="1"/>
            </w:tblPr>
            <w:tblGrid>
              <w:gridCol w:w="704"/>
              <w:gridCol w:w="5387"/>
              <w:gridCol w:w="992"/>
            </w:tblGrid>
            <w:tr w:rsidR="00B9322E" w:rsidRPr="003644F4" w14:paraId="5D7095E3"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0D68ABC" w14:textId="77777777" w:rsidR="00B9322E" w:rsidRPr="003644F4" w:rsidRDefault="00B9322E" w:rsidP="00B9322E">
                  <w:pPr>
                    <w:jc w:val="center"/>
                    <w:rPr>
                      <w:b/>
                      <w:bCs/>
                    </w:rPr>
                  </w:pPr>
                  <w:r w:rsidRPr="003644F4">
                    <w:rPr>
                      <w:b/>
                      <w:bCs/>
                    </w:rPr>
                    <w:t>Lp.</w:t>
                  </w:r>
                </w:p>
              </w:tc>
              <w:tc>
                <w:tcPr>
                  <w:tcW w:w="5387" w:type="dxa"/>
                  <w:tcBorders>
                    <w:top w:val="single" w:sz="4" w:space="0" w:color="auto"/>
                    <w:left w:val="nil"/>
                    <w:bottom w:val="single" w:sz="4" w:space="0" w:color="auto"/>
                    <w:right w:val="single" w:sz="4" w:space="0" w:color="auto"/>
                  </w:tcBorders>
                  <w:noWrap/>
                  <w:vAlign w:val="bottom"/>
                  <w:hideMark/>
                </w:tcPr>
                <w:p w14:paraId="01952BE3" w14:textId="77777777" w:rsidR="00B9322E" w:rsidRPr="003644F4" w:rsidRDefault="00B9322E" w:rsidP="00B9322E">
                  <w:pPr>
                    <w:jc w:val="center"/>
                    <w:rPr>
                      <w:b/>
                      <w:bCs/>
                    </w:rPr>
                  </w:pPr>
                  <w:r w:rsidRPr="003644F4">
                    <w:rPr>
                      <w:b/>
                      <w:bCs/>
                    </w:rPr>
                    <w:t>Nazwa kryterium</w:t>
                  </w:r>
                </w:p>
              </w:tc>
              <w:tc>
                <w:tcPr>
                  <w:tcW w:w="992" w:type="dxa"/>
                  <w:tcBorders>
                    <w:top w:val="single" w:sz="4" w:space="0" w:color="auto"/>
                    <w:left w:val="nil"/>
                    <w:bottom w:val="single" w:sz="4" w:space="0" w:color="auto"/>
                    <w:right w:val="single" w:sz="4" w:space="0" w:color="auto"/>
                  </w:tcBorders>
                  <w:noWrap/>
                  <w:vAlign w:val="center"/>
                  <w:hideMark/>
                </w:tcPr>
                <w:p w14:paraId="52C151EB" w14:textId="77777777" w:rsidR="00B9322E" w:rsidRPr="003644F4" w:rsidRDefault="00B9322E" w:rsidP="00B9322E">
                  <w:pPr>
                    <w:jc w:val="center"/>
                    <w:rPr>
                      <w:b/>
                      <w:bCs/>
                    </w:rPr>
                  </w:pPr>
                  <w:r w:rsidRPr="003644F4">
                    <w:rPr>
                      <w:b/>
                      <w:bCs/>
                    </w:rPr>
                    <w:t>Punkty</w:t>
                  </w:r>
                </w:p>
              </w:tc>
            </w:tr>
            <w:tr w:rsidR="00B9322E" w:rsidRPr="003644F4" w14:paraId="44D8DA69"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33311E3" w14:textId="77777777" w:rsidR="00B9322E" w:rsidRPr="003644F4" w:rsidRDefault="00B9322E" w:rsidP="00B9322E">
                  <w:pPr>
                    <w:jc w:val="center"/>
                    <w:rPr>
                      <w:bCs/>
                    </w:rPr>
                  </w:pPr>
                  <w:r w:rsidRPr="003644F4">
                    <w:rPr>
                      <w:bCs/>
                    </w:rPr>
                    <w:t>1.</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194204F0" w14:textId="2F032234" w:rsidR="00B9322E" w:rsidRPr="003644F4" w:rsidRDefault="00B9322E" w:rsidP="00B9322E">
                  <w:pPr>
                    <w:spacing w:after="60"/>
                    <w:jc w:val="center"/>
                    <w:rPr>
                      <w:bCs/>
                    </w:rPr>
                  </w:pPr>
                  <w:r>
                    <w:rPr>
                      <w:bCs/>
                    </w:rPr>
                    <w:t xml:space="preserve">Wariant I – </w:t>
                  </w:r>
                  <w:r w:rsidRPr="003644F4">
                    <w:rPr>
                      <w:bCs/>
                    </w:rPr>
                    <w:t>Okres gwarancji i rękojmi</w:t>
                  </w:r>
                  <w:r>
                    <w:rPr>
                      <w:bCs/>
                    </w:rPr>
                    <w:t xml:space="preserve"> za wady</w:t>
                  </w:r>
                  <w:r w:rsidRPr="003644F4">
                    <w:rPr>
                      <w:bCs/>
                    </w:rPr>
                    <w:t xml:space="preserve"> </w:t>
                  </w:r>
                  <w:r>
                    <w:rPr>
                      <w:bCs/>
                    </w:rPr>
                    <w:t>3</w:t>
                  </w:r>
                  <w:r w:rsidRPr="003644F4">
                    <w:rPr>
                      <w:bCs/>
                    </w:rPr>
                    <w:t xml:space="preserve"> lat</w:t>
                  </w:r>
                  <w:r>
                    <w:rPr>
                      <w:bCs/>
                    </w:rPr>
                    <w:t>a</w:t>
                  </w:r>
                  <w:r w:rsidRPr="003644F4">
                    <w:rPr>
                      <w:bCs/>
                    </w:rPr>
                    <w:t xml:space="preserve">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4C42C01" w14:textId="77777777" w:rsidR="00B9322E" w:rsidRPr="003644F4" w:rsidRDefault="00B9322E" w:rsidP="00B9322E">
                  <w:pPr>
                    <w:jc w:val="center"/>
                    <w:rPr>
                      <w:bCs/>
                    </w:rPr>
                  </w:pPr>
                  <w:r w:rsidRPr="003644F4">
                    <w:rPr>
                      <w:bCs/>
                    </w:rPr>
                    <w:t>0 pkt.</w:t>
                  </w:r>
                </w:p>
              </w:tc>
            </w:tr>
            <w:tr w:rsidR="00B9322E" w:rsidRPr="003644F4" w14:paraId="7617B5CE" w14:textId="77777777" w:rsidTr="007D017C">
              <w:trPr>
                <w:trHeight w:val="300"/>
              </w:trPr>
              <w:tc>
                <w:tcPr>
                  <w:tcW w:w="704" w:type="dxa"/>
                  <w:tcBorders>
                    <w:top w:val="single" w:sz="4" w:space="0" w:color="auto"/>
                    <w:left w:val="single" w:sz="4" w:space="0" w:color="auto"/>
                    <w:bottom w:val="single" w:sz="4" w:space="0" w:color="auto"/>
                    <w:right w:val="single" w:sz="4" w:space="0" w:color="auto"/>
                  </w:tcBorders>
                  <w:noWrap/>
                  <w:vAlign w:val="center"/>
                  <w:hideMark/>
                </w:tcPr>
                <w:p w14:paraId="4E3FC2E3" w14:textId="77777777" w:rsidR="00B9322E" w:rsidRPr="003644F4" w:rsidRDefault="00B9322E" w:rsidP="00B9322E">
                  <w:pPr>
                    <w:jc w:val="center"/>
                    <w:rPr>
                      <w:bCs/>
                    </w:rPr>
                  </w:pPr>
                  <w:r w:rsidRPr="003644F4">
                    <w:rPr>
                      <w:bCs/>
                    </w:rPr>
                    <w:t>2.</w:t>
                  </w:r>
                </w:p>
              </w:tc>
              <w:tc>
                <w:tcPr>
                  <w:tcW w:w="5387" w:type="dxa"/>
                  <w:tcBorders>
                    <w:top w:val="single" w:sz="4" w:space="0" w:color="auto"/>
                    <w:left w:val="nil"/>
                    <w:bottom w:val="single" w:sz="4" w:space="0" w:color="auto"/>
                    <w:right w:val="single" w:sz="4" w:space="0" w:color="auto"/>
                  </w:tcBorders>
                  <w:shd w:val="clear" w:color="auto" w:fill="auto"/>
                  <w:noWrap/>
                  <w:vAlign w:val="bottom"/>
                </w:tcPr>
                <w:p w14:paraId="7F246902" w14:textId="061B6426" w:rsidR="00B9322E" w:rsidRPr="003644F4" w:rsidRDefault="00B9322E" w:rsidP="00B9322E">
                  <w:pPr>
                    <w:spacing w:after="60"/>
                    <w:jc w:val="center"/>
                    <w:rPr>
                      <w:bCs/>
                    </w:rPr>
                  </w:pPr>
                  <w:r>
                    <w:rPr>
                      <w:bCs/>
                    </w:rPr>
                    <w:t xml:space="preserve">Wariant II – </w:t>
                  </w:r>
                  <w:r w:rsidRPr="003644F4">
                    <w:rPr>
                      <w:bCs/>
                    </w:rPr>
                    <w:t>Okres gwarancji i rękojmi</w:t>
                  </w:r>
                  <w:r>
                    <w:rPr>
                      <w:bCs/>
                    </w:rPr>
                    <w:t xml:space="preserve"> za wady</w:t>
                  </w:r>
                  <w:r w:rsidRPr="003644F4">
                    <w:rPr>
                      <w:bCs/>
                    </w:rPr>
                    <w:t xml:space="preserve"> </w:t>
                  </w:r>
                  <w:r>
                    <w:rPr>
                      <w:bCs/>
                    </w:rPr>
                    <w:t>4</w:t>
                  </w:r>
                  <w:r w:rsidRPr="003644F4">
                    <w:rPr>
                      <w:bCs/>
                    </w:rPr>
                    <w:t xml:space="preserve"> </w:t>
                  </w:r>
                  <w:r>
                    <w:rPr>
                      <w:bCs/>
                    </w:rPr>
                    <w:t>lata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2DD7D2B" w14:textId="057C2BC8" w:rsidR="00B9322E" w:rsidRPr="003644F4" w:rsidRDefault="00B9322E" w:rsidP="00B9322E">
                  <w:pPr>
                    <w:jc w:val="center"/>
                    <w:rPr>
                      <w:bCs/>
                    </w:rPr>
                  </w:pPr>
                  <w:r>
                    <w:rPr>
                      <w:bCs/>
                    </w:rPr>
                    <w:t>40</w:t>
                  </w:r>
                  <w:r w:rsidRPr="003644F4">
                    <w:rPr>
                      <w:bCs/>
                    </w:rPr>
                    <w:t xml:space="preserve"> pkt.</w:t>
                  </w:r>
                </w:p>
              </w:tc>
            </w:tr>
          </w:tbl>
          <w:p w14:paraId="5CCA3625" w14:textId="77777777" w:rsidR="00B9322E" w:rsidRPr="005A272C" w:rsidRDefault="00B9322E" w:rsidP="00B9322E">
            <w:pPr>
              <w:pStyle w:val="ZTIRPKTzmpkttiret"/>
              <w:spacing w:line="240" w:lineRule="auto"/>
              <w:ind w:left="0" w:firstLine="0"/>
              <w:rPr>
                <w:rFonts w:ascii="Arial" w:hAnsi="Arial"/>
                <w:sz w:val="20"/>
              </w:rPr>
            </w:pPr>
          </w:p>
          <w:p w14:paraId="4A92B1A7" w14:textId="1B0FD21F" w:rsidR="00B9322E" w:rsidRPr="00E94CD6" w:rsidRDefault="00B9322E" w:rsidP="00B9322E">
            <w:pPr>
              <w:tabs>
                <w:tab w:val="left" w:pos="918"/>
              </w:tabs>
              <w:rPr>
                <w:sz w:val="14"/>
                <w:szCs w:val="14"/>
              </w:rPr>
            </w:pPr>
          </w:p>
          <w:p w14:paraId="645941AC" w14:textId="77777777" w:rsidR="00B9322E" w:rsidRDefault="00B9322E" w:rsidP="00B9322E">
            <w:pPr>
              <w:tabs>
                <w:tab w:val="left" w:pos="408"/>
              </w:tabs>
              <w:rPr>
                <w:b/>
                <w:sz w:val="22"/>
                <w:szCs w:val="22"/>
              </w:rPr>
            </w:pPr>
          </w:p>
          <w:p w14:paraId="52254629" w14:textId="77777777" w:rsidR="00B9322E" w:rsidRDefault="00B9322E" w:rsidP="00B9322E">
            <w:pPr>
              <w:ind w:left="-118" w:right="-113"/>
              <w:jc w:val="both"/>
            </w:pPr>
          </w:p>
          <w:p w14:paraId="26A5388E" w14:textId="77777777" w:rsidR="00B9322E" w:rsidRDefault="00B9322E" w:rsidP="00B9322E">
            <w:pPr>
              <w:ind w:left="-118" w:right="-113"/>
              <w:jc w:val="both"/>
            </w:pPr>
          </w:p>
          <w:p w14:paraId="047FB8BB" w14:textId="0C4DFB0F" w:rsidR="00B9322E" w:rsidRPr="004F70F3" w:rsidRDefault="00B9322E" w:rsidP="00B9322E">
            <w:pPr>
              <w:ind w:left="-118" w:right="-113"/>
              <w:jc w:val="both"/>
            </w:pPr>
            <w:r w:rsidRPr="004F70F3">
              <w:t xml:space="preserve">W </w:t>
            </w:r>
            <w:r>
              <w:t>Ofercie</w:t>
            </w:r>
            <w:r w:rsidRPr="004F70F3">
              <w:t xml:space="preserve"> należy wybrać tylko jeden z wariantów. W przypadku nie wybrania żadnego wariantu Zamawiający przyjmuje, że Wykonawca oferuje </w:t>
            </w:r>
            <w:r w:rsidRPr="004F70F3">
              <w:rPr>
                <w:bCs/>
              </w:rPr>
              <w:t xml:space="preserve">okres gwarancji i rękojmi </w:t>
            </w:r>
            <w:r w:rsidRPr="004F70F3">
              <w:t>zgodnie z wariantem I.</w:t>
            </w:r>
          </w:p>
          <w:p w14:paraId="32DE9515" w14:textId="77777777" w:rsidR="00B9322E" w:rsidRPr="00786136" w:rsidRDefault="00B9322E" w:rsidP="00B9322E">
            <w:pPr>
              <w:jc w:val="both"/>
              <w:rPr>
                <w:sz w:val="6"/>
                <w:szCs w:val="6"/>
              </w:rPr>
            </w:pPr>
          </w:p>
          <w:p w14:paraId="200A147B" w14:textId="77777777" w:rsidR="00B9322E" w:rsidRDefault="00B9322E" w:rsidP="00B9322E">
            <w:pPr>
              <w:jc w:val="both"/>
            </w:pPr>
            <w:r>
              <w:t>Wykonawca uzyska w postępowaniu ilość punktów stanowiącą sumę punktów uzyskanych w poszczególnych kryteriach oceny ofert.</w:t>
            </w:r>
          </w:p>
          <w:p w14:paraId="3DC081F5" w14:textId="77777777" w:rsidR="00B9322E" w:rsidRDefault="00B9322E" w:rsidP="00B9322E">
            <w:pPr>
              <w:jc w:val="both"/>
            </w:pPr>
            <w:r>
              <w:t>Zamawiający przyzna zamówienie wykonawcy, który spełniając warunki udziału w postępowaniu otrzyma największą liczbę punktów.</w:t>
            </w:r>
          </w:p>
          <w:p w14:paraId="1D467497" w14:textId="77777777" w:rsidR="00B9322E" w:rsidRPr="008936C3" w:rsidRDefault="00B9322E" w:rsidP="00B9322E">
            <w:pPr>
              <w:tabs>
                <w:tab w:val="left" w:pos="408"/>
              </w:tabs>
              <w:rPr>
                <w:sz w:val="14"/>
                <w:szCs w:val="14"/>
              </w:rPr>
            </w:pPr>
          </w:p>
          <w:p w14:paraId="0F700259" w14:textId="32F37D81" w:rsidR="00B9322E" w:rsidRPr="007D017C" w:rsidRDefault="00B9322E" w:rsidP="00B9322E">
            <w:pPr>
              <w:tabs>
                <w:tab w:val="left" w:pos="408"/>
              </w:tabs>
              <w:rPr>
                <w:b/>
              </w:rPr>
            </w:pPr>
            <w:r>
              <w:t>Jeżeli nie będzie można dokonać wyboru oferty najkorzystniejszej ze względu na to, że dwie lub więcej ofert przedstawiać będzie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tc>
      </w:tr>
      <w:tr w:rsidR="00B9322E" w:rsidRPr="00A639C4" w14:paraId="4AD9CE2B" w14:textId="77777777" w:rsidTr="00E47CA1">
        <w:tc>
          <w:tcPr>
            <w:tcW w:w="1560" w:type="dxa"/>
            <w:shd w:val="clear" w:color="auto" w:fill="BFBFBF" w:themeFill="background1" w:themeFillShade="BF"/>
          </w:tcPr>
          <w:p w14:paraId="22792A4F" w14:textId="77777777" w:rsidR="00B9322E" w:rsidRPr="00A639C4" w:rsidRDefault="00B9322E" w:rsidP="00B9322E">
            <w:pPr>
              <w:tabs>
                <w:tab w:val="left" w:pos="408"/>
              </w:tabs>
              <w:spacing w:before="100" w:after="100"/>
              <w:jc w:val="center"/>
              <w:rPr>
                <w:b/>
              </w:rPr>
            </w:pPr>
            <w:r w:rsidRPr="00A639C4">
              <w:rPr>
                <w:b/>
              </w:rPr>
              <w:lastRenderedPageBreak/>
              <w:t>Pkt 22.1 IDW</w:t>
            </w:r>
          </w:p>
        </w:tc>
        <w:tc>
          <w:tcPr>
            <w:tcW w:w="8641" w:type="dxa"/>
            <w:shd w:val="clear" w:color="auto" w:fill="BFBFBF" w:themeFill="background1" w:themeFillShade="BF"/>
          </w:tcPr>
          <w:p w14:paraId="752FEE67" w14:textId="601D41E4" w:rsidR="00B9322E" w:rsidRPr="00A639C4" w:rsidRDefault="00B9322E" w:rsidP="00B9322E">
            <w:pPr>
              <w:spacing w:before="100" w:after="100"/>
              <w:rPr>
                <w:b/>
                <w:color w:val="000000"/>
              </w:rPr>
            </w:pPr>
            <w:r w:rsidRPr="00A639C4">
              <w:rPr>
                <w:b/>
                <w:color w:val="000000"/>
              </w:rPr>
              <w:t>Zabezpieczenie należytego wykonania umowy</w:t>
            </w:r>
          </w:p>
        </w:tc>
      </w:tr>
      <w:tr w:rsidR="00B9322E" w:rsidRPr="00A639C4" w14:paraId="3E502C15" w14:textId="77777777" w:rsidTr="00E47CA1">
        <w:tc>
          <w:tcPr>
            <w:tcW w:w="1560" w:type="dxa"/>
            <w:tcBorders>
              <w:bottom w:val="single" w:sz="4" w:space="0" w:color="auto"/>
            </w:tcBorders>
            <w:shd w:val="clear" w:color="auto" w:fill="auto"/>
          </w:tcPr>
          <w:p w14:paraId="20C71F11" w14:textId="77777777" w:rsidR="00B9322E" w:rsidRPr="00A639C4" w:rsidRDefault="00B9322E" w:rsidP="00B9322E">
            <w:pPr>
              <w:tabs>
                <w:tab w:val="left" w:pos="408"/>
              </w:tabs>
              <w:jc w:val="center"/>
              <w:rPr>
                <w:b/>
              </w:rPr>
            </w:pPr>
          </w:p>
        </w:tc>
        <w:tc>
          <w:tcPr>
            <w:tcW w:w="8641" w:type="dxa"/>
            <w:tcBorders>
              <w:bottom w:val="single" w:sz="4" w:space="0" w:color="auto"/>
            </w:tcBorders>
            <w:shd w:val="clear" w:color="auto" w:fill="auto"/>
          </w:tcPr>
          <w:p w14:paraId="7101D467" w14:textId="77777777" w:rsidR="00B9322E" w:rsidRPr="001A64EA" w:rsidRDefault="00B9322E" w:rsidP="00B9322E">
            <w:pPr>
              <w:jc w:val="both"/>
              <w:rPr>
                <w:sz w:val="12"/>
                <w:szCs w:val="12"/>
              </w:rPr>
            </w:pPr>
          </w:p>
          <w:p w14:paraId="6E3E5E57" w14:textId="77777777" w:rsidR="00B9322E" w:rsidRPr="00A639C4" w:rsidRDefault="00B9322E" w:rsidP="00B9322E">
            <w:pPr>
              <w:jc w:val="both"/>
            </w:pPr>
            <w:r w:rsidRPr="00A639C4">
              <w:t xml:space="preserve">Zamawiający </w:t>
            </w:r>
            <w:r w:rsidRPr="00A639C4">
              <w:rPr>
                <w:b/>
                <w:u w:val="single"/>
              </w:rPr>
              <w:t>przewiduje obowiązek wniesienia zabezpieczenia</w:t>
            </w:r>
            <w:r w:rsidRPr="00A639C4">
              <w:t xml:space="preserve"> należytego wykonania umowy:</w:t>
            </w:r>
          </w:p>
          <w:p w14:paraId="69B6113C" w14:textId="77777777" w:rsidR="00B9322E" w:rsidRPr="00770260" w:rsidRDefault="00B9322E" w:rsidP="00B9322E">
            <w:pPr>
              <w:jc w:val="both"/>
              <w:rPr>
                <w:b/>
                <w:bCs/>
                <w:sz w:val="12"/>
                <w:szCs w:val="12"/>
              </w:rPr>
            </w:pPr>
          </w:p>
          <w:p w14:paraId="08C01EB7" w14:textId="3E695754" w:rsidR="00B9322E" w:rsidRPr="00A639C4" w:rsidRDefault="00B9322E" w:rsidP="00B9322E">
            <w:pPr>
              <w:jc w:val="both"/>
            </w:pPr>
            <w:r w:rsidRPr="00A639C4">
              <w:t xml:space="preserve">Wysokość zabezpieczenia zostaje ustalona </w:t>
            </w:r>
            <w:r w:rsidRPr="00B371BD">
              <w:t xml:space="preserve">w wysokości </w:t>
            </w:r>
            <w:r>
              <w:rPr>
                <w:b/>
                <w:bCs/>
              </w:rPr>
              <w:t>5</w:t>
            </w:r>
            <w:r w:rsidRPr="00B371BD">
              <w:rPr>
                <w:b/>
                <w:bCs/>
              </w:rPr>
              <w:t xml:space="preserve"> %</w:t>
            </w:r>
            <w:r w:rsidRPr="00B371BD">
              <w:t xml:space="preserve"> ceny całkowitej</w:t>
            </w:r>
            <w:r w:rsidRPr="00A639C4">
              <w:t xml:space="preserve"> podanej w ofercie.</w:t>
            </w:r>
          </w:p>
          <w:p w14:paraId="4D6705E1" w14:textId="77777777" w:rsidR="00B9322E" w:rsidRPr="00770260" w:rsidRDefault="00B9322E" w:rsidP="00B9322E">
            <w:pPr>
              <w:jc w:val="both"/>
              <w:rPr>
                <w:sz w:val="12"/>
                <w:szCs w:val="12"/>
              </w:rPr>
            </w:pPr>
          </w:p>
          <w:p w14:paraId="045979CF" w14:textId="77777777" w:rsidR="00B9322E" w:rsidRDefault="00B9322E" w:rsidP="00B9322E">
            <w:pPr>
              <w:jc w:val="both"/>
              <w:rPr>
                <w:bCs/>
              </w:rPr>
            </w:pPr>
            <w:r w:rsidRPr="00A639C4">
              <w:rPr>
                <w:bCs/>
              </w:rPr>
              <w:t>Termin wniesienia zabezpieczenia – przed podpisaniem umowy.</w:t>
            </w:r>
          </w:p>
          <w:p w14:paraId="77A2B158" w14:textId="77777777" w:rsidR="00B9322E" w:rsidRPr="00770260" w:rsidRDefault="00B9322E" w:rsidP="00B9322E">
            <w:pPr>
              <w:jc w:val="both"/>
              <w:rPr>
                <w:bCs/>
                <w:sz w:val="14"/>
                <w:szCs w:val="14"/>
              </w:rPr>
            </w:pPr>
          </w:p>
          <w:p w14:paraId="377A712F" w14:textId="77777777" w:rsidR="00B9322E" w:rsidRPr="0044214E" w:rsidRDefault="00B9322E" w:rsidP="00B9322E">
            <w:pPr>
              <w:spacing w:before="26"/>
              <w:jc w:val="both"/>
              <w:rPr>
                <w:noProof/>
              </w:rPr>
            </w:pPr>
            <w:r w:rsidRPr="0044214E">
              <w:rPr>
                <w:noProof/>
              </w:rPr>
              <w:t xml:space="preserve">W przpadku wniesienia zabezpieczenia należytego wykonania umowy w formie poręczeń lub gwarancji o których mowa w art 450 Pzp  </w:t>
            </w:r>
            <w:r w:rsidRPr="00E92D64">
              <w:rPr>
                <w:noProof/>
                <w:u w:val="single"/>
              </w:rPr>
              <w:t>Zamawiający oczekuje aby treść przedmiotowych poręczeń lub gwarancji była zgodna ze wzorem dołączonym do SWZ.</w:t>
            </w:r>
          </w:p>
          <w:p w14:paraId="6FEBA61A" w14:textId="477EB639" w:rsidR="00B9322E" w:rsidRPr="00011E8E" w:rsidRDefault="00B9322E" w:rsidP="00B9322E">
            <w:pPr>
              <w:jc w:val="both"/>
              <w:rPr>
                <w:b/>
                <w:sz w:val="16"/>
                <w:szCs w:val="16"/>
              </w:rPr>
            </w:pPr>
          </w:p>
        </w:tc>
      </w:tr>
      <w:tr w:rsidR="00B9322E" w:rsidRPr="00A639C4" w14:paraId="0579EB5D" w14:textId="77777777" w:rsidTr="00E47CA1">
        <w:tc>
          <w:tcPr>
            <w:tcW w:w="1560" w:type="dxa"/>
            <w:shd w:val="clear" w:color="auto" w:fill="BFBFBF" w:themeFill="background1" w:themeFillShade="BF"/>
          </w:tcPr>
          <w:p w14:paraId="24B7E631" w14:textId="77777777" w:rsidR="00B9322E" w:rsidRPr="00A639C4" w:rsidRDefault="00B9322E" w:rsidP="00B9322E">
            <w:pPr>
              <w:tabs>
                <w:tab w:val="left" w:pos="408"/>
              </w:tabs>
              <w:spacing w:before="80" w:after="40"/>
              <w:jc w:val="center"/>
              <w:rPr>
                <w:b/>
              </w:rPr>
            </w:pPr>
            <w:r w:rsidRPr="00A639C4">
              <w:rPr>
                <w:b/>
              </w:rPr>
              <w:t>Pkt 23.3 IDW</w:t>
            </w:r>
          </w:p>
        </w:tc>
        <w:tc>
          <w:tcPr>
            <w:tcW w:w="8641" w:type="dxa"/>
            <w:shd w:val="clear" w:color="auto" w:fill="BFBFBF" w:themeFill="background1" w:themeFillShade="BF"/>
          </w:tcPr>
          <w:p w14:paraId="1F5B1D26" w14:textId="27E8E538" w:rsidR="00B9322E" w:rsidRPr="00A639C4" w:rsidRDefault="00B9322E" w:rsidP="00B9322E">
            <w:pPr>
              <w:spacing w:before="100" w:after="100"/>
              <w:rPr>
                <w:b/>
                <w:color w:val="000000"/>
              </w:rPr>
            </w:pPr>
            <w:r w:rsidRPr="00A639C4">
              <w:rPr>
                <w:b/>
                <w:color w:val="000000"/>
              </w:rPr>
              <w:t>Informacje o treści zawieranej umowy oraz możliwości jej zmiany</w:t>
            </w:r>
          </w:p>
        </w:tc>
      </w:tr>
      <w:tr w:rsidR="00B9322E" w:rsidRPr="00A639C4" w14:paraId="523E0016" w14:textId="77777777" w:rsidTr="00E47CA1">
        <w:tc>
          <w:tcPr>
            <w:tcW w:w="1560" w:type="dxa"/>
            <w:shd w:val="clear" w:color="auto" w:fill="auto"/>
          </w:tcPr>
          <w:p w14:paraId="3146F6DF" w14:textId="77777777" w:rsidR="00B9322E" w:rsidRPr="00A639C4" w:rsidRDefault="00B9322E" w:rsidP="00B9322E">
            <w:pPr>
              <w:tabs>
                <w:tab w:val="left" w:pos="408"/>
              </w:tabs>
              <w:rPr>
                <w:b/>
              </w:rPr>
            </w:pPr>
          </w:p>
        </w:tc>
        <w:tc>
          <w:tcPr>
            <w:tcW w:w="8641" w:type="dxa"/>
            <w:shd w:val="clear" w:color="auto" w:fill="auto"/>
          </w:tcPr>
          <w:p w14:paraId="5DEC3DD3" w14:textId="522589C3" w:rsidR="00B9322E" w:rsidRPr="00A639C4" w:rsidRDefault="00B9322E" w:rsidP="00B9322E">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B9322E" w:rsidRPr="00423028" w:rsidRDefault="00B9322E" w:rsidP="00B9322E">
            <w:pPr>
              <w:tabs>
                <w:tab w:val="left" w:pos="408"/>
              </w:tabs>
              <w:rPr>
                <w:b/>
                <w:sz w:val="14"/>
                <w:szCs w:val="14"/>
              </w:rPr>
            </w:pPr>
          </w:p>
        </w:tc>
      </w:tr>
      <w:tr w:rsidR="00B9322E" w:rsidRPr="00A639C4" w14:paraId="51138BCA" w14:textId="77777777" w:rsidTr="00E47CA1">
        <w:tc>
          <w:tcPr>
            <w:tcW w:w="1560" w:type="dxa"/>
            <w:shd w:val="clear" w:color="auto" w:fill="BFBFBF" w:themeFill="background1" w:themeFillShade="BF"/>
          </w:tcPr>
          <w:p w14:paraId="6E98FFAE" w14:textId="32CCD497" w:rsidR="00B9322E" w:rsidRPr="00A639C4" w:rsidRDefault="00B9322E" w:rsidP="00B9322E">
            <w:pPr>
              <w:tabs>
                <w:tab w:val="left" w:pos="408"/>
              </w:tabs>
              <w:jc w:val="center"/>
              <w:rPr>
                <w:b/>
              </w:rPr>
            </w:pPr>
            <w:r w:rsidRPr="00A639C4">
              <w:rPr>
                <w:b/>
              </w:rPr>
              <w:t>Pkt 1.8 IDW</w:t>
            </w:r>
          </w:p>
        </w:tc>
        <w:tc>
          <w:tcPr>
            <w:tcW w:w="8641" w:type="dxa"/>
            <w:shd w:val="clear" w:color="auto" w:fill="BFBFBF" w:themeFill="background1" w:themeFillShade="BF"/>
          </w:tcPr>
          <w:p w14:paraId="7E95BA28" w14:textId="77047639" w:rsidR="00B9322E" w:rsidRPr="00A639C4" w:rsidRDefault="00B9322E" w:rsidP="00B9322E">
            <w:pPr>
              <w:tabs>
                <w:tab w:val="left" w:pos="408"/>
              </w:tabs>
            </w:pPr>
            <w:r w:rsidRPr="00A639C4">
              <w:rPr>
                <w:b/>
              </w:rPr>
              <w:t>Wskazanie osób uprawnionych do komunikowania się z wykonawcami;</w:t>
            </w:r>
          </w:p>
        </w:tc>
      </w:tr>
      <w:tr w:rsidR="00B9322E" w:rsidRPr="00A639C4" w14:paraId="42CE9A98" w14:textId="77777777" w:rsidTr="00E47CA1">
        <w:tc>
          <w:tcPr>
            <w:tcW w:w="1560" w:type="dxa"/>
            <w:shd w:val="clear" w:color="auto" w:fill="auto"/>
          </w:tcPr>
          <w:p w14:paraId="642FABC7" w14:textId="77777777" w:rsidR="00B9322E" w:rsidRPr="00A639C4" w:rsidRDefault="00B9322E" w:rsidP="00B9322E">
            <w:pPr>
              <w:tabs>
                <w:tab w:val="left" w:pos="408"/>
              </w:tabs>
              <w:rPr>
                <w:b/>
              </w:rPr>
            </w:pPr>
          </w:p>
        </w:tc>
        <w:tc>
          <w:tcPr>
            <w:tcW w:w="8641" w:type="dxa"/>
            <w:shd w:val="clear" w:color="auto" w:fill="auto"/>
          </w:tcPr>
          <w:p w14:paraId="013872F4" w14:textId="77777777" w:rsidR="00B9322E" w:rsidRPr="00A639C4" w:rsidRDefault="00B9322E" w:rsidP="00B9322E">
            <w:pPr>
              <w:jc w:val="both"/>
            </w:pPr>
            <w:r w:rsidRPr="00A639C4">
              <w:t>Do komunikowania się z wykonawcami uprawnione są następujące osoby:</w:t>
            </w:r>
          </w:p>
          <w:p w14:paraId="6D9EB30F" w14:textId="77777777" w:rsidR="00B9322E" w:rsidRPr="00E853F2" w:rsidRDefault="00B9322E" w:rsidP="00B9322E">
            <w:pPr>
              <w:jc w:val="both"/>
              <w:rPr>
                <w:sz w:val="14"/>
                <w:szCs w:val="14"/>
              </w:rPr>
            </w:pPr>
          </w:p>
          <w:p w14:paraId="7C483E08" w14:textId="77777777" w:rsidR="00B9322E" w:rsidRPr="00A639C4" w:rsidRDefault="00B9322E" w:rsidP="00B9322E">
            <w:pPr>
              <w:jc w:val="both"/>
              <w:rPr>
                <w:b/>
              </w:rPr>
            </w:pPr>
            <w:r w:rsidRPr="00A639C4">
              <w:rPr>
                <w:b/>
              </w:rPr>
              <w:t>Organizacja postępowania:</w:t>
            </w:r>
          </w:p>
          <w:p w14:paraId="7A80C0BF" w14:textId="77777777" w:rsidR="00B9322E" w:rsidRPr="00A639C4" w:rsidRDefault="00B9322E" w:rsidP="00B9322E">
            <w:pPr>
              <w:pStyle w:val="Akapitzlist"/>
              <w:numPr>
                <w:ilvl w:val="0"/>
                <w:numId w:val="27"/>
              </w:numPr>
              <w:jc w:val="both"/>
            </w:pPr>
            <w:r w:rsidRPr="00A639C4">
              <w:t>Mariusz Górak – Naczelnik Wydziału Zamówień Publicznych</w:t>
            </w:r>
          </w:p>
          <w:p w14:paraId="386F6BBA" w14:textId="3D97A94C" w:rsidR="00B9322E" w:rsidRPr="00A639C4" w:rsidRDefault="00B9322E" w:rsidP="00B9322E">
            <w:pPr>
              <w:pStyle w:val="Akapitzlist"/>
              <w:numPr>
                <w:ilvl w:val="0"/>
                <w:numId w:val="27"/>
              </w:numPr>
              <w:jc w:val="both"/>
            </w:pPr>
            <w:r>
              <w:t xml:space="preserve">Magdalena Stanowska – </w:t>
            </w:r>
            <w:r w:rsidRPr="00A639C4">
              <w:t>Sekretarz Komisji Przetargowej</w:t>
            </w:r>
          </w:p>
          <w:p w14:paraId="13DDE609" w14:textId="4F90BA66" w:rsidR="00B9322E" w:rsidRPr="00A54285" w:rsidRDefault="00B9322E" w:rsidP="00B9322E">
            <w:pPr>
              <w:tabs>
                <w:tab w:val="left" w:pos="408"/>
              </w:tabs>
              <w:rPr>
                <w:sz w:val="14"/>
                <w:szCs w:val="14"/>
              </w:rPr>
            </w:pPr>
          </w:p>
        </w:tc>
      </w:tr>
      <w:tr w:rsidR="00B9322E" w:rsidRPr="00A639C4" w14:paraId="011CBCE6" w14:textId="77777777" w:rsidTr="00E47CA1">
        <w:tc>
          <w:tcPr>
            <w:tcW w:w="10201" w:type="dxa"/>
            <w:gridSpan w:val="2"/>
            <w:shd w:val="clear" w:color="auto" w:fill="auto"/>
          </w:tcPr>
          <w:p w14:paraId="65BF90A3" w14:textId="068FA3EF" w:rsidR="00B9322E" w:rsidRPr="00A639C4" w:rsidRDefault="00B9322E" w:rsidP="00B9322E">
            <w:pPr>
              <w:jc w:val="center"/>
            </w:pPr>
            <w:bookmarkStart w:id="4" w:name="_Hlk155339952"/>
            <w:r>
              <w:t>Koniec PIDP</w:t>
            </w:r>
          </w:p>
        </w:tc>
      </w:tr>
      <w:bookmarkEnd w:id="4"/>
    </w:tbl>
    <w:p w14:paraId="1D7F26FD" w14:textId="6192075A" w:rsidR="00304FB8" w:rsidRPr="000E368E" w:rsidRDefault="00304FB8" w:rsidP="00B74C3B"/>
    <w:sectPr w:rsidR="00304FB8" w:rsidRPr="000E368E" w:rsidSect="00C0004B">
      <w:headerReference w:type="default" r:id="rId10"/>
      <w:footerReference w:type="default" r:id="rId11"/>
      <w:pgSz w:w="11906" w:h="16838" w:code="9"/>
      <w:pgMar w:top="1077" w:right="1191" w:bottom="1077" w:left="119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A493F" w14:textId="77777777" w:rsidR="002860D4" w:rsidRDefault="002860D4" w:rsidP="00235CCF">
      <w:r>
        <w:separator/>
      </w:r>
    </w:p>
  </w:endnote>
  <w:endnote w:type="continuationSeparator" w:id="0">
    <w:p w14:paraId="1A529F00" w14:textId="77777777" w:rsidR="002860D4" w:rsidRDefault="002860D4"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4BC62DB3" w:rsidR="0022552B" w:rsidRPr="0022552B" w:rsidRDefault="00190335">
    <w:pPr>
      <w:pStyle w:val="Stopka"/>
      <w:jc w:val="right"/>
    </w:pPr>
    <w:r>
      <w:t>(</w:t>
    </w:r>
    <w:r w:rsidR="008172A7" w:rsidRPr="008172A7">
      <w:t xml:space="preserve">wersja 3 </w:t>
    </w:r>
    <w:r w:rsidR="0022552B" w:rsidRPr="0022552B">
      <w:t>2024</w:t>
    </w:r>
    <w:r>
      <w:t>)</w:t>
    </w:r>
  </w:p>
  <w:sdt>
    <w:sdtPr>
      <w:id w:val="845062845"/>
      <w:docPartObj>
        <w:docPartGallery w:val="Page Numbers (Bottom of Page)"/>
        <w:docPartUnique/>
      </w:docPartObj>
    </w:sdtPr>
    <w:sdtContent>
      <w:sdt>
        <w:sdtPr>
          <w:id w:val="-1769616900"/>
          <w:docPartObj>
            <w:docPartGallery w:val="Page Numbers (Top of Page)"/>
            <w:docPartUnique/>
          </w:docPartObj>
        </w:sdtPr>
        <w:sdtContent>
          <w:p w14:paraId="2410B217" w14:textId="42B7A711" w:rsidR="0022552B" w:rsidRPr="0022552B" w:rsidRDefault="0022552B">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Pr="0022552B">
              <w:rPr>
                <w:b/>
                <w:bCs/>
              </w:rPr>
              <w:t>2</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Pr="0022552B">
              <w:rPr>
                <w:b/>
                <w:bCs/>
              </w:rPr>
              <w:t>2</w:t>
            </w:r>
            <w:r w:rsidRPr="0022552B">
              <w:rPr>
                <w:b/>
                <w:bCs/>
              </w:rPr>
              <w:fldChar w:fldCharType="end"/>
            </w:r>
          </w:p>
        </w:sdtContent>
      </w:sdt>
    </w:sdtContent>
  </w:sdt>
  <w:p w14:paraId="01792C6C" w14:textId="4A2FC379" w:rsidR="007137B3" w:rsidRDefault="0022552B" w:rsidP="0022552B">
    <w:pPr>
      <w:pStyle w:val="Stopka"/>
      <w:tabs>
        <w:tab w:val="clear" w:pos="4536"/>
        <w:tab w:val="clear" w:pos="9072"/>
        <w:tab w:val="left" w:pos="7619"/>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E4388" w14:textId="77777777" w:rsidR="002860D4" w:rsidRDefault="002860D4" w:rsidP="00235CCF">
      <w:r>
        <w:separator/>
      </w:r>
    </w:p>
  </w:footnote>
  <w:footnote w:type="continuationSeparator" w:id="0">
    <w:p w14:paraId="20233D19" w14:textId="77777777" w:rsidR="002860D4" w:rsidRDefault="002860D4"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301"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4292"/>
      <w:gridCol w:w="5774"/>
    </w:tblGrid>
    <w:tr w:rsidR="009E1376" w:rsidRPr="00B74C3B" w14:paraId="57D9EA9A" w14:textId="77777777" w:rsidTr="00E47CA1">
      <w:trPr>
        <w:trHeight w:val="296"/>
      </w:trPr>
      <w:tc>
        <w:tcPr>
          <w:tcW w:w="4292" w:type="dxa"/>
          <w:shd w:val="clear" w:color="auto" w:fill="FFFFFF"/>
        </w:tcPr>
        <w:p w14:paraId="27D43C0D" w14:textId="6FCACC98" w:rsidR="009E1376" w:rsidRPr="00B74C3B" w:rsidRDefault="009E1376"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773" w:type="dxa"/>
          <w:shd w:val="clear" w:color="auto" w:fill="FFFFFF"/>
          <w:vAlign w:val="center"/>
        </w:tcPr>
        <w:p w14:paraId="1905F66A" w14:textId="5303F2FA"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2B71A0">
            <w:rPr>
              <w:b/>
              <w:color w:val="000000"/>
              <w:spacing w:val="-12"/>
              <w:lang w:eastAsia="x-none"/>
            </w:rPr>
            <w:t xml:space="preserve"> </w:t>
          </w:r>
          <w:r w:rsidR="002B71A0" w:rsidRPr="002B71A0">
            <w:rPr>
              <w:b/>
              <w:color w:val="000000"/>
              <w:spacing w:val="-12"/>
              <w:lang w:val="x-none" w:eastAsia="x-none"/>
            </w:rPr>
            <w:t>WARIANT Z MOŻLIWOŚCIĄ NEGOCJACJI</w:t>
          </w:r>
          <w:r w:rsidR="002B71A0">
            <w:rPr>
              <w:b/>
              <w:color w:val="000000"/>
              <w:spacing w:val="-12"/>
              <w:lang w:eastAsia="x-none"/>
            </w:rPr>
            <w:t xml:space="preserve"> </w:t>
          </w:r>
          <w:r w:rsidRPr="00EA37E4">
            <w:rPr>
              <w:b/>
              <w:color w:val="000000"/>
              <w:spacing w:val="-12"/>
              <w:lang w:val="x-none" w:eastAsia="x-none"/>
            </w:rPr>
            <w:t xml:space="preserve">(art. 275 </w:t>
          </w:r>
          <w:r w:rsidR="00FC5EB1" w:rsidRPr="003847B5">
            <w:rPr>
              <w:b/>
              <w:color w:val="000000"/>
              <w:spacing w:val="-12"/>
              <w:lang w:val="x-none" w:eastAsia="x-none"/>
            </w:rPr>
            <w:t>pkt</w:t>
          </w:r>
          <w:r w:rsidRPr="003847B5">
            <w:rPr>
              <w:b/>
              <w:color w:val="000000"/>
              <w:spacing w:val="-12"/>
              <w:lang w:val="x-none" w:eastAsia="x-none"/>
            </w:rPr>
            <w:t xml:space="preserve"> </w:t>
          </w:r>
          <w:r w:rsidR="00731C88">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5BB93B0E" w:rsidR="009E1376" w:rsidRPr="00B74C3B" w:rsidRDefault="009E1376" w:rsidP="009E1376">
          <w:pPr>
            <w:pStyle w:val="Nagwek"/>
            <w:jc w:val="center"/>
            <w:rPr>
              <w:b/>
            </w:rPr>
          </w:pPr>
          <w:r w:rsidRPr="00B74C3B">
            <w:rPr>
              <w:bCs/>
            </w:rPr>
            <w:t>Numer referencyjny:</w:t>
          </w:r>
          <w:r w:rsidRPr="00B74C3B">
            <w:rPr>
              <w:b/>
              <w:bCs/>
            </w:rPr>
            <w:t xml:space="preserve"> PZDW/WZP/243/</w:t>
          </w:r>
          <w:r w:rsidR="00AC6E85">
            <w:rPr>
              <w:b/>
              <w:bCs/>
            </w:rPr>
            <w:t>W</w:t>
          </w:r>
          <w:r w:rsidR="003065E5">
            <w:rPr>
              <w:b/>
              <w:bCs/>
            </w:rPr>
            <w:t>D</w:t>
          </w:r>
          <w:r w:rsidR="00A97E1A">
            <w:rPr>
              <w:b/>
              <w:bCs/>
            </w:rPr>
            <w:t>/125</w:t>
          </w:r>
          <w:r w:rsidR="002B71A0">
            <w:rPr>
              <w:b/>
              <w:bCs/>
            </w:rPr>
            <w:t>/202</w:t>
          </w:r>
          <w:r w:rsidR="00D35612">
            <w:rPr>
              <w:b/>
              <w:bCs/>
            </w:rPr>
            <w:t>4</w:t>
          </w:r>
        </w:p>
      </w:tc>
    </w:tr>
    <w:tr w:rsidR="009E1376" w:rsidRPr="00B74C3B" w14:paraId="5389A671" w14:textId="77777777" w:rsidTr="003D0DB8">
      <w:trPr>
        <w:trHeight w:val="543"/>
      </w:trPr>
      <w:tc>
        <w:tcPr>
          <w:tcW w:w="10065" w:type="dxa"/>
          <w:gridSpan w:val="2"/>
          <w:shd w:val="clear" w:color="auto" w:fill="FFFFFF"/>
        </w:tcPr>
        <w:p w14:paraId="225E9889" w14:textId="12838502" w:rsidR="009E1376" w:rsidRPr="00EA37E4" w:rsidRDefault="009E1376"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ROZDZIAŁ I </w:t>
          </w:r>
          <w:r w:rsidR="00B74C3B" w:rsidRPr="00EA37E4">
            <w:rPr>
              <w:b/>
              <w:color w:val="000000"/>
              <w:spacing w:val="-12"/>
              <w:lang w:val="x-none" w:eastAsia="x-none"/>
            </w:rPr>
            <w:t>- INSTRUKCJA</w:t>
          </w:r>
          <w:r w:rsidRPr="00EA37E4">
            <w:rPr>
              <w:b/>
              <w:color w:val="000000"/>
              <w:spacing w:val="-12"/>
              <w:lang w:val="x-none" w:eastAsia="x-none"/>
            </w:rPr>
            <w:t xml:space="preserve"> DLA WYKONAWCÓW</w:t>
          </w:r>
          <w:r w:rsidR="0066585A" w:rsidRPr="00EA37E4">
            <w:rPr>
              <w:b/>
              <w:color w:val="000000"/>
              <w:spacing w:val="-12"/>
              <w:lang w:val="x-none" w:eastAsia="x-none"/>
            </w:rPr>
            <w:t xml:space="preserve"> (IDW)</w:t>
          </w:r>
        </w:p>
        <w:p w14:paraId="62D18362" w14:textId="77777777" w:rsidR="0066585A" w:rsidRPr="003D0DB8" w:rsidRDefault="0066585A" w:rsidP="00EA37E4">
          <w:pPr>
            <w:pStyle w:val="Tekstpodstawowy2"/>
            <w:shd w:val="clear" w:color="auto" w:fill="FFFFFF"/>
            <w:spacing w:after="0" w:line="276" w:lineRule="auto"/>
            <w:jc w:val="center"/>
            <w:rPr>
              <w:b/>
              <w:color w:val="000000"/>
              <w:spacing w:val="-12"/>
              <w:sz w:val="4"/>
              <w:szCs w:val="4"/>
              <w:lang w:val="x-none" w:eastAsia="x-none"/>
            </w:rPr>
          </w:pPr>
        </w:p>
        <w:p w14:paraId="44037418" w14:textId="7B3AF6B0" w:rsidR="009E1376" w:rsidRPr="00B74C3B" w:rsidRDefault="009E1376"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7137B3" w:rsidRPr="002C511E" w:rsidRDefault="007137B3" w:rsidP="00235CCF">
    <w:pPr>
      <w:pStyle w:val="Nagwek"/>
      <w:rPr>
        <w:rFonts w:eastAsiaTheme="majorEastAsia"/>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B01816"/>
    <w:multiLevelType w:val="hybridMultilevel"/>
    <w:tmpl w:val="49C2195E"/>
    <w:lvl w:ilvl="0" w:tplc="04150001">
      <w:start w:val="1"/>
      <w:numFmt w:val="bullet"/>
      <w:lvlText w:val=""/>
      <w:lvlJc w:val="left"/>
      <w:pPr>
        <w:ind w:left="1496" w:hanging="360"/>
      </w:pPr>
      <w:rPr>
        <w:rFonts w:ascii="Symbol" w:hAnsi="Symbol" w:cs="Symbol" w:hint="default"/>
      </w:rPr>
    </w:lvl>
    <w:lvl w:ilvl="1" w:tplc="04150003">
      <w:start w:val="1"/>
      <w:numFmt w:val="bullet"/>
      <w:lvlText w:val="o"/>
      <w:lvlJc w:val="left"/>
      <w:pPr>
        <w:ind w:left="2216" w:hanging="360"/>
      </w:pPr>
      <w:rPr>
        <w:rFonts w:ascii="Courier New" w:hAnsi="Courier New" w:cs="Courier New" w:hint="default"/>
      </w:rPr>
    </w:lvl>
    <w:lvl w:ilvl="2" w:tplc="04150005">
      <w:start w:val="1"/>
      <w:numFmt w:val="bullet"/>
      <w:lvlText w:val=""/>
      <w:lvlJc w:val="left"/>
      <w:pPr>
        <w:ind w:left="2936" w:hanging="360"/>
      </w:pPr>
      <w:rPr>
        <w:rFonts w:ascii="Wingdings" w:hAnsi="Wingdings" w:hint="default"/>
      </w:rPr>
    </w:lvl>
    <w:lvl w:ilvl="3" w:tplc="04150001">
      <w:start w:val="1"/>
      <w:numFmt w:val="bullet"/>
      <w:lvlText w:val=""/>
      <w:lvlJc w:val="left"/>
      <w:pPr>
        <w:ind w:left="3656" w:hanging="360"/>
      </w:pPr>
      <w:rPr>
        <w:rFonts w:ascii="Symbol" w:hAnsi="Symbol" w:hint="default"/>
      </w:rPr>
    </w:lvl>
    <w:lvl w:ilvl="4" w:tplc="04150003">
      <w:start w:val="1"/>
      <w:numFmt w:val="bullet"/>
      <w:lvlText w:val="o"/>
      <w:lvlJc w:val="left"/>
      <w:pPr>
        <w:ind w:left="4376" w:hanging="360"/>
      </w:pPr>
      <w:rPr>
        <w:rFonts w:ascii="Courier New" w:hAnsi="Courier New" w:cs="Courier New" w:hint="default"/>
      </w:rPr>
    </w:lvl>
    <w:lvl w:ilvl="5" w:tplc="04150005">
      <w:start w:val="1"/>
      <w:numFmt w:val="bullet"/>
      <w:lvlText w:val=""/>
      <w:lvlJc w:val="left"/>
      <w:pPr>
        <w:ind w:left="5096" w:hanging="360"/>
      </w:pPr>
      <w:rPr>
        <w:rFonts w:ascii="Wingdings" w:hAnsi="Wingdings" w:hint="default"/>
      </w:rPr>
    </w:lvl>
    <w:lvl w:ilvl="6" w:tplc="04150001">
      <w:start w:val="1"/>
      <w:numFmt w:val="bullet"/>
      <w:lvlText w:val=""/>
      <w:lvlJc w:val="left"/>
      <w:pPr>
        <w:ind w:left="5816" w:hanging="360"/>
      </w:pPr>
      <w:rPr>
        <w:rFonts w:ascii="Symbol" w:hAnsi="Symbol" w:hint="default"/>
      </w:rPr>
    </w:lvl>
    <w:lvl w:ilvl="7" w:tplc="04150003">
      <w:start w:val="1"/>
      <w:numFmt w:val="bullet"/>
      <w:lvlText w:val="o"/>
      <w:lvlJc w:val="left"/>
      <w:pPr>
        <w:ind w:left="6536" w:hanging="360"/>
      </w:pPr>
      <w:rPr>
        <w:rFonts w:ascii="Courier New" w:hAnsi="Courier New" w:cs="Courier New" w:hint="default"/>
      </w:rPr>
    </w:lvl>
    <w:lvl w:ilvl="8" w:tplc="04150005">
      <w:start w:val="1"/>
      <w:numFmt w:val="bullet"/>
      <w:lvlText w:val=""/>
      <w:lvlJc w:val="left"/>
      <w:pPr>
        <w:ind w:left="7256" w:hanging="360"/>
      </w:pPr>
      <w:rPr>
        <w:rFonts w:ascii="Wingdings" w:hAnsi="Wingdings" w:hint="default"/>
      </w:r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1"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5D3FE4"/>
    <w:multiLevelType w:val="multilevel"/>
    <w:tmpl w:val="AA6EF286"/>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Zero"/>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2C142812"/>
    <w:multiLevelType w:val="hybridMultilevel"/>
    <w:tmpl w:val="9E86FBAA"/>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15" w15:restartNumberingAfterBreak="0">
    <w:nsid w:val="2D3B762F"/>
    <w:multiLevelType w:val="hybridMultilevel"/>
    <w:tmpl w:val="C520FBD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26341A7"/>
    <w:multiLevelType w:val="hybridMultilevel"/>
    <w:tmpl w:val="9E6C0282"/>
    <w:lvl w:ilvl="0" w:tplc="0415000B">
      <w:start w:val="1"/>
      <w:numFmt w:val="bullet"/>
      <w:lvlText w:val=""/>
      <w:lvlJc w:val="left"/>
      <w:pPr>
        <w:ind w:left="1803" w:hanging="360"/>
      </w:pPr>
      <w:rPr>
        <w:rFonts w:ascii="Wingdings" w:hAnsi="Wingdings" w:hint="default"/>
      </w:rPr>
    </w:lvl>
    <w:lvl w:ilvl="1" w:tplc="04150003">
      <w:start w:val="1"/>
      <w:numFmt w:val="bullet"/>
      <w:lvlText w:val="o"/>
      <w:lvlJc w:val="left"/>
      <w:pPr>
        <w:ind w:left="2523" w:hanging="360"/>
      </w:pPr>
      <w:rPr>
        <w:rFonts w:ascii="Courier New" w:hAnsi="Courier New" w:cs="Courier New" w:hint="default"/>
      </w:rPr>
    </w:lvl>
    <w:lvl w:ilvl="2" w:tplc="04150005">
      <w:start w:val="1"/>
      <w:numFmt w:val="bullet"/>
      <w:lvlText w:val=""/>
      <w:lvlJc w:val="left"/>
      <w:pPr>
        <w:ind w:left="3243" w:hanging="360"/>
      </w:pPr>
      <w:rPr>
        <w:rFonts w:ascii="Wingdings" w:hAnsi="Wingdings" w:hint="default"/>
      </w:rPr>
    </w:lvl>
    <w:lvl w:ilvl="3" w:tplc="04150001">
      <w:start w:val="1"/>
      <w:numFmt w:val="bullet"/>
      <w:lvlText w:val=""/>
      <w:lvlJc w:val="left"/>
      <w:pPr>
        <w:ind w:left="3963" w:hanging="360"/>
      </w:pPr>
      <w:rPr>
        <w:rFonts w:ascii="Symbol" w:hAnsi="Symbol" w:hint="default"/>
      </w:rPr>
    </w:lvl>
    <w:lvl w:ilvl="4" w:tplc="04150003">
      <w:start w:val="1"/>
      <w:numFmt w:val="bullet"/>
      <w:lvlText w:val="o"/>
      <w:lvlJc w:val="left"/>
      <w:pPr>
        <w:ind w:left="4683" w:hanging="360"/>
      </w:pPr>
      <w:rPr>
        <w:rFonts w:ascii="Courier New" w:hAnsi="Courier New" w:cs="Courier New" w:hint="default"/>
      </w:rPr>
    </w:lvl>
    <w:lvl w:ilvl="5" w:tplc="04150005">
      <w:start w:val="1"/>
      <w:numFmt w:val="bullet"/>
      <w:lvlText w:val=""/>
      <w:lvlJc w:val="left"/>
      <w:pPr>
        <w:ind w:left="5403" w:hanging="360"/>
      </w:pPr>
      <w:rPr>
        <w:rFonts w:ascii="Wingdings" w:hAnsi="Wingdings" w:hint="default"/>
      </w:rPr>
    </w:lvl>
    <w:lvl w:ilvl="6" w:tplc="04150001">
      <w:start w:val="1"/>
      <w:numFmt w:val="bullet"/>
      <w:lvlText w:val=""/>
      <w:lvlJc w:val="left"/>
      <w:pPr>
        <w:ind w:left="6123" w:hanging="360"/>
      </w:pPr>
      <w:rPr>
        <w:rFonts w:ascii="Symbol" w:hAnsi="Symbol" w:hint="default"/>
      </w:rPr>
    </w:lvl>
    <w:lvl w:ilvl="7" w:tplc="04150003">
      <w:start w:val="1"/>
      <w:numFmt w:val="bullet"/>
      <w:lvlText w:val="o"/>
      <w:lvlJc w:val="left"/>
      <w:pPr>
        <w:ind w:left="6843" w:hanging="360"/>
      </w:pPr>
      <w:rPr>
        <w:rFonts w:ascii="Courier New" w:hAnsi="Courier New" w:cs="Courier New" w:hint="default"/>
      </w:rPr>
    </w:lvl>
    <w:lvl w:ilvl="8" w:tplc="04150005">
      <w:start w:val="1"/>
      <w:numFmt w:val="bullet"/>
      <w:lvlText w:val=""/>
      <w:lvlJc w:val="left"/>
      <w:pPr>
        <w:ind w:left="7563" w:hanging="360"/>
      </w:pPr>
      <w:rPr>
        <w:rFonts w:ascii="Wingdings" w:hAnsi="Wingdings" w:hint="default"/>
      </w:rPr>
    </w:lvl>
  </w:abstractNum>
  <w:abstractNum w:abstractNumId="17" w15:restartNumberingAfterBreak="0">
    <w:nsid w:val="34210C43"/>
    <w:multiLevelType w:val="hybridMultilevel"/>
    <w:tmpl w:val="1D6AEA3E"/>
    <w:lvl w:ilvl="0" w:tplc="04150015">
      <w:start w:val="1"/>
      <w:numFmt w:val="upp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EB2553"/>
    <w:multiLevelType w:val="hybridMultilevel"/>
    <w:tmpl w:val="E75C60B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E71D6A"/>
    <w:multiLevelType w:val="hybridMultilevel"/>
    <w:tmpl w:val="B9601538"/>
    <w:lvl w:ilvl="0" w:tplc="FFFFFFFF">
      <w:start w:val="1"/>
      <w:numFmt w:val="decimal"/>
      <w:lvlText w:val="%1."/>
      <w:lvlJc w:val="left"/>
      <w:pPr>
        <w:tabs>
          <w:tab w:val="num" w:pos="1800"/>
        </w:tabs>
        <w:ind w:left="1800" w:hanging="363"/>
      </w:pPr>
      <w:rPr>
        <w:rFonts w:ascii="Arial" w:eastAsia="Times New Roman" w:hAnsi="Arial" w:cs="Arial" w:hint="default"/>
        <w:b/>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3C513280"/>
    <w:multiLevelType w:val="hybridMultilevel"/>
    <w:tmpl w:val="2DEC0D32"/>
    <w:lvl w:ilvl="0" w:tplc="FFFFFFFF">
      <w:start w:val="1"/>
      <w:numFmt w:val="decimal"/>
      <w:lvlText w:val="%1."/>
      <w:lvlJc w:val="left"/>
      <w:pPr>
        <w:ind w:left="644" w:hanging="360"/>
      </w:pPr>
      <w:rPr>
        <w:rFonts w:hint="default"/>
        <w:u w:val="none"/>
      </w:rPr>
    </w:lvl>
    <w:lvl w:ilvl="1" w:tplc="FFFFFFFF">
      <w:start w:val="1"/>
      <w:numFmt w:val="lowerLetter"/>
      <w:lvlText w:val="%2."/>
      <w:lvlJc w:val="left"/>
      <w:pPr>
        <w:ind w:left="1364" w:hanging="360"/>
      </w:pPr>
    </w:lvl>
    <w:lvl w:ilvl="2" w:tplc="82BE37B4">
      <w:start w:val="2"/>
      <w:numFmt w:val="decimal"/>
      <w:lvlText w:val="%3)"/>
      <w:lvlJc w:val="left"/>
      <w:pPr>
        <w:ind w:left="2264" w:hanging="360"/>
      </w:pPr>
      <w:rPr>
        <w:rFonts w:hint="default"/>
      </w:r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D6E2F91"/>
    <w:multiLevelType w:val="hybridMultilevel"/>
    <w:tmpl w:val="6C3810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E6B2768"/>
    <w:multiLevelType w:val="hybridMultilevel"/>
    <w:tmpl w:val="6BA61750"/>
    <w:lvl w:ilvl="0" w:tplc="DA44EBBE">
      <w:start w:val="1"/>
      <w:numFmt w:val="decimal"/>
      <w:lvlText w:val="%1."/>
      <w:lvlJc w:val="left"/>
      <w:pPr>
        <w:ind w:left="1004" w:hanging="360"/>
      </w:pPr>
      <w:rPr>
        <w:rFonts w:ascii="Arial" w:eastAsia="Times New Roman" w:hAnsi="Arial" w:cs="Arial"/>
        <w:b/>
        <w:bCs w:val="0"/>
        <w:sz w:val="20"/>
        <w:szCs w:val="2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0"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607958B4"/>
    <w:multiLevelType w:val="hybridMultilevel"/>
    <w:tmpl w:val="EE304300"/>
    <w:lvl w:ilvl="0" w:tplc="72DE3BD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6AF17CD7"/>
    <w:multiLevelType w:val="hybridMultilevel"/>
    <w:tmpl w:val="1A9E957C"/>
    <w:lvl w:ilvl="0" w:tplc="602AB15E">
      <w:start w:val="2"/>
      <w:numFmt w:val="decimal"/>
      <w:lvlText w:val="%1)"/>
      <w:lvlJc w:val="left"/>
      <w:pPr>
        <w:ind w:left="1364"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1"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E32F2C"/>
    <w:multiLevelType w:val="hybridMultilevel"/>
    <w:tmpl w:val="ACA816C8"/>
    <w:lvl w:ilvl="0" w:tplc="2A9060F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5" w15:restartNumberingAfterBreak="0">
    <w:nsid w:val="78714AAC"/>
    <w:multiLevelType w:val="hybridMultilevel"/>
    <w:tmpl w:val="D27EAFB0"/>
    <w:lvl w:ilvl="0" w:tplc="FFFFFFFF">
      <w:start w:val="1"/>
      <w:numFmt w:val="decimal"/>
      <w:lvlText w:val="%1)"/>
      <w:lvlJc w:val="left"/>
      <w:pPr>
        <w:ind w:left="1080" w:hanging="360"/>
      </w:pPr>
      <w:rPr>
        <w:rFonts w:cs="Times New Roman"/>
        <w:b/>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46"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184634266">
    <w:abstractNumId w:val="21"/>
  </w:num>
  <w:num w:numId="2" w16cid:durableId="360665758">
    <w:abstractNumId w:val="8"/>
  </w:num>
  <w:num w:numId="3" w16cid:durableId="1245607496">
    <w:abstractNumId w:val="6"/>
  </w:num>
  <w:num w:numId="4" w16cid:durableId="289939090">
    <w:abstractNumId w:val="29"/>
  </w:num>
  <w:num w:numId="5" w16cid:durableId="850803430">
    <w:abstractNumId w:val="18"/>
  </w:num>
  <w:num w:numId="6" w16cid:durableId="706025091">
    <w:abstractNumId w:val="40"/>
  </w:num>
  <w:num w:numId="7" w16cid:durableId="1512992508">
    <w:abstractNumId w:val="34"/>
  </w:num>
  <w:num w:numId="8" w16cid:durableId="1247494544">
    <w:abstractNumId w:val="10"/>
  </w:num>
  <w:num w:numId="9" w16cid:durableId="1402557846">
    <w:abstractNumId w:val="7"/>
  </w:num>
  <w:num w:numId="10" w16cid:durableId="916130976">
    <w:abstractNumId w:val="9"/>
  </w:num>
  <w:num w:numId="11" w16cid:durableId="1607805929">
    <w:abstractNumId w:val="38"/>
  </w:num>
  <w:num w:numId="12" w16cid:durableId="1029768106">
    <w:abstractNumId w:val="28"/>
  </w:num>
  <w:num w:numId="13" w16cid:durableId="710612059">
    <w:abstractNumId w:val="46"/>
  </w:num>
  <w:num w:numId="14" w16cid:durableId="834881966">
    <w:abstractNumId w:val="41"/>
  </w:num>
  <w:num w:numId="15" w16cid:durableId="1023559460">
    <w:abstractNumId w:val="24"/>
  </w:num>
  <w:num w:numId="16" w16cid:durableId="1013998820">
    <w:abstractNumId w:val="2"/>
  </w:num>
  <w:num w:numId="17" w16cid:durableId="1949854261">
    <w:abstractNumId w:val="44"/>
  </w:num>
  <w:num w:numId="18" w16cid:durableId="370344611">
    <w:abstractNumId w:val="11"/>
  </w:num>
  <w:num w:numId="19" w16cid:durableId="1706061978">
    <w:abstractNumId w:val="0"/>
  </w:num>
  <w:num w:numId="20" w16cid:durableId="1322006724">
    <w:abstractNumId w:val="31"/>
  </w:num>
  <w:num w:numId="21" w16cid:durableId="2050495562">
    <w:abstractNumId w:val="1"/>
  </w:num>
  <w:num w:numId="22" w16cid:durableId="238178329">
    <w:abstractNumId w:val="3"/>
  </w:num>
  <w:num w:numId="23" w16cid:durableId="1159422012">
    <w:abstractNumId w:val="12"/>
  </w:num>
  <w:num w:numId="24" w16cid:durableId="710880982">
    <w:abstractNumId w:val="37"/>
  </w:num>
  <w:num w:numId="25" w16cid:durableId="1241066469">
    <w:abstractNumId w:val="33"/>
  </w:num>
  <w:num w:numId="26" w16cid:durableId="25062864">
    <w:abstractNumId w:val="36"/>
  </w:num>
  <w:num w:numId="27" w16cid:durableId="2061130130">
    <w:abstractNumId w:val="5"/>
  </w:num>
  <w:num w:numId="28" w16cid:durableId="14689679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0971325">
    <w:abstractNumId w:val="43"/>
  </w:num>
  <w:num w:numId="30" w16cid:durableId="1861779077">
    <w:abstractNumId w:val="20"/>
  </w:num>
  <w:num w:numId="31" w16cid:durableId="1504127620">
    <w:abstractNumId w:val="26"/>
  </w:num>
  <w:num w:numId="32" w16cid:durableId="2118912261">
    <w:abstractNumId w:val="30"/>
  </w:num>
  <w:num w:numId="33" w16cid:durableId="747994105">
    <w:abstractNumId w:val="25"/>
  </w:num>
  <w:num w:numId="34" w16cid:durableId="507673683">
    <w:abstractNumId w:val="22"/>
  </w:num>
  <w:num w:numId="35" w16cid:durableId="109828397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377409">
    <w:abstractNumId w:val="4"/>
  </w:num>
  <w:num w:numId="37" w16cid:durableId="1353412667">
    <w:abstractNumId w:val="35"/>
  </w:num>
  <w:num w:numId="38" w16cid:durableId="694235871">
    <w:abstractNumId w:val="15"/>
  </w:num>
  <w:num w:numId="39" w16cid:durableId="685988096">
    <w:abstractNumId w:val="23"/>
  </w:num>
  <w:num w:numId="40" w16cid:durableId="16051921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14809744">
    <w:abstractNumId w:val="19"/>
  </w:num>
  <w:num w:numId="42" w16cid:durableId="1309018919">
    <w:abstractNumId w:val="13"/>
  </w:num>
  <w:num w:numId="43" w16cid:durableId="536508383">
    <w:abstractNumId w:val="27"/>
  </w:num>
  <w:num w:numId="44" w16cid:durableId="174467187">
    <w:abstractNumId w:val="17"/>
  </w:num>
  <w:num w:numId="45" w16cid:durableId="259483757">
    <w:abstractNumId w:val="42"/>
  </w:num>
  <w:num w:numId="46" w16cid:durableId="829061573">
    <w:abstractNumId w:val="32"/>
  </w:num>
  <w:num w:numId="47" w16cid:durableId="31812802">
    <w:abstractNumId w:val="14"/>
  </w:num>
  <w:num w:numId="48" w16cid:durableId="1695575304">
    <w:abstractNumId w:val="45"/>
  </w:num>
  <w:num w:numId="49" w16cid:durableId="98528976">
    <w:abstractNumId w:val="39"/>
  </w:num>
  <w:num w:numId="50" w16cid:durableId="84524805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D03"/>
    <w:rsid w:val="00000CAB"/>
    <w:rsid w:val="00004325"/>
    <w:rsid w:val="000059FF"/>
    <w:rsid w:val="000103C4"/>
    <w:rsid w:val="00010FC4"/>
    <w:rsid w:val="00011E8E"/>
    <w:rsid w:val="000133F7"/>
    <w:rsid w:val="00014A37"/>
    <w:rsid w:val="00014D19"/>
    <w:rsid w:val="00014DA3"/>
    <w:rsid w:val="00017FE8"/>
    <w:rsid w:val="000347F6"/>
    <w:rsid w:val="00034973"/>
    <w:rsid w:val="00035538"/>
    <w:rsid w:val="00043A67"/>
    <w:rsid w:val="00045E74"/>
    <w:rsid w:val="000571F7"/>
    <w:rsid w:val="00063A0B"/>
    <w:rsid w:val="00064D88"/>
    <w:rsid w:val="0006539D"/>
    <w:rsid w:val="00065F58"/>
    <w:rsid w:val="00071195"/>
    <w:rsid w:val="0007215B"/>
    <w:rsid w:val="0007243F"/>
    <w:rsid w:val="00072D2C"/>
    <w:rsid w:val="00077E06"/>
    <w:rsid w:val="000816BE"/>
    <w:rsid w:val="00083070"/>
    <w:rsid w:val="00084922"/>
    <w:rsid w:val="0008508B"/>
    <w:rsid w:val="00087E3F"/>
    <w:rsid w:val="00090451"/>
    <w:rsid w:val="000A06EE"/>
    <w:rsid w:val="000A48EC"/>
    <w:rsid w:val="000B4C05"/>
    <w:rsid w:val="000B4F9D"/>
    <w:rsid w:val="000C4078"/>
    <w:rsid w:val="000C7735"/>
    <w:rsid w:val="000D1ED7"/>
    <w:rsid w:val="000D206E"/>
    <w:rsid w:val="000D26AD"/>
    <w:rsid w:val="000D4DDC"/>
    <w:rsid w:val="000D5B40"/>
    <w:rsid w:val="000D7441"/>
    <w:rsid w:val="000D7E94"/>
    <w:rsid w:val="000D7EA9"/>
    <w:rsid w:val="000D7FAE"/>
    <w:rsid w:val="000E0573"/>
    <w:rsid w:val="000E368E"/>
    <w:rsid w:val="000E530E"/>
    <w:rsid w:val="000E6CEC"/>
    <w:rsid w:val="000E7715"/>
    <w:rsid w:val="000F0CE7"/>
    <w:rsid w:val="000F162D"/>
    <w:rsid w:val="000F4EBA"/>
    <w:rsid w:val="000F6CE6"/>
    <w:rsid w:val="00101EC8"/>
    <w:rsid w:val="00104E64"/>
    <w:rsid w:val="00111750"/>
    <w:rsid w:val="00111CEF"/>
    <w:rsid w:val="001159E7"/>
    <w:rsid w:val="00123087"/>
    <w:rsid w:val="001309B2"/>
    <w:rsid w:val="00136766"/>
    <w:rsid w:val="00140306"/>
    <w:rsid w:val="00140C7E"/>
    <w:rsid w:val="00143B08"/>
    <w:rsid w:val="00144492"/>
    <w:rsid w:val="00144954"/>
    <w:rsid w:val="00144D03"/>
    <w:rsid w:val="00146563"/>
    <w:rsid w:val="00146E98"/>
    <w:rsid w:val="00150796"/>
    <w:rsid w:val="00154865"/>
    <w:rsid w:val="001552AA"/>
    <w:rsid w:val="00155987"/>
    <w:rsid w:val="001579D9"/>
    <w:rsid w:val="00157D9E"/>
    <w:rsid w:val="00161408"/>
    <w:rsid w:val="001655FA"/>
    <w:rsid w:val="0016738F"/>
    <w:rsid w:val="00175D83"/>
    <w:rsid w:val="00182F94"/>
    <w:rsid w:val="0018419A"/>
    <w:rsid w:val="001844C7"/>
    <w:rsid w:val="00187645"/>
    <w:rsid w:val="00190335"/>
    <w:rsid w:val="00196283"/>
    <w:rsid w:val="001A1707"/>
    <w:rsid w:val="001A29BD"/>
    <w:rsid w:val="001A395C"/>
    <w:rsid w:val="001A64EA"/>
    <w:rsid w:val="001A6986"/>
    <w:rsid w:val="001A7B19"/>
    <w:rsid w:val="001A7BAA"/>
    <w:rsid w:val="001B0BC7"/>
    <w:rsid w:val="001B4E66"/>
    <w:rsid w:val="001B5138"/>
    <w:rsid w:val="001C3B71"/>
    <w:rsid w:val="001C4751"/>
    <w:rsid w:val="001C5BDB"/>
    <w:rsid w:val="001D59B2"/>
    <w:rsid w:val="001D5EDC"/>
    <w:rsid w:val="001D6CF8"/>
    <w:rsid w:val="001D742C"/>
    <w:rsid w:val="001E2DD1"/>
    <w:rsid w:val="001E378D"/>
    <w:rsid w:val="001E436F"/>
    <w:rsid w:val="001F3677"/>
    <w:rsid w:val="00213EB6"/>
    <w:rsid w:val="00214F88"/>
    <w:rsid w:val="002219CB"/>
    <w:rsid w:val="0022361E"/>
    <w:rsid w:val="0022552B"/>
    <w:rsid w:val="00225807"/>
    <w:rsid w:val="00225958"/>
    <w:rsid w:val="00226A17"/>
    <w:rsid w:val="00226FE5"/>
    <w:rsid w:val="002275C7"/>
    <w:rsid w:val="00235716"/>
    <w:rsid w:val="00235857"/>
    <w:rsid w:val="00235CCF"/>
    <w:rsid w:val="00235DE9"/>
    <w:rsid w:val="0023600E"/>
    <w:rsid w:val="0023768F"/>
    <w:rsid w:val="00242D36"/>
    <w:rsid w:val="00244510"/>
    <w:rsid w:val="00247AE8"/>
    <w:rsid w:val="00250C58"/>
    <w:rsid w:val="00255583"/>
    <w:rsid w:val="00255A50"/>
    <w:rsid w:val="00255D1C"/>
    <w:rsid w:val="0026125D"/>
    <w:rsid w:val="00265C7D"/>
    <w:rsid w:val="002709B0"/>
    <w:rsid w:val="002717B9"/>
    <w:rsid w:val="0027230C"/>
    <w:rsid w:val="002731E2"/>
    <w:rsid w:val="00274B1B"/>
    <w:rsid w:val="00280921"/>
    <w:rsid w:val="0028200F"/>
    <w:rsid w:val="0028430E"/>
    <w:rsid w:val="002860D4"/>
    <w:rsid w:val="0028668E"/>
    <w:rsid w:val="002878F2"/>
    <w:rsid w:val="002A31E4"/>
    <w:rsid w:val="002A71BE"/>
    <w:rsid w:val="002B1468"/>
    <w:rsid w:val="002B57BE"/>
    <w:rsid w:val="002B71A0"/>
    <w:rsid w:val="002B7221"/>
    <w:rsid w:val="002C25E9"/>
    <w:rsid w:val="002C2C0D"/>
    <w:rsid w:val="002C402D"/>
    <w:rsid w:val="002C511E"/>
    <w:rsid w:val="002C7CA6"/>
    <w:rsid w:val="002D3583"/>
    <w:rsid w:val="002D5360"/>
    <w:rsid w:val="002D6127"/>
    <w:rsid w:val="002E0079"/>
    <w:rsid w:val="002E0E10"/>
    <w:rsid w:val="002E2210"/>
    <w:rsid w:val="002E5086"/>
    <w:rsid w:val="002F149C"/>
    <w:rsid w:val="002F2C7F"/>
    <w:rsid w:val="00300D17"/>
    <w:rsid w:val="00304FB8"/>
    <w:rsid w:val="00305711"/>
    <w:rsid w:val="003061D7"/>
    <w:rsid w:val="003065E5"/>
    <w:rsid w:val="0031102F"/>
    <w:rsid w:val="00320A15"/>
    <w:rsid w:val="00322BF1"/>
    <w:rsid w:val="003232E8"/>
    <w:rsid w:val="00324A9C"/>
    <w:rsid w:val="00325CB4"/>
    <w:rsid w:val="00336A07"/>
    <w:rsid w:val="00337503"/>
    <w:rsid w:val="00341A82"/>
    <w:rsid w:val="0034485C"/>
    <w:rsid w:val="00347D74"/>
    <w:rsid w:val="00351738"/>
    <w:rsid w:val="003527CE"/>
    <w:rsid w:val="003532A1"/>
    <w:rsid w:val="003544E6"/>
    <w:rsid w:val="00357737"/>
    <w:rsid w:val="003672FC"/>
    <w:rsid w:val="003847B5"/>
    <w:rsid w:val="00387614"/>
    <w:rsid w:val="00393CBA"/>
    <w:rsid w:val="00394375"/>
    <w:rsid w:val="003953F4"/>
    <w:rsid w:val="003A273F"/>
    <w:rsid w:val="003A27AB"/>
    <w:rsid w:val="003A3BB8"/>
    <w:rsid w:val="003A6CA4"/>
    <w:rsid w:val="003A7019"/>
    <w:rsid w:val="003B447D"/>
    <w:rsid w:val="003B6CFD"/>
    <w:rsid w:val="003B7CD6"/>
    <w:rsid w:val="003C0F1E"/>
    <w:rsid w:val="003C2AEE"/>
    <w:rsid w:val="003C56BD"/>
    <w:rsid w:val="003C6953"/>
    <w:rsid w:val="003D020A"/>
    <w:rsid w:val="003D0DB8"/>
    <w:rsid w:val="003D1D50"/>
    <w:rsid w:val="003E2D27"/>
    <w:rsid w:val="003E38AA"/>
    <w:rsid w:val="003E3961"/>
    <w:rsid w:val="003E3C90"/>
    <w:rsid w:val="003E5CE7"/>
    <w:rsid w:val="003E6125"/>
    <w:rsid w:val="003F0E4F"/>
    <w:rsid w:val="003F1745"/>
    <w:rsid w:val="003F5A3A"/>
    <w:rsid w:val="003F6CD3"/>
    <w:rsid w:val="00402A9D"/>
    <w:rsid w:val="0041243F"/>
    <w:rsid w:val="00415327"/>
    <w:rsid w:val="004169D9"/>
    <w:rsid w:val="00423028"/>
    <w:rsid w:val="00425047"/>
    <w:rsid w:val="00430759"/>
    <w:rsid w:val="004324AB"/>
    <w:rsid w:val="0043294F"/>
    <w:rsid w:val="00435575"/>
    <w:rsid w:val="00440A52"/>
    <w:rsid w:val="0044214E"/>
    <w:rsid w:val="00443B1A"/>
    <w:rsid w:val="00444C22"/>
    <w:rsid w:val="00450F04"/>
    <w:rsid w:val="004530E7"/>
    <w:rsid w:val="00453DE6"/>
    <w:rsid w:val="00456139"/>
    <w:rsid w:val="0045749E"/>
    <w:rsid w:val="0046398B"/>
    <w:rsid w:val="004808FC"/>
    <w:rsid w:val="00480D23"/>
    <w:rsid w:val="004821D9"/>
    <w:rsid w:val="00490EF3"/>
    <w:rsid w:val="004919B6"/>
    <w:rsid w:val="00493B97"/>
    <w:rsid w:val="00495ACA"/>
    <w:rsid w:val="00495B15"/>
    <w:rsid w:val="004A1E55"/>
    <w:rsid w:val="004A440C"/>
    <w:rsid w:val="004A6BC6"/>
    <w:rsid w:val="004A7A77"/>
    <w:rsid w:val="004B05D9"/>
    <w:rsid w:val="004B1921"/>
    <w:rsid w:val="004B205A"/>
    <w:rsid w:val="004B59CA"/>
    <w:rsid w:val="004B76EC"/>
    <w:rsid w:val="004C13DA"/>
    <w:rsid w:val="004C1C5E"/>
    <w:rsid w:val="004C6385"/>
    <w:rsid w:val="004D2272"/>
    <w:rsid w:val="004D25C7"/>
    <w:rsid w:val="004D402B"/>
    <w:rsid w:val="004D7B7A"/>
    <w:rsid w:val="004E4A14"/>
    <w:rsid w:val="004E631D"/>
    <w:rsid w:val="004F55C3"/>
    <w:rsid w:val="004F5FC3"/>
    <w:rsid w:val="004F679B"/>
    <w:rsid w:val="00500E86"/>
    <w:rsid w:val="00501376"/>
    <w:rsid w:val="00505022"/>
    <w:rsid w:val="00505683"/>
    <w:rsid w:val="00510BFD"/>
    <w:rsid w:val="0052307C"/>
    <w:rsid w:val="005316D3"/>
    <w:rsid w:val="00532309"/>
    <w:rsid w:val="005365DD"/>
    <w:rsid w:val="00540585"/>
    <w:rsid w:val="005411B1"/>
    <w:rsid w:val="00545DA4"/>
    <w:rsid w:val="00546118"/>
    <w:rsid w:val="0055496E"/>
    <w:rsid w:val="00560447"/>
    <w:rsid w:val="00564C52"/>
    <w:rsid w:val="005762DB"/>
    <w:rsid w:val="0058358F"/>
    <w:rsid w:val="00586363"/>
    <w:rsid w:val="005871B4"/>
    <w:rsid w:val="005926B6"/>
    <w:rsid w:val="00595030"/>
    <w:rsid w:val="005A2948"/>
    <w:rsid w:val="005B231D"/>
    <w:rsid w:val="005B6986"/>
    <w:rsid w:val="005C00DD"/>
    <w:rsid w:val="005C48F0"/>
    <w:rsid w:val="005D0F64"/>
    <w:rsid w:val="005D18BA"/>
    <w:rsid w:val="005D2524"/>
    <w:rsid w:val="005D6002"/>
    <w:rsid w:val="005D698C"/>
    <w:rsid w:val="005E05B8"/>
    <w:rsid w:val="005E58F2"/>
    <w:rsid w:val="005E7210"/>
    <w:rsid w:val="005F0726"/>
    <w:rsid w:val="005F1470"/>
    <w:rsid w:val="005F3B4B"/>
    <w:rsid w:val="005F5680"/>
    <w:rsid w:val="005F645E"/>
    <w:rsid w:val="005F6497"/>
    <w:rsid w:val="005F68DC"/>
    <w:rsid w:val="00601A19"/>
    <w:rsid w:val="006020D6"/>
    <w:rsid w:val="0061385E"/>
    <w:rsid w:val="0061673C"/>
    <w:rsid w:val="00621E7B"/>
    <w:rsid w:val="00622270"/>
    <w:rsid w:val="0062767B"/>
    <w:rsid w:val="00630025"/>
    <w:rsid w:val="006307A8"/>
    <w:rsid w:val="00630FB6"/>
    <w:rsid w:val="00633019"/>
    <w:rsid w:val="00643475"/>
    <w:rsid w:val="00647472"/>
    <w:rsid w:val="006554F6"/>
    <w:rsid w:val="00655FAE"/>
    <w:rsid w:val="00656AB1"/>
    <w:rsid w:val="00660E00"/>
    <w:rsid w:val="00660E1B"/>
    <w:rsid w:val="0066585A"/>
    <w:rsid w:val="00666693"/>
    <w:rsid w:val="0067467B"/>
    <w:rsid w:val="00691CEC"/>
    <w:rsid w:val="00692266"/>
    <w:rsid w:val="00692728"/>
    <w:rsid w:val="00695ECC"/>
    <w:rsid w:val="006A0164"/>
    <w:rsid w:val="006A4E40"/>
    <w:rsid w:val="006A586A"/>
    <w:rsid w:val="006B1DF3"/>
    <w:rsid w:val="006B2600"/>
    <w:rsid w:val="006C0CA9"/>
    <w:rsid w:val="006C2AC7"/>
    <w:rsid w:val="006C3181"/>
    <w:rsid w:val="006C359B"/>
    <w:rsid w:val="006C451B"/>
    <w:rsid w:val="006D0009"/>
    <w:rsid w:val="006D0499"/>
    <w:rsid w:val="006D0885"/>
    <w:rsid w:val="006D112A"/>
    <w:rsid w:val="006D4580"/>
    <w:rsid w:val="006D69F2"/>
    <w:rsid w:val="006D73AC"/>
    <w:rsid w:val="006E0DFA"/>
    <w:rsid w:val="006E2D53"/>
    <w:rsid w:val="006E2E75"/>
    <w:rsid w:val="006E3D7F"/>
    <w:rsid w:val="006E4B8D"/>
    <w:rsid w:val="006E7976"/>
    <w:rsid w:val="006F26E0"/>
    <w:rsid w:val="006F276B"/>
    <w:rsid w:val="006F3BCE"/>
    <w:rsid w:val="006F6477"/>
    <w:rsid w:val="006F6586"/>
    <w:rsid w:val="0070256A"/>
    <w:rsid w:val="00704746"/>
    <w:rsid w:val="00706B12"/>
    <w:rsid w:val="00710546"/>
    <w:rsid w:val="00711EA9"/>
    <w:rsid w:val="007137B3"/>
    <w:rsid w:val="00713E2D"/>
    <w:rsid w:val="00715656"/>
    <w:rsid w:val="00715C52"/>
    <w:rsid w:val="00720ADB"/>
    <w:rsid w:val="00724EDB"/>
    <w:rsid w:val="00725114"/>
    <w:rsid w:val="00727219"/>
    <w:rsid w:val="00731C88"/>
    <w:rsid w:val="00733FFE"/>
    <w:rsid w:val="00741189"/>
    <w:rsid w:val="00744A60"/>
    <w:rsid w:val="00745642"/>
    <w:rsid w:val="007476CA"/>
    <w:rsid w:val="007505EA"/>
    <w:rsid w:val="00750BE5"/>
    <w:rsid w:val="0075264D"/>
    <w:rsid w:val="00752C87"/>
    <w:rsid w:val="007537AC"/>
    <w:rsid w:val="00753D3B"/>
    <w:rsid w:val="0075519A"/>
    <w:rsid w:val="00756FEC"/>
    <w:rsid w:val="00761644"/>
    <w:rsid w:val="00764E22"/>
    <w:rsid w:val="00770260"/>
    <w:rsid w:val="00770862"/>
    <w:rsid w:val="007720E9"/>
    <w:rsid w:val="0077317A"/>
    <w:rsid w:val="007749D7"/>
    <w:rsid w:val="0077544E"/>
    <w:rsid w:val="00776E02"/>
    <w:rsid w:val="00781724"/>
    <w:rsid w:val="007847A4"/>
    <w:rsid w:val="00791570"/>
    <w:rsid w:val="007923F5"/>
    <w:rsid w:val="0079311F"/>
    <w:rsid w:val="00797B6F"/>
    <w:rsid w:val="007A0AC5"/>
    <w:rsid w:val="007A217B"/>
    <w:rsid w:val="007A2702"/>
    <w:rsid w:val="007A3225"/>
    <w:rsid w:val="007A419A"/>
    <w:rsid w:val="007B0445"/>
    <w:rsid w:val="007B5970"/>
    <w:rsid w:val="007B6D41"/>
    <w:rsid w:val="007B7294"/>
    <w:rsid w:val="007B7325"/>
    <w:rsid w:val="007B75D4"/>
    <w:rsid w:val="007D017C"/>
    <w:rsid w:val="007D0FA9"/>
    <w:rsid w:val="007D64C6"/>
    <w:rsid w:val="007D6BB0"/>
    <w:rsid w:val="007D7E94"/>
    <w:rsid w:val="007E0508"/>
    <w:rsid w:val="007E1A08"/>
    <w:rsid w:val="007E61D1"/>
    <w:rsid w:val="007E6691"/>
    <w:rsid w:val="007F18D9"/>
    <w:rsid w:val="007F6F4E"/>
    <w:rsid w:val="00803B03"/>
    <w:rsid w:val="00803B2B"/>
    <w:rsid w:val="00805709"/>
    <w:rsid w:val="00805ADD"/>
    <w:rsid w:val="00807B52"/>
    <w:rsid w:val="008142B1"/>
    <w:rsid w:val="00814797"/>
    <w:rsid w:val="008172A7"/>
    <w:rsid w:val="00824583"/>
    <w:rsid w:val="008317EF"/>
    <w:rsid w:val="00833FE6"/>
    <w:rsid w:val="008360BC"/>
    <w:rsid w:val="0084055D"/>
    <w:rsid w:val="00841BEA"/>
    <w:rsid w:val="008452FA"/>
    <w:rsid w:val="008467CF"/>
    <w:rsid w:val="008501B7"/>
    <w:rsid w:val="00851390"/>
    <w:rsid w:val="00851676"/>
    <w:rsid w:val="008517C7"/>
    <w:rsid w:val="008534DB"/>
    <w:rsid w:val="008537C3"/>
    <w:rsid w:val="0086250C"/>
    <w:rsid w:val="00864869"/>
    <w:rsid w:val="0087222F"/>
    <w:rsid w:val="00872E92"/>
    <w:rsid w:val="00882E7B"/>
    <w:rsid w:val="00890C36"/>
    <w:rsid w:val="00890CB6"/>
    <w:rsid w:val="00896DD9"/>
    <w:rsid w:val="0089722D"/>
    <w:rsid w:val="008A62FE"/>
    <w:rsid w:val="008B11D8"/>
    <w:rsid w:val="008C5956"/>
    <w:rsid w:val="008C5D67"/>
    <w:rsid w:val="008C60FB"/>
    <w:rsid w:val="008D17A1"/>
    <w:rsid w:val="008D64CB"/>
    <w:rsid w:val="008D7044"/>
    <w:rsid w:val="008E0C69"/>
    <w:rsid w:val="008E65F2"/>
    <w:rsid w:val="008F6691"/>
    <w:rsid w:val="009008C0"/>
    <w:rsid w:val="009021D4"/>
    <w:rsid w:val="0091103A"/>
    <w:rsid w:val="009113A3"/>
    <w:rsid w:val="00913268"/>
    <w:rsid w:val="00915F35"/>
    <w:rsid w:val="00920050"/>
    <w:rsid w:val="0092432D"/>
    <w:rsid w:val="0093019C"/>
    <w:rsid w:val="00931EBD"/>
    <w:rsid w:val="00936769"/>
    <w:rsid w:val="009367F5"/>
    <w:rsid w:val="0094133F"/>
    <w:rsid w:val="00947B42"/>
    <w:rsid w:val="00950E4F"/>
    <w:rsid w:val="00952BFC"/>
    <w:rsid w:val="00952FB7"/>
    <w:rsid w:val="0095565A"/>
    <w:rsid w:val="009619B4"/>
    <w:rsid w:val="00963CA8"/>
    <w:rsid w:val="00967E45"/>
    <w:rsid w:val="009741A5"/>
    <w:rsid w:val="00982A90"/>
    <w:rsid w:val="00987E31"/>
    <w:rsid w:val="009919C1"/>
    <w:rsid w:val="0099406A"/>
    <w:rsid w:val="009941E7"/>
    <w:rsid w:val="009A001B"/>
    <w:rsid w:val="009A2D45"/>
    <w:rsid w:val="009A4ED7"/>
    <w:rsid w:val="009A68E3"/>
    <w:rsid w:val="009C4379"/>
    <w:rsid w:val="009C4AD4"/>
    <w:rsid w:val="009C520F"/>
    <w:rsid w:val="009C6825"/>
    <w:rsid w:val="009D1D94"/>
    <w:rsid w:val="009D54E8"/>
    <w:rsid w:val="009E1376"/>
    <w:rsid w:val="009E176C"/>
    <w:rsid w:val="009E233F"/>
    <w:rsid w:val="009E2DF6"/>
    <w:rsid w:val="009E7B3F"/>
    <w:rsid w:val="009F229F"/>
    <w:rsid w:val="009F455A"/>
    <w:rsid w:val="009F785F"/>
    <w:rsid w:val="00A13178"/>
    <w:rsid w:val="00A14FF0"/>
    <w:rsid w:val="00A24DF2"/>
    <w:rsid w:val="00A26A51"/>
    <w:rsid w:val="00A30ADB"/>
    <w:rsid w:val="00A312CD"/>
    <w:rsid w:val="00A335B4"/>
    <w:rsid w:val="00A3373E"/>
    <w:rsid w:val="00A3636A"/>
    <w:rsid w:val="00A37420"/>
    <w:rsid w:val="00A42AA6"/>
    <w:rsid w:val="00A464F6"/>
    <w:rsid w:val="00A47CCE"/>
    <w:rsid w:val="00A54285"/>
    <w:rsid w:val="00A56D35"/>
    <w:rsid w:val="00A57BAB"/>
    <w:rsid w:val="00A639C4"/>
    <w:rsid w:val="00A6454D"/>
    <w:rsid w:val="00A7088C"/>
    <w:rsid w:val="00A74C54"/>
    <w:rsid w:val="00A80DDF"/>
    <w:rsid w:val="00A84970"/>
    <w:rsid w:val="00A85E67"/>
    <w:rsid w:val="00A91EB5"/>
    <w:rsid w:val="00A91F26"/>
    <w:rsid w:val="00A926DE"/>
    <w:rsid w:val="00A94552"/>
    <w:rsid w:val="00A9568F"/>
    <w:rsid w:val="00A9741D"/>
    <w:rsid w:val="00A97E1A"/>
    <w:rsid w:val="00AA0169"/>
    <w:rsid w:val="00AA30C3"/>
    <w:rsid w:val="00AA39A4"/>
    <w:rsid w:val="00AA5048"/>
    <w:rsid w:val="00AA6085"/>
    <w:rsid w:val="00AA6102"/>
    <w:rsid w:val="00AA621D"/>
    <w:rsid w:val="00AB20D1"/>
    <w:rsid w:val="00AB436A"/>
    <w:rsid w:val="00AB5590"/>
    <w:rsid w:val="00AC2F50"/>
    <w:rsid w:val="00AC3B82"/>
    <w:rsid w:val="00AC3D45"/>
    <w:rsid w:val="00AC6605"/>
    <w:rsid w:val="00AC6E85"/>
    <w:rsid w:val="00AC79C6"/>
    <w:rsid w:val="00AD02DA"/>
    <w:rsid w:val="00AD141F"/>
    <w:rsid w:val="00AE094D"/>
    <w:rsid w:val="00AE3B32"/>
    <w:rsid w:val="00AE5642"/>
    <w:rsid w:val="00AF0167"/>
    <w:rsid w:val="00AF43D8"/>
    <w:rsid w:val="00B007F8"/>
    <w:rsid w:val="00B02DEE"/>
    <w:rsid w:val="00B03D3D"/>
    <w:rsid w:val="00B06491"/>
    <w:rsid w:val="00B10C20"/>
    <w:rsid w:val="00B1334C"/>
    <w:rsid w:val="00B13A24"/>
    <w:rsid w:val="00B17796"/>
    <w:rsid w:val="00B30404"/>
    <w:rsid w:val="00B32CA0"/>
    <w:rsid w:val="00B352AD"/>
    <w:rsid w:val="00B371BD"/>
    <w:rsid w:val="00B44041"/>
    <w:rsid w:val="00B44348"/>
    <w:rsid w:val="00B46C4D"/>
    <w:rsid w:val="00B612FE"/>
    <w:rsid w:val="00B64B7F"/>
    <w:rsid w:val="00B65B7A"/>
    <w:rsid w:val="00B67FD1"/>
    <w:rsid w:val="00B719B3"/>
    <w:rsid w:val="00B71C90"/>
    <w:rsid w:val="00B72965"/>
    <w:rsid w:val="00B74C3B"/>
    <w:rsid w:val="00B7708D"/>
    <w:rsid w:val="00B80D33"/>
    <w:rsid w:val="00B80E2F"/>
    <w:rsid w:val="00B83680"/>
    <w:rsid w:val="00B847DC"/>
    <w:rsid w:val="00B8507F"/>
    <w:rsid w:val="00B8654F"/>
    <w:rsid w:val="00B9322E"/>
    <w:rsid w:val="00BA4922"/>
    <w:rsid w:val="00BA4CC8"/>
    <w:rsid w:val="00BA4DD4"/>
    <w:rsid w:val="00BA7B93"/>
    <w:rsid w:val="00BB13EA"/>
    <w:rsid w:val="00BB55B3"/>
    <w:rsid w:val="00BC2677"/>
    <w:rsid w:val="00BC4ED4"/>
    <w:rsid w:val="00BD2AE4"/>
    <w:rsid w:val="00BD2B22"/>
    <w:rsid w:val="00BE50F4"/>
    <w:rsid w:val="00BE67F7"/>
    <w:rsid w:val="00BE7884"/>
    <w:rsid w:val="00C0004B"/>
    <w:rsid w:val="00C01B35"/>
    <w:rsid w:val="00C11DC2"/>
    <w:rsid w:val="00C12399"/>
    <w:rsid w:val="00C12E6A"/>
    <w:rsid w:val="00C152B8"/>
    <w:rsid w:val="00C15AB7"/>
    <w:rsid w:val="00C16536"/>
    <w:rsid w:val="00C16D5F"/>
    <w:rsid w:val="00C178B9"/>
    <w:rsid w:val="00C228E5"/>
    <w:rsid w:val="00C30CF6"/>
    <w:rsid w:val="00C368B6"/>
    <w:rsid w:val="00C47FE9"/>
    <w:rsid w:val="00C54AC5"/>
    <w:rsid w:val="00C5504B"/>
    <w:rsid w:val="00C57D13"/>
    <w:rsid w:val="00C72982"/>
    <w:rsid w:val="00C804C1"/>
    <w:rsid w:val="00C83EF8"/>
    <w:rsid w:val="00C87D25"/>
    <w:rsid w:val="00C906E9"/>
    <w:rsid w:val="00C95D8A"/>
    <w:rsid w:val="00C970F2"/>
    <w:rsid w:val="00CA5F17"/>
    <w:rsid w:val="00CB1FEE"/>
    <w:rsid w:val="00CB44F6"/>
    <w:rsid w:val="00CB5219"/>
    <w:rsid w:val="00CB52EB"/>
    <w:rsid w:val="00CB694E"/>
    <w:rsid w:val="00CB6F73"/>
    <w:rsid w:val="00CB72EF"/>
    <w:rsid w:val="00CD12EF"/>
    <w:rsid w:val="00CD2200"/>
    <w:rsid w:val="00CD55EA"/>
    <w:rsid w:val="00CD5A2A"/>
    <w:rsid w:val="00CF3C0C"/>
    <w:rsid w:val="00CF4617"/>
    <w:rsid w:val="00CF5590"/>
    <w:rsid w:val="00CF579B"/>
    <w:rsid w:val="00D02727"/>
    <w:rsid w:val="00D07B83"/>
    <w:rsid w:val="00D101E2"/>
    <w:rsid w:val="00D11975"/>
    <w:rsid w:val="00D125CF"/>
    <w:rsid w:val="00D13E8D"/>
    <w:rsid w:val="00D21A2B"/>
    <w:rsid w:val="00D262FC"/>
    <w:rsid w:val="00D279B2"/>
    <w:rsid w:val="00D32FC9"/>
    <w:rsid w:val="00D33DFF"/>
    <w:rsid w:val="00D34BD4"/>
    <w:rsid w:val="00D35612"/>
    <w:rsid w:val="00D36BA9"/>
    <w:rsid w:val="00D44056"/>
    <w:rsid w:val="00D45B6A"/>
    <w:rsid w:val="00D4706C"/>
    <w:rsid w:val="00D56EC5"/>
    <w:rsid w:val="00D64F63"/>
    <w:rsid w:val="00D664EC"/>
    <w:rsid w:val="00D74B4E"/>
    <w:rsid w:val="00D836FF"/>
    <w:rsid w:val="00D908F9"/>
    <w:rsid w:val="00D9147C"/>
    <w:rsid w:val="00D92581"/>
    <w:rsid w:val="00D9408E"/>
    <w:rsid w:val="00DA2BA0"/>
    <w:rsid w:val="00DA3A45"/>
    <w:rsid w:val="00DA730F"/>
    <w:rsid w:val="00DB46C0"/>
    <w:rsid w:val="00DB4B29"/>
    <w:rsid w:val="00DC3B64"/>
    <w:rsid w:val="00DC6A53"/>
    <w:rsid w:val="00DD0FE7"/>
    <w:rsid w:val="00DD2CDF"/>
    <w:rsid w:val="00DD3C2E"/>
    <w:rsid w:val="00DD4849"/>
    <w:rsid w:val="00DE23D4"/>
    <w:rsid w:val="00DE4013"/>
    <w:rsid w:val="00DE40C7"/>
    <w:rsid w:val="00DF2F32"/>
    <w:rsid w:val="00DF5A36"/>
    <w:rsid w:val="00E05C29"/>
    <w:rsid w:val="00E13462"/>
    <w:rsid w:val="00E14E37"/>
    <w:rsid w:val="00E15A75"/>
    <w:rsid w:val="00E16176"/>
    <w:rsid w:val="00E21E0F"/>
    <w:rsid w:val="00E220AB"/>
    <w:rsid w:val="00E22DAE"/>
    <w:rsid w:val="00E246FD"/>
    <w:rsid w:val="00E261AA"/>
    <w:rsid w:val="00E30967"/>
    <w:rsid w:val="00E34563"/>
    <w:rsid w:val="00E35317"/>
    <w:rsid w:val="00E3598B"/>
    <w:rsid w:val="00E36E12"/>
    <w:rsid w:val="00E37622"/>
    <w:rsid w:val="00E47CA1"/>
    <w:rsid w:val="00E51FB6"/>
    <w:rsid w:val="00E57022"/>
    <w:rsid w:val="00E64F31"/>
    <w:rsid w:val="00E7136F"/>
    <w:rsid w:val="00E75174"/>
    <w:rsid w:val="00E82CD6"/>
    <w:rsid w:val="00E853F2"/>
    <w:rsid w:val="00E92D64"/>
    <w:rsid w:val="00E93F87"/>
    <w:rsid w:val="00E94CD6"/>
    <w:rsid w:val="00EA365A"/>
    <w:rsid w:val="00EA37E4"/>
    <w:rsid w:val="00EB6695"/>
    <w:rsid w:val="00EC2F5C"/>
    <w:rsid w:val="00EC5274"/>
    <w:rsid w:val="00EC6DCC"/>
    <w:rsid w:val="00ED48C8"/>
    <w:rsid w:val="00ED4C77"/>
    <w:rsid w:val="00EE17B2"/>
    <w:rsid w:val="00EE2743"/>
    <w:rsid w:val="00EE42B0"/>
    <w:rsid w:val="00EE6B70"/>
    <w:rsid w:val="00EF4C34"/>
    <w:rsid w:val="00F01767"/>
    <w:rsid w:val="00F04755"/>
    <w:rsid w:val="00F0644D"/>
    <w:rsid w:val="00F06819"/>
    <w:rsid w:val="00F111F5"/>
    <w:rsid w:val="00F176B7"/>
    <w:rsid w:val="00F21598"/>
    <w:rsid w:val="00F21635"/>
    <w:rsid w:val="00F3072B"/>
    <w:rsid w:val="00F34662"/>
    <w:rsid w:val="00F360EA"/>
    <w:rsid w:val="00F36E9D"/>
    <w:rsid w:val="00F403CE"/>
    <w:rsid w:val="00F4236A"/>
    <w:rsid w:val="00F45F54"/>
    <w:rsid w:val="00F50499"/>
    <w:rsid w:val="00F5199E"/>
    <w:rsid w:val="00F53556"/>
    <w:rsid w:val="00F6231D"/>
    <w:rsid w:val="00F626BE"/>
    <w:rsid w:val="00F64A26"/>
    <w:rsid w:val="00F73EB2"/>
    <w:rsid w:val="00F7793D"/>
    <w:rsid w:val="00F8218A"/>
    <w:rsid w:val="00F835BA"/>
    <w:rsid w:val="00FA18C3"/>
    <w:rsid w:val="00FA41C7"/>
    <w:rsid w:val="00FA45AE"/>
    <w:rsid w:val="00FA49C7"/>
    <w:rsid w:val="00FA5E35"/>
    <w:rsid w:val="00FC549A"/>
    <w:rsid w:val="00FC5EB1"/>
    <w:rsid w:val="00FC60BC"/>
    <w:rsid w:val="00FD1D58"/>
    <w:rsid w:val="00FD5E2F"/>
    <w:rsid w:val="00FD6C27"/>
    <w:rsid w:val="00FE0510"/>
    <w:rsid w:val="00FE43F5"/>
    <w:rsid w:val="00FE4708"/>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paragraph" w:customStyle="1" w:styleId="tekstost">
    <w:name w:val="tekst ost"/>
    <w:basedOn w:val="Normalny"/>
    <w:uiPriority w:val="99"/>
    <w:rsid w:val="00EE2743"/>
    <w:pPr>
      <w:widowControl/>
      <w:overflowPunct w:val="0"/>
      <w:jc w:val="both"/>
      <w:textAlignment w:val="baseline"/>
    </w:pPr>
    <w:rPr>
      <w:rFonts w:ascii="Times New Roman" w:eastAsiaTheme="minorEastAsia" w:hAnsi="Times New Roman"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537497">
      <w:bodyDiv w:val="1"/>
      <w:marLeft w:val="0"/>
      <w:marRight w:val="0"/>
      <w:marTop w:val="0"/>
      <w:marBottom w:val="0"/>
      <w:divBdr>
        <w:top w:val="none" w:sz="0" w:space="0" w:color="auto"/>
        <w:left w:val="none" w:sz="0" w:space="0" w:color="auto"/>
        <w:bottom w:val="none" w:sz="0" w:space="0" w:color="auto"/>
        <w:right w:val="none" w:sz="0" w:space="0" w:color="auto"/>
      </w:divBdr>
    </w:div>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B67FD-E870-4B4F-B9A3-CD5816680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10</Pages>
  <Words>4368</Words>
  <Characters>26208</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Magda</cp:lastModifiedBy>
  <cp:revision>218</cp:revision>
  <cp:lastPrinted>2024-07-30T11:39:00Z</cp:lastPrinted>
  <dcterms:created xsi:type="dcterms:W3CDTF">2024-01-23T08:18:00Z</dcterms:created>
  <dcterms:modified xsi:type="dcterms:W3CDTF">2024-11-04T13:19:00Z</dcterms:modified>
</cp:coreProperties>
</file>