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823EE" w14:textId="77777777" w:rsidR="002B044C" w:rsidRDefault="002B044C" w:rsidP="002B044C">
      <w:pPr>
        <w:spacing w:after="0" w:line="240" w:lineRule="auto"/>
        <w:jc w:val="right"/>
      </w:pPr>
      <w:r>
        <w:t>Załącznik nr 4 do SWZ – Opis Przedmiotu Zamówienia</w:t>
      </w:r>
    </w:p>
    <w:p w14:paraId="24A73D7A" w14:textId="50B9D997" w:rsidR="002B044C" w:rsidRDefault="002B044C" w:rsidP="002B044C">
      <w:pPr>
        <w:spacing w:after="0" w:line="240" w:lineRule="auto"/>
        <w:jc w:val="right"/>
      </w:pPr>
      <w:r>
        <w:t>Numer sprawy PiPR.IV.272.1</w:t>
      </w:r>
      <w:r>
        <w:t>2</w:t>
      </w:r>
      <w:r>
        <w:t>.2024</w:t>
      </w:r>
    </w:p>
    <w:p w14:paraId="3EEE26E5" w14:textId="43E10338" w:rsidR="002B044C" w:rsidRDefault="002B044C" w:rsidP="002B044C">
      <w:pPr>
        <w:spacing w:after="0" w:line="240" w:lineRule="auto"/>
        <w:jc w:val="right"/>
      </w:pPr>
      <w:r>
        <w:t>Dostawa biblioteki taśmowej dla Powiatu Pińczowskiego</w:t>
      </w:r>
      <w:r>
        <w:t xml:space="preserve"> 1 szt. II</w:t>
      </w:r>
    </w:p>
    <w:p w14:paraId="5156F429" w14:textId="77777777" w:rsidR="002B044C" w:rsidRDefault="002B044C" w:rsidP="002B044C">
      <w:pPr>
        <w:spacing w:after="0" w:line="240" w:lineRule="auto"/>
        <w:jc w:val="center"/>
        <w:rPr>
          <w:b/>
        </w:rPr>
      </w:pPr>
    </w:p>
    <w:p w14:paraId="0FE1A1FD" w14:textId="4CF7A1CE" w:rsidR="002B044C" w:rsidRDefault="002B044C" w:rsidP="002B044C">
      <w:pPr>
        <w:spacing w:after="0" w:line="240" w:lineRule="auto"/>
        <w:jc w:val="center"/>
        <w:rPr>
          <w:b/>
        </w:rPr>
      </w:pPr>
      <w:r>
        <w:rPr>
          <w:b/>
        </w:rPr>
        <w:t>Opis Przedmiotu Zamówienia - dostawa biblioteki taśmowej dla Powiatu Pińczowskiego 1 szt.</w:t>
      </w:r>
      <w:r>
        <w:rPr>
          <w:b/>
        </w:rPr>
        <w:t xml:space="preserve"> II</w:t>
      </w:r>
    </w:p>
    <w:p w14:paraId="5E101943" w14:textId="77777777" w:rsidR="002B044C" w:rsidRDefault="002B044C" w:rsidP="002B044C">
      <w:pPr>
        <w:spacing w:after="0" w:line="240" w:lineRule="auto"/>
        <w:jc w:val="center"/>
        <w:rPr>
          <w:b/>
        </w:rPr>
      </w:pPr>
    </w:p>
    <w:p w14:paraId="2AA5FB94" w14:textId="77777777" w:rsidR="002B044C" w:rsidRDefault="002B044C" w:rsidP="002B044C">
      <w:pPr>
        <w:spacing w:after="0" w:line="240" w:lineRule="auto"/>
        <w:jc w:val="center"/>
        <w:rPr>
          <w:b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3"/>
        <w:gridCol w:w="1672"/>
        <w:gridCol w:w="7127"/>
      </w:tblGrid>
      <w:tr w:rsidR="002B044C" w14:paraId="19F12B10" w14:textId="77777777" w:rsidTr="00A01DDC">
        <w:trPr>
          <w:trHeight w:val="485"/>
          <w:tblHeader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1273F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Lp.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B647D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Nazwa podzespołu / cechy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B0FFD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Wymagane parametry i funkcjonalności </w:t>
            </w:r>
          </w:p>
        </w:tc>
      </w:tr>
      <w:tr w:rsidR="002B044C" w14:paraId="10F05035" w14:textId="77777777" w:rsidTr="00A01DDC">
        <w:trPr>
          <w:trHeight w:val="47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DC999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FBC2AF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Obudowa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86DB7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Urządzenie musi posiadać konstrukcję modułową o zajętości maksymalnie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3U</w:t>
            </w:r>
            <w:r>
              <w:rPr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w przestrzeni instalacyjnej szafy przemysłowej standardu 19” dla każdego modułu. </w:t>
            </w:r>
          </w:p>
          <w:p w14:paraId="094603E3" w14:textId="77777777" w:rsidR="002B044C" w:rsidRDefault="002B044C" w:rsidP="00A01DDC">
            <w:pPr>
              <w:pStyle w:val="Default"/>
              <w:spacing w:line="276" w:lineRule="auto"/>
              <w:ind w:left="7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Moduły muszą posiadać kompletny zestaw akcesoriów (szyny montażowe, mocowania szyn montażowych) pozwalających na ich instalację w standardowej szafie przemysłowej RACK.</w:t>
            </w:r>
          </w:p>
          <w:p w14:paraId="5E0FDF59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Każdy moduł rozwiązania musi posiadać redundancje układów zasilania.</w:t>
            </w:r>
          </w:p>
          <w:p w14:paraId="21F848E7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Moduł biblioteki musi pozwalać na instalację minimum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3 napędów </w:t>
            </w:r>
            <w:r>
              <w:rPr>
                <w:sz w:val="20"/>
                <w:szCs w:val="20"/>
                <w:lang w:eastAsia="en-US"/>
              </w:rPr>
              <w:t xml:space="preserve">taśmowych standardu LTO oraz 40 nośników taśmowych LTO </w:t>
            </w:r>
          </w:p>
          <w:p w14:paraId="4D118B27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Biblioteka musi pozwalać na rozbudowę o kolejne moduły dla obsługi łącznie min.: </w:t>
            </w:r>
          </w:p>
          <w:p w14:paraId="35142AB7" w14:textId="77777777" w:rsidR="002B044C" w:rsidRDefault="002B044C" w:rsidP="00A01DDC">
            <w:pPr>
              <w:pStyle w:val="Default"/>
              <w:spacing w:line="276" w:lineRule="auto"/>
              <w:ind w:left="720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Liczba obsługiwanych napędów – 40</w:t>
            </w:r>
          </w:p>
          <w:p w14:paraId="61B77643" w14:textId="77777777" w:rsidR="002B044C" w:rsidRDefault="002B044C" w:rsidP="00A01DDC">
            <w:pPr>
              <w:pStyle w:val="Default"/>
              <w:spacing w:line="276" w:lineRule="auto"/>
              <w:ind w:left="720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Liczba obsługiwanych slotów – 530</w:t>
            </w:r>
          </w:p>
          <w:p w14:paraId="5640C2A1" w14:textId="77777777" w:rsidR="002B044C" w:rsidRDefault="002B044C" w:rsidP="00A01DDC">
            <w:pPr>
              <w:pStyle w:val="Default"/>
              <w:spacing w:line="276" w:lineRule="auto"/>
              <w:ind w:left="7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slotów Import/Export - 2</w:t>
            </w:r>
          </w:p>
          <w:p w14:paraId="0D776F9C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Moduł główny biblioteki musi posiadać panel operatora wyposażony w wyświetlacz LCD pozwalający na:</w:t>
            </w:r>
          </w:p>
          <w:p w14:paraId="3A017456" w14:textId="77777777" w:rsidR="002B044C" w:rsidRDefault="002B044C" w:rsidP="00A01DDC">
            <w:pPr>
              <w:pStyle w:val="Default"/>
              <w:spacing w:line="276" w:lineRule="auto"/>
              <w:ind w:left="957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- wyświetlenie następujących informacji:</w:t>
            </w:r>
          </w:p>
          <w:p w14:paraId="64D8D7B7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Dokładna data i czas na urządzeniu</w:t>
            </w:r>
          </w:p>
          <w:p w14:paraId="6DD86477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Adres IP urządzenia</w:t>
            </w:r>
          </w:p>
          <w:p w14:paraId="21931308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Adres MAC urządzenia</w:t>
            </w:r>
          </w:p>
          <w:p w14:paraId="224DDFAB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Numer seryjny urządzenia</w:t>
            </w:r>
          </w:p>
          <w:p w14:paraId="208A5AB8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Numer seryjny zainstalowanego napędu</w:t>
            </w:r>
          </w:p>
          <w:p w14:paraId="76C71623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 xml:space="preserve">Wersja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firmware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zainstalowanego napędu</w:t>
            </w:r>
          </w:p>
          <w:p w14:paraId="4EA93FFD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Log błędów urządzenia</w:t>
            </w:r>
          </w:p>
          <w:p w14:paraId="4E08AFBD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Ustawienia sieci IPv4 oraz IPv6</w:t>
            </w:r>
          </w:p>
          <w:p w14:paraId="3E4AD5E7" w14:textId="77777777" w:rsidR="002B044C" w:rsidRDefault="002B044C" w:rsidP="00A01DDC">
            <w:pPr>
              <w:pStyle w:val="Default"/>
              <w:spacing w:line="276" w:lineRule="auto"/>
              <w:ind w:left="957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- możliwość wydawania komend:</w:t>
            </w:r>
          </w:p>
          <w:p w14:paraId="57FCDC81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Otwórz „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Mailslot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>”</w:t>
            </w:r>
          </w:p>
          <w:p w14:paraId="1AA415AF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Odblokuj magazynek</w:t>
            </w:r>
          </w:p>
          <w:p w14:paraId="23E0A5BB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Przenieś nośnik</w:t>
            </w:r>
          </w:p>
          <w:p w14:paraId="7C42B186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Ponowna inwentaryzacja</w:t>
            </w:r>
          </w:p>
          <w:p w14:paraId="25A16388" w14:textId="77777777" w:rsidR="002B044C" w:rsidRDefault="002B044C" w:rsidP="00A01DDC">
            <w:pPr>
              <w:pStyle w:val="Default"/>
              <w:spacing w:line="276" w:lineRule="auto"/>
              <w:ind w:left="957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-możliwość konfiguracji:</w:t>
            </w:r>
          </w:p>
          <w:p w14:paraId="3B742A01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Zmiana daty i czasu na urządzeniu</w:t>
            </w:r>
          </w:p>
          <w:p w14:paraId="727C3AC8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Zmiana języka panelu zarządzania</w:t>
            </w:r>
          </w:p>
          <w:p w14:paraId="22E8035E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 xml:space="preserve">Ustawienie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autoczyszczenia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napędu</w:t>
            </w:r>
          </w:p>
          <w:p w14:paraId="39D5F89A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 xml:space="preserve">Ustawienie tzw.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MailSlot</w:t>
            </w:r>
            <w:proofErr w:type="spellEnd"/>
          </w:p>
          <w:p w14:paraId="60AF0269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Zmiana ustawień sieci: DHCP lub IP/Maska/Brama</w:t>
            </w:r>
          </w:p>
          <w:p w14:paraId="34FC6783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Przywrócenie ustawień domyślnych urządzenia</w:t>
            </w:r>
          </w:p>
          <w:p w14:paraId="521BDF9C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Zapisanie konfiguracji ustawień</w:t>
            </w:r>
          </w:p>
          <w:p w14:paraId="125E4768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Przywrócenie konfiguracji ustawień</w:t>
            </w:r>
          </w:p>
          <w:p w14:paraId="45E60B31" w14:textId="77777777" w:rsidR="002B044C" w:rsidRDefault="002B044C" w:rsidP="00A01DDC">
            <w:pPr>
              <w:pStyle w:val="Default"/>
              <w:spacing w:line="276" w:lineRule="auto"/>
              <w:ind w:left="957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-czynności serwisowe:</w:t>
            </w:r>
          </w:p>
          <w:p w14:paraId="2548294C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Sprawdzenie stanu biblioteki</w:t>
            </w:r>
          </w:p>
          <w:p w14:paraId="5C6521EC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Wykonanie testu biblioteki</w:t>
            </w:r>
          </w:p>
          <w:p w14:paraId="2ED3485B" w14:textId="77777777" w:rsidR="002B044C" w:rsidRDefault="002B044C" w:rsidP="00A01DDC">
            <w:pPr>
              <w:pStyle w:val="Default"/>
              <w:spacing w:line="276" w:lineRule="auto"/>
              <w:ind w:left="1377" w:hanging="137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●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Przeniesienie robota do podstawowego modułu biblioteki do swojej   </w:t>
            </w:r>
          </w:p>
          <w:p w14:paraId="7A8B9AEE" w14:textId="77777777" w:rsidR="002B044C" w:rsidRDefault="002B044C" w:rsidP="00A01DDC">
            <w:pPr>
              <w:pStyle w:val="Default"/>
              <w:spacing w:line="276" w:lineRule="auto"/>
              <w:ind w:left="1377" w:hanging="137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 xml:space="preserve">   pozycji parkowania</w:t>
            </w:r>
          </w:p>
          <w:p w14:paraId="58C38E6D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 xml:space="preserve">Wykonanie aktualizacji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firmware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biblioteki (z portu USB)</w:t>
            </w:r>
          </w:p>
          <w:p w14:paraId="613BD013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 xml:space="preserve">Wykonanie aktualizacji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firmware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napędu (z portu USB)</w:t>
            </w:r>
          </w:p>
          <w:p w14:paraId="4EAA58FF" w14:textId="77777777" w:rsidR="002B044C" w:rsidRDefault="002B044C" w:rsidP="00A01DDC">
            <w:pPr>
              <w:pStyle w:val="Default"/>
              <w:spacing w:line="276" w:lineRule="auto"/>
              <w:ind w:left="1240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ab/>
              <w:t>Restart biblioteki</w:t>
            </w:r>
          </w:p>
          <w:p w14:paraId="7824FE48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Panel operatora musi posiadać możliwość blokady operacji konfiguracyjnych poprzez zabezpieczenie hasłem lub kodem PIN.</w:t>
            </w:r>
          </w:p>
          <w:p w14:paraId="3E3C1395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Każdy moduł biblioteki musi posiadać możliwość wymiany lub uzupełniania nośników taśmowych bez przerywania pracy napędów taśmowych tzw. </w:t>
            </w:r>
            <w:proofErr w:type="spellStart"/>
            <w:r>
              <w:rPr>
                <w:sz w:val="20"/>
                <w:szCs w:val="20"/>
                <w:lang w:eastAsia="en-US"/>
              </w:rPr>
              <w:t>Mailslot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21C805AF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Biblioteka musi być wyposażona w minimum jeden interfejs Ethernet RJ-45 obsługujący prędkości transmisji 10/100/1000Mb/s dla zdalnego zarządzania biblioteką oraz w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interfejsy USB wyprowadzone na front i tył obudowy głównego modułu biblioteki dla zapisu i wgrywania parametrów konfiguracyjnych i/lub wgrywania nowego oprogramowania wewnętrznego elementów biblioteki.</w:t>
            </w:r>
          </w:p>
          <w:p w14:paraId="118EDA27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B05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Biblioteka musi być wyposażona w czytnik kodów kreskowych pozwalający na automatyczną inwentaryzację zainstalowanych nośników taśmowych </w:t>
            </w:r>
            <w:r>
              <w:rPr>
                <w:sz w:val="20"/>
                <w:szCs w:val="20"/>
                <w:lang w:eastAsia="en-US"/>
              </w:rPr>
              <w:t>LTO posiadających etykiety z takim kodem,</w:t>
            </w:r>
          </w:p>
          <w:p w14:paraId="3053B9E6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Każdy moduł biblioteki musi pozwalać na mieszaną konfigurację obsługiwanych napędów LTO,</w:t>
            </w:r>
          </w:p>
          <w:p w14:paraId="170F7B15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Wymagane jest dostarczenie konfiguracji z min. </w:t>
            </w: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20 aktywnymi miejscami na nośniki LTO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47F195E4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Obsługa standardu LTFS</w:t>
            </w:r>
          </w:p>
          <w:p w14:paraId="1A102DB0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Zapis danych: 300 MB/s</w:t>
            </w:r>
          </w:p>
          <w:p w14:paraId="79B574F4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Odczyt danych: 750 MB/s</w:t>
            </w:r>
          </w:p>
          <w:p w14:paraId="4154A170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Rozmiar bufora: 1000 MB</w:t>
            </w:r>
          </w:p>
          <w:p w14:paraId="66C215A2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Zasilanie 200-240V</w:t>
            </w:r>
          </w:p>
          <w:p w14:paraId="3EC4E0C9" w14:textId="77777777" w:rsidR="002B044C" w:rsidRDefault="002B044C" w:rsidP="00A01DD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Warunki pracy: </w:t>
            </w:r>
          </w:p>
          <w:p w14:paraId="21F05F4E" w14:textId="77777777" w:rsidR="002B044C" w:rsidRDefault="002B044C" w:rsidP="00A01DDC">
            <w:pPr>
              <w:pStyle w:val="Default"/>
              <w:numPr>
                <w:ilvl w:val="1"/>
                <w:numId w:val="8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Temperatura: od 15°C do 25°C;</w:t>
            </w:r>
          </w:p>
          <w:p w14:paraId="1D84F679" w14:textId="77777777" w:rsidR="002B044C" w:rsidRDefault="002B044C" w:rsidP="00A01DDC">
            <w:pPr>
              <w:pStyle w:val="Default"/>
              <w:numPr>
                <w:ilvl w:val="1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Wilgotność: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od 20% do 50% (bez kondensacji)</w:t>
            </w:r>
          </w:p>
        </w:tc>
      </w:tr>
      <w:tr w:rsidR="002B044C" w14:paraId="45425BED" w14:textId="77777777" w:rsidTr="00A01DDC">
        <w:trPr>
          <w:trHeight w:val="27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C955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6CD5B80A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42B4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17C5E2F6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Napędy taśmowe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BC9A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3A70337E" w14:textId="77777777" w:rsidR="002B044C" w:rsidRDefault="002B044C" w:rsidP="00A01DD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Biblioteka musi jednocześnie obsługiwać napędy taśmowe LTO-7, LTO-8 i LTO-9.</w:t>
            </w:r>
          </w:p>
          <w:p w14:paraId="7D74308D" w14:textId="77777777" w:rsidR="002B044C" w:rsidRDefault="002B044C" w:rsidP="00A01DD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Biblioteka musi jednocześnie obsługiwać napędy LTO </w:t>
            </w:r>
            <w:proofErr w:type="spellStart"/>
            <w:r>
              <w:rPr>
                <w:sz w:val="20"/>
                <w:szCs w:val="20"/>
                <w:lang w:eastAsia="en-US"/>
              </w:rPr>
              <w:t>j.w</w:t>
            </w:r>
            <w:proofErr w:type="spellEnd"/>
            <w:r>
              <w:rPr>
                <w:sz w:val="20"/>
                <w:szCs w:val="20"/>
                <w:lang w:eastAsia="en-US"/>
              </w:rPr>
              <w:t>. wyposażone w interfejsy FC 8Gb/s  i SAS 6Gb/s</w:t>
            </w:r>
          </w:p>
          <w:p w14:paraId="6D7791DF" w14:textId="77777777" w:rsidR="002B044C" w:rsidRDefault="002B044C" w:rsidP="00A01DD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Każdy zainstalowany napęd taśmowy LTO musi obsługiwać jedną wcześniejszą generacje nośników LTO w zakresie operacji odczytu i zapisu danych. </w:t>
            </w:r>
          </w:p>
          <w:p w14:paraId="1F241392" w14:textId="77777777" w:rsidR="002B044C" w:rsidRDefault="002B044C" w:rsidP="00A01DD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Wymagane jest dostarczenie min</w:t>
            </w:r>
            <w:r>
              <w:rPr>
                <w:b/>
                <w:sz w:val="20"/>
                <w:szCs w:val="20"/>
                <w:lang w:eastAsia="en-US"/>
              </w:rPr>
              <w:t xml:space="preserve">. 1 napęd LTO-8 FC 8Gb. </w:t>
            </w:r>
            <w:r>
              <w:rPr>
                <w:bCs/>
                <w:sz w:val="20"/>
                <w:szCs w:val="20"/>
                <w:lang w:eastAsia="en-US"/>
              </w:rPr>
              <w:t>z obsługą nośników LTO RW oraz LTO WORM</w:t>
            </w:r>
          </w:p>
          <w:p w14:paraId="460F8FBF" w14:textId="77777777" w:rsidR="002B044C" w:rsidRDefault="002B044C" w:rsidP="00A01DD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Wraz z napędem, wymagane jest dostarczenie min</w:t>
            </w:r>
            <w:r>
              <w:rPr>
                <w:b/>
                <w:sz w:val="20"/>
                <w:szCs w:val="20"/>
                <w:lang w:eastAsia="en-US"/>
              </w:rPr>
              <w:t>. 2 nośników czyszczących.</w:t>
            </w:r>
          </w:p>
          <w:p w14:paraId="5E0A65B5" w14:textId="77777777" w:rsidR="002B044C" w:rsidRDefault="002B044C" w:rsidP="00A01DD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Wraz z urządzeniem wymagane jest dostarczenie 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min. </w:t>
            </w: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40</w:t>
            </w:r>
            <w:r>
              <w:rPr>
                <w:b/>
                <w:bCs/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n-US"/>
              </w:rPr>
              <w:t>nośników danych LTO-</w:t>
            </w: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8</w:t>
            </w:r>
            <w:r>
              <w:rPr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wraz z dedykowanymi kodami kreskowymi</w:t>
            </w:r>
          </w:p>
          <w:p w14:paraId="4FECA9FE" w14:textId="77777777" w:rsidR="002B044C" w:rsidRDefault="002B044C" w:rsidP="00A01DDC">
            <w:pPr>
              <w:pStyle w:val="Default"/>
              <w:spacing w:line="276" w:lineRule="auto"/>
              <w:ind w:left="720"/>
              <w:rPr>
                <w:sz w:val="20"/>
                <w:szCs w:val="20"/>
                <w:lang w:eastAsia="en-US"/>
              </w:rPr>
            </w:pPr>
          </w:p>
        </w:tc>
      </w:tr>
      <w:tr w:rsidR="002B044C" w14:paraId="5247A671" w14:textId="77777777" w:rsidTr="00A01DDC">
        <w:trPr>
          <w:trHeight w:val="41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6718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6BF8CEF2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01D7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70DB6C8B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Funkcjonalności oprogramowania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E00FBA" w14:textId="77777777" w:rsidR="002B044C" w:rsidRDefault="002B044C" w:rsidP="00A01DDC">
            <w:pPr>
              <w:pStyle w:val="Default"/>
              <w:tabs>
                <w:tab w:val="left" w:pos="1106"/>
              </w:tabs>
              <w:spacing w:line="276" w:lineRule="auto"/>
              <w:ind w:left="720"/>
              <w:rPr>
                <w:sz w:val="20"/>
                <w:szCs w:val="20"/>
                <w:lang w:eastAsia="en-US"/>
              </w:rPr>
            </w:pPr>
          </w:p>
          <w:p w14:paraId="2AC81688" w14:textId="77777777" w:rsidR="002B044C" w:rsidRDefault="002B044C" w:rsidP="00A01DDC">
            <w:pPr>
              <w:pStyle w:val="Default"/>
              <w:numPr>
                <w:ilvl w:val="0"/>
                <w:numId w:val="10"/>
              </w:numPr>
              <w:tabs>
                <w:tab w:val="left" w:pos="1106"/>
              </w:tabs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Biblioteka taśmowa musi opcjonalnie obsługiwać mechanizmy partycjonowania logicznego swoich zasobów z możliwością zdefiniowania do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minimum 21 </w:t>
            </w:r>
            <w:r>
              <w:rPr>
                <w:sz w:val="20"/>
                <w:szCs w:val="20"/>
                <w:lang w:eastAsia="en-US"/>
              </w:rPr>
              <w:t xml:space="preserve">partycji, rozwiązanie to musi bazować na programowym aktywowaniu tej funkcjonalności tj. bez konieczności zakupu dodatkowych elementów sprzętowych – w innym przypadku należy dostarczyć wraz z biblioteką wszystkie elementy sprzętowe niezbędne dla późniejszego aktywowania mechanizmów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partycjonowania logicznego. </w:t>
            </w:r>
          </w:p>
          <w:p w14:paraId="59152F94" w14:textId="77777777" w:rsidR="002B044C" w:rsidRDefault="002B044C" w:rsidP="00A01DDC">
            <w:pPr>
              <w:pStyle w:val="Default"/>
              <w:numPr>
                <w:ilvl w:val="0"/>
                <w:numId w:val="10"/>
              </w:numPr>
              <w:tabs>
                <w:tab w:val="left" w:pos="1106"/>
              </w:tabs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Biblioteka musi wspierać mechanizmy szyfrowania danych na nośnikach taśmowych LTO z poziomu aplikacji do wykonywania kopii zapasowych</w:t>
            </w:r>
          </w:p>
          <w:p w14:paraId="1CCF283E" w14:textId="77777777" w:rsidR="002B044C" w:rsidRDefault="002B044C" w:rsidP="00A01DDC">
            <w:pPr>
              <w:pStyle w:val="Default"/>
              <w:numPr>
                <w:ilvl w:val="0"/>
                <w:numId w:val="10"/>
              </w:numPr>
              <w:tabs>
                <w:tab w:val="left" w:pos="1106"/>
              </w:tabs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Biblioteka opcjonalnie musi wspierać protokół KMIP (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Key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Management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Interoperability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Protocol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) dla bezpiecznego przesyłania kluczy szyfrujących poprzez sieć LAN, </w:t>
            </w:r>
          </w:p>
        </w:tc>
      </w:tr>
      <w:tr w:rsidR="002B044C" w14:paraId="21ABA71D" w14:textId="77777777" w:rsidTr="00A01DDC">
        <w:trPr>
          <w:trHeight w:val="34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927AD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03DD88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Zarządzanie 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8166" w14:textId="77777777" w:rsidR="002B044C" w:rsidRDefault="002B044C" w:rsidP="00A01DDC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Biblioteka musi pozwalać na wykonywanie operacji administratorskich zdalnie poprzez sieć LAN w trybie Web-GUI z poziomu standardowej przeglądarki WWW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14:paraId="09AEFB7A" w14:textId="77777777" w:rsidR="002B044C" w:rsidRDefault="002B044C" w:rsidP="00A01DDC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Biblioteka musi obsługiwać komunikacje z szyfrowaniem transmisji protokołem SSL.</w:t>
            </w:r>
          </w:p>
          <w:p w14:paraId="18F22D7F" w14:textId="77777777" w:rsidR="002B044C" w:rsidRDefault="002B044C" w:rsidP="00A01DDC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Biblioteka musi obsługiwać protokół SNMP v.1/2/3 oraz adresację zgodną ze standardem  IPv.4 i IPv.6 dla modułu zdalnego zarządzania.</w:t>
            </w:r>
          </w:p>
          <w:p w14:paraId="1DC82121" w14:textId="77777777" w:rsidR="002B044C" w:rsidRDefault="002B044C" w:rsidP="00A01DDC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Biblioteka musi obsługiwać tryb automatycznego powiadamiania o błędach i zdarzeniach krytycznych poprzez wysyłanie wiadomości e-mail oraz poprzez wysyłanie komunikatów SNMP do uprawnionej stacji administratora obsługującej zarządzanie na platformie SNMP. </w:t>
            </w:r>
          </w:p>
        </w:tc>
      </w:tr>
      <w:tr w:rsidR="002B044C" w14:paraId="0C731B67" w14:textId="77777777" w:rsidTr="00A01DDC">
        <w:trPr>
          <w:trHeight w:val="34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6B8E2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5F9C87" w14:textId="77777777" w:rsidR="002B044C" w:rsidRDefault="002B044C" w:rsidP="00A01DDC">
            <w:pPr>
              <w:spacing w:after="160"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Spełniane normy i standardy</w:t>
            </w:r>
          </w:p>
          <w:p w14:paraId="5E04CC7F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FBBA" w14:textId="77777777" w:rsidR="002B044C" w:rsidRDefault="002B044C" w:rsidP="00A01DDC">
            <w:pPr>
              <w:pStyle w:val="Default"/>
              <w:numPr>
                <w:ilvl w:val="0"/>
                <w:numId w:val="12"/>
              </w:numPr>
              <w:spacing w:line="276" w:lineRule="auto"/>
              <w:ind w:left="673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EN 62368-1, IEC 62368-1, IEC 60950-1</w:t>
            </w:r>
          </w:p>
          <w:p w14:paraId="4136F55F" w14:textId="77777777" w:rsidR="002B044C" w:rsidRDefault="002B044C" w:rsidP="00A01DDC">
            <w:pPr>
              <w:pStyle w:val="Default"/>
              <w:numPr>
                <w:ilvl w:val="0"/>
                <w:numId w:val="12"/>
              </w:numPr>
              <w:spacing w:line="276" w:lineRule="auto"/>
              <w:ind w:left="673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color w:val="000000" w:themeColor="text1"/>
                <w:sz w:val="20"/>
                <w:szCs w:val="20"/>
                <w:lang w:val="en-US" w:eastAsia="en-US"/>
              </w:rPr>
              <w:t>EN 61000-3-3, EN 61000-3-2, ICES 003 Class A, FCC Part-15 Class A, VCCI Class A</w:t>
            </w:r>
          </w:p>
          <w:p w14:paraId="74701F71" w14:textId="77777777" w:rsidR="002B044C" w:rsidRDefault="002B044C" w:rsidP="00A01DDC">
            <w:pPr>
              <w:pStyle w:val="Default"/>
              <w:numPr>
                <w:ilvl w:val="0"/>
                <w:numId w:val="12"/>
              </w:numPr>
              <w:spacing w:line="276" w:lineRule="auto"/>
              <w:ind w:left="673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RoHS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en-US"/>
              </w:rPr>
              <w:t>Weee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en-US"/>
              </w:rPr>
              <w:t>, CE</w:t>
            </w:r>
          </w:p>
        </w:tc>
      </w:tr>
      <w:tr w:rsidR="002B044C" w14:paraId="5BF4888D" w14:textId="77777777" w:rsidTr="00A01DDC">
        <w:trPr>
          <w:trHeight w:val="112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F00E1" w14:textId="77777777" w:rsidR="002B044C" w:rsidRDefault="002B044C" w:rsidP="00A01DDC">
            <w:pPr>
              <w:pStyle w:val="Default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7.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019600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Gwarancja, rękojmia i serwis 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44CE" w14:textId="77777777" w:rsidR="002B044C" w:rsidRDefault="002B044C" w:rsidP="00A01DDC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24 miesięczny okres gwarancji rękojmi</w:t>
            </w:r>
          </w:p>
          <w:p w14:paraId="453085A0" w14:textId="77777777" w:rsidR="002B044C" w:rsidRDefault="002B044C" w:rsidP="00A01DDC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Realizowana w miejscu instalacji sprzętu, gwarantowane skuteczne zakończenie naprawy sprzętu do końca następnego dnia roboczego od zgłoszenia.</w:t>
            </w:r>
          </w:p>
          <w:p w14:paraId="71832F74" w14:textId="77777777" w:rsidR="002B044C" w:rsidRDefault="002B044C" w:rsidP="00A01DDC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Firma serwisująca musi posiadać ISO 9001:2000 na świadczenie usług serwisowych oraz posiadać autoryzacje producenta  – dokumenty potwierdzające załączyć do oferty.</w:t>
            </w:r>
          </w:p>
          <w:p w14:paraId="50C0574C" w14:textId="77777777" w:rsidR="002B044C" w:rsidRDefault="002B044C" w:rsidP="00A01DDC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Wraz z biblioteką należy zapewnić subskrypcję na bezpłatną aktualizację (możliwość bezpłatnego pobrania ze stron internetowych producenta) oprogramowania wewnętrznego biblioteki (tzw. </w:t>
            </w:r>
            <w:proofErr w:type="spellStart"/>
            <w:r>
              <w:rPr>
                <w:bCs/>
                <w:color w:val="000000"/>
                <w:sz w:val="20"/>
                <w:szCs w:val="20"/>
                <w:lang w:eastAsia="en-US"/>
              </w:rPr>
              <w:t>firmware</w:t>
            </w:r>
            <w:proofErr w:type="spellEnd"/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) w całym okresie obowiązywania gwarancji.    </w:t>
            </w:r>
          </w:p>
          <w:p w14:paraId="7DE1D6A6" w14:textId="77777777" w:rsidR="002B044C" w:rsidRDefault="002B044C" w:rsidP="00A01DDC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Urządzenie  musi reprezentować model z bieżącej linii produkcyjnej. Nie dopuszcza się użycia elementów i podzespołów biblioteki oferowanych jako </w:t>
            </w:r>
            <w:proofErr w:type="spellStart"/>
            <w:r>
              <w:rPr>
                <w:sz w:val="20"/>
                <w:szCs w:val="20"/>
                <w:lang w:eastAsia="en-US"/>
              </w:rPr>
              <w:t>refabrykowane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podemonstracyjne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lub powystawowe.  </w:t>
            </w:r>
          </w:p>
        </w:tc>
      </w:tr>
      <w:tr w:rsidR="002B044C" w14:paraId="0223E1EA" w14:textId="77777777" w:rsidTr="00A01DDC">
        <w:trPr>
          <w:trHeight w:val="112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778F1" w14:textId="77777777" w:rsidR="002B044C" w:rsidRDefault="002B044C" w:rsidP="00A01DDC">
            <w:pPr>
              <w:pStyle w:val="Default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5788B9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Rozbudowa systemu backupu</w:t>
            </w:r>
          </w:p>
          <w:p w14:paraId="1124EC83" w14:textId="77777777" w:rsidR="002B044C" w:rsidRDefault="002B044C" w:rsidP="00A01DDC">
            <w:pPr>
              <w:pStyle w:val="Default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2261F" w14:textId="77777777" w:rsidR="002B044C" w:rsidRDefault="002B044C" w:rsidP="00A01DDC">
            <w:pPr>
              <w:pStyle w:val="Default"/>
              <w:numPr>
                <w:ilvl w:val="0"/>
                <w:numId w:val="14"/>
              </w:numPr>
              <w:spacing w:line="276" w:lineRule="auto"/>
              <w:ind w:left="67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Rozbudowa posiadanego serwera backupu </w:t>
            </w:r>
            <w:proofErr w:type="spellStart"/>
            <w:r>
              <w:rPr>
                <w:sz w:val="20"/>
                <w:szCs w:val="20"/>
                <w:lang w:eastAsia="en-US"/>
              </w:rPr>
              <w:t>Primergy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RX1330M4 o numerze seryjnym YMHV001959 o kartę </w:t>
            </w:r>
            <w:proofErr w:type="spellStart"/>
            <w:r>
              <w:rPr>
                <w:sz w:val="20"/>
                <w:szCs w:val="20"/>
                <w:lang w:eastAsia="en-US"/>
              </w:rPr>
              <w:t>FibreChannel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dedykowaną do podłączenia oferowanej biblioteki taśmowej wraz z kablem sygnałowym o długości w zakresie 1-3m</w:t>
            </w:r>
          </w:p>
          <w:p w14:paraId="11CD4683" w14:textId="77777777" w:rsidR="002B044C" w:rsidRDefault="002B044C" w:rsidP="00A01DDC">
            <w:pPr>
              <w:pStyle w:val="Default"/>
              <w:numPr>
                <w:ilvl w:val="0"/>
                <w:numId w:val="14"/>
              </w:numPr>
              <w:spacing w:line="276" w:lineRule="auto"/>
              <w:ind w:left="67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Przedłużenie gwarancji ww. serwera na okres 3 lat, realizowanej w miejscu instalacji sprzętu, gwarantowane skuteczne zakończenie naprawy sprzętu do końca następnego dnia roboczego od zgłoszenia liczone od daty dostawy biblioteki, tak aby cały system do wykonywania kopii zapasowych (serwer + biblioteka) objęty był  jednorodnym SLA</w:t>
            </w:r>
          </w:p>
          <w:p w14:paraId="0B16BB80" w14:textId="77777777" w:rsidR="002B044C" w:rsidRDefault="002B044C" w:rsidP="00A01DDC">
            <w:pPr>
              <w:pStyle w:val="Default"/>
              <w:numPr>
                <w:ilvl w:val="0"/>
                <w:numId w:val="14"/>
              </w:numPr>
              <w:spacing w:line="276" w:lineRule="auto"/>
              <w:ind w:left="67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Oferowana karta musi przejąć SLA serwera w którym zostanie zainstalowana. Karta musi być produktem producenta serwera lub być przez niego certyfikowaną.</w:t>
            </w:r>
          </w:p>
        </w:tc>
      </w:tr>
    </w:tbl>
    <w:p w14:paraId="359E7B44" w14:textId="77777777" w:rsidR="002B044C" w:rsidRDefault="002B044C" w:rsidP="002B044C">
      <w:pPr>
        <w:pStyle w:val="Default"/>
      </w:pPr>
    </w:p>
    <w:p w14:paraId="1BEBAE75" w14:textId="77777777" w:rsidR="002B044C" w:rsidRDefault="002B044C" w:rsidP="002B044C">
      <w:pPr>
        <w:rPr>
          <w:b/>
          <w:bCs/>
        </w:rPr>
      </w:pPr>
    </w:p>
    <w:p w14:paraId="3B908550" w14:textId="77777777" w:rsidR="002B044C" w:rsidRPr="001434DD" w:rsidRDefault="002B044C" w:rsidP="002B044C"/>
    <w:p w14:paraId="5B284DED" w14:textId="77777777" w:rsidR="004268D7" w:rsidRPr="002B044C" w:rsidRDefault="004268D7" w:rsidP="002B044C"/>
    <w:sectPr w:rsidR="004268D7" w:rsidRPr="002B04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852E5" w14:textId="77777777" w:rsidR="00BE0DC9" w:rsidRDefault="00BE0DC9" w:rsidP="00070666">
      <w:pPr>
        <w:spacing w:after="0" w:line="240" w:lineRule="auto"/>
      </w:pPr>
      <w:r>
        <w:separator/>
      </w:r>
    </w:p>
  </w:endnote>
  <w:endnote w:type="continuationSeparator" w:id="0">
    <w:p w14:paraId="0399CC91" w14:textId="77777777" w:rsidR="00BE0DC9" w:rsidRDefault="00BE0DC9" w:rsidP="0007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539A0" w14:textId="77777777" w:rsidR="00070666" w:rsidRDefault="00070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2AC38" w14:textId="77777777" w:rsidR="00070666" w:rsidRDefault="00070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7898B" w14:textId="77777777" w:rsidR="00070666" w:rsidRDefault="00070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0772E" w14:textId="77777777" w:rsidR="00BE0DC9" w:rsidRDefault="00BE0DC9" w:rsidP="00070666">
      <w:pPr>
        <w:spacing w:after="0" w:line="240" w:lineRule="auto"/>
      </w:pPr>
      <w:r>
        <w:separator/>
      </w:r>
    </w:p>
  </w:footnote>
  <w:footnote w:type="continuationSeparator" w:id="0">
    <w:p w14:paraId="5DFA768C" w14:textId="77777777" w:rsidR="00BE0DC9" w:rsidRDefault="00BE0DC9" w:rsidP="00070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D6BAA" w14:textId="77777777" w:rsidR="00070666" w:rsidRDefault="000706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AC70D" w14:textId="77777777" w:rsidR="00070666" w:rsidRDefault="00070666">
    <w:pPr>
      <w:pStyle w:val="Nagwek"/>
    </w:pPr>
    <w:r>
      <w:rPr>
        <w:noProof/>
        <w:lang w:eastAsia="pl-PL"/>
      </w:rPr>
      <w:drawing>
        <wp:inline distT="0" distB="0" distL="0" distR="0" wp14:anchorId="38835D1A" wp14:editId="229778ED">
          <wp:extent cx="576072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934426" w14:textId="77777777" w:rsidR="00070666" w:rsidRDefault="00070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C7707" w14:textId="77777777" w:rsidR="00070666" w:rsidRDefault="00070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E1333"/>
    <w:multiLevelType w:val="hybridMultilevel"/>
    <w:tmpl w:val="2154E3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F900838"/>
    <w:multiLevelType w:val="hybridMultilevel"/>
    <w:tmpl w:val="0A6C42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C02824"/>
    <w:multiLevelType w:val="hybridMultilevel"/>
    <w:tmpl w:val="6EC60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63F79"/>
    <w:multiLevelType w:val="hybridMultilevel"/>
    <w:tmpl w:val="7D3AAAD6"/>
    <w:lvl w:ilvl="0" w:tplc="81FE928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C4B8E"/>
    <w:multiLevelType w:val="hybridMultilevel"/>
    <w:tmpl w:val="6186C142"/>
    <w:lvl w:ilvl="0" w:tplc="97C4D3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37489"/>
    <w:multiLevelType w:val="hybridMultilevel"/>
    <w:tmpl w:val="FEB62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75271"/>
    <w:multiLevelType w:val="hybridMultilevel"/>
    <w:tmpl w:val="21FC0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711435">
    <w:abstractNumId w:val="4"/>
  </w:num>
  <w:num w:numId="2" w16cid:durableId="1194344439">
    <w:abstractNumId w:val="5"/>
  </w:num>
  <w:num w:numId="3" w16cid:durableId="1166700417">
    <w:abstractNumId w:val="3"/>
  </w:num>
  <w:num w:numId="4" w16cid:durableId="274748384">
    <w:abstractNumId w:val="2"/>
  </w:num>
  <w:num w:numId="5" w16cid:durableId="1888375797">
    <w:abstractNumId w:val="6"/>
  </w:num>
  <w:num w:numId="6" w16cid:durableId="1353800994">
    <w:abstractNumId w:val="0"/>
  </w:num>
  <w:num w:numId="7" w16cid:durableId="1031302019">
    <w:abstractNumId w:val="1"/>
  </w:num>
  <w:num w:numId="8" w16cid:durableId="1372804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0009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2801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2712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981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87771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61307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C3"/>
    <w:rsid w:val="00044237"/>
    <w:rsid w:val="00070666"/>
    <w:rsid w:val="0010359E"/>
    <w:rsid w:val="002B044C"/>
    <w:rsid w:val="00314C53"/>
    <w:rsid w:val="00383C6F"/>
    <w:rsid w:val="004268D7"/>
    <w:rsid w:val="00434CDF"/>
    <w:rsid w:val="004F0CDB"/>
    <w:rsid w:val="00576BBC"/>
    <w:rsid w:val="005C6887"/>
    <w:rsid w:val="00896304"/>
    <w:rsid w:val="00937EC3"/>
    <w:rsid w:val="00A54BD4"/>
    <w:rsid w:val="00A55F20"/>
    <w:rsid w:val="00B06966"/>
    <w:rsid w:val="00BE0DC9"/>
    <w:rsid w:val="00E53A17"/>
    <w:rsid w:val="00F0515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0A79B"/>
  <w15:docId w15:val="{BC1350B9-8ECC-42AE-812A-777AC6CD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268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268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0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666"/>
  </w:style>
  <w:style w:type="paragraph" w:styleId="Stopka">
    <w:name w:val="footer"/>
    <w:basedOn w:val="Normalny"/>
    <w:link w:val="StopkaZnak"/>
    <w:uiPriority w:val="99"/>
    <w:unhideWhenUsed/>
    <w:rsid w:val="00070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666"/>
  </w:style>
  <w:style w:type="paragraph" w:styleId="Tekstdymka">
    <w:name w:val="Balloon Text"/>
    <w:basedOn w:val="Normalny"/>
    <w:link w:val="TekstdymkaZnak"/>
    <w:uiPriority w:val="99"/>
    <w:semiHidden/>
    <w:unhideWhenUsed/>
    <w:rsid w:val="00070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3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CEB79-F7CE-4D43-8577-F3313E04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1015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Rasała</dc:creator>
  <cp:lastModifiedBy>Paulina Mucha</cp:lastModifiedBy>
  <cp:revision>5</cp:revision>
  <cp:lastPrinted>2024-10-17T10:53:00Z</cp:lastPrinted>
  <dcterms:created xsi:type="dcterms:W3CDTF">2024-10-14T08:04:00Z</dcterms:created>
  <dcterms:modified xsi:type="dcterms:W3CDTF">2024-11-04T08:48:00Z</dcterms:modified>
</cp:coreProperties>
</file>