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CFB" w:rsidRDefault="00AA4CFB" w:rsidP="00AA4CFB">
      <w:pPr>
        <w:pStyle w:val="Nagwek2"/>
        <w:numPr>
          <w:ilvl w:val="0"/>
          <w:numId w:val="0"/>
        </w:numPr>
        <w:spacing w:before="360" w:line="360" w:lineRule="auto"/>
        <w:ind w:left="567"/>
        <w:rPr>
          <w:rFonts w:ascii="Times New Roman" w:hAnsi="Times New Roman"/>
          <w:b/>
          <w:sz w:val="24"/>
          <w:szCs w:val="24"/>
        </w:rPr>
      </w:pPr>
      <w:bookmarkStart w:id="0" w:name="_Toc32146645"/>
      <w:bookmarkStart w:id="1" w:name="_Toc42688319"/>
      <w:bookmarkStart w:id="2" w:name="_Toc74835709"/>
      <w:bookmarkStart w:id="3" w:name="_Toc75881205"/>
      <w:bookmarkStart w:id="4" w:name="_Toc134532019"/>
      <w:bookmarkStart w:id="5" w:name="_Toc141630527"/>
      <w:bookmarkStart w:id="6" w:name="_Toc170046780"/>
      <w:bookmarkStart w:id="7" w:name="_Toc176340324"/>
      <w:r w:rsidRPr="00AA4CFB">
        <w:rPr>
          <w:rFonts w:ascii="Times New Roman" w:hAnsi="Times New Roman"/>
          <w:b/>
          <w:sz w:val="24"/>
          <w:szCs w:val="24"/>
        </w:rPr>
        <w:t>Opisy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3501B" w:rsidRPr="0043501B" w:rsidRDefault="0043501B" w:rsidP="0043501B">
      <w:r>
        <w:t>CENTRALA FLEXES CONTROL</w:t>
      </w:r>
    </w:p>
    <w:p w:rsidR="005C05DD" w:rsidRPr="00AA4CFB" w:rsidRDefault="005C05DD" w:rsidP="00AA4CFB">
      <w:pPr>
        <w:spacing w:line="360" w:lineRule="auto"/>
        <w:ind w:firstLine="284"/>
        <w:jc w:val="both"/>
      </w:pPr>
    </w:p>
    <w:p w:rsidR="000167DE" w:rsidRPr="00AA4CFB" w:rsidRDefault="000167DE" w:rsidP="00AA4CFB">
      <w:pPr>
        <w:spacing w:line="360" w:lineRule="auto"/>
        <w:ind w:firstLine="284"/>
        <w:jc w:val="both"/>
      </w:pPr>
      <w:r w:rsidRPr="00AA4CFB">
        <w:t xml:space="preserve">Centrala </w:t>
      </w:r>
      <w:proofErr w:type="spellStart"/>
      <w:r w:rsidR="005B04C8" w:rsidRPr="00AA4CFB">
        <w:rPr>
          <w:b/>
        </w:rPr>
        <w:t>FlexES</w:t>
      </w:r>
      <w:proofErr w:type="spellEnd"/>
      <w:r w:rsidR="005B04C8" w:rsidRPr="00AA4CFB">
        <w:rPr>
          <w:b/>
        </w:rPr>
        <w:t xml:space="preserve"> </w:t>
      </w:r>
      <w:proofErr w:type="spellStart"/>
      <w:r w:rsidR="005B04C8" w:rsidRPr="00AA4CFB">
        <w:rPr>
          <w:b/>
        </w:rPr>
        <w:t>Control</w:t>
      </w:r>
      <w:proofErr w:type="spellEnd"/>
      <w:r w:rsidR="005B04C8" w:rsidRPr="00AA4CFB">
        <w:t xml:space="preserve"> </w:t>
      </w:r>
      <w:r w:rsidRPr="00AA4CFB">
        <w:t xml:space="preserve">zbudowana jest z następujących modułów: kontrolera, sieci, pętli, kart rozszerzeń, zasilacza z baterią akumulatorów. Dzięki uniwersalnej płycie montażowej moduły można instalować w centrali w różnych układach. Technika </w:t>
      </w:r>
      <w:proofErr w:type="spellStart"/>
      <w:r w:rsidRPr="00AA4CFB">
        <w:t>Mix&amp;Match</w:t>
      </w:r>
      <w:proofErr w:type="spellEnd"/>
      <w:r w:rsidRPr="00AA4CFB">
        <w:t xml:space="preserve"> pozwala na umieszczenie w kartach rozszerzeń modułów pętli i sieci w dowolnym układzie i rozmieszczeniu, dodatkowo zwiększając elastyczność konfiguracji. Technika </w:t>
      </w:r>
      <w:proofErr w:type="spellStart"/>
      <w:r w:rsidRPr="00AA4CFB">
        <w:t>Hot-Swap</w:t>
      </w:r>
      <w:proofErr w:type="spellEnd"/>
      <w:r w:rsidRPr="00AA4CFB">
        <w:t xml:space="preserve"> i </w:t>
      </w:r>
      <w:proofErr w:type="spellStart"/>
      <w:r w:rsidRPr="00AA4CFB">
        <w:t>Plug&amp;Play</w:t>
      </w:r>
      <w:proofErr w:type="spellEnd"/>
      <w:r w:rsidRPr="00AA4CFB">
        <w:t xml:space="preserve"> pozwala na montaż i demonta</w:t>
      </w:r>
      <w:r w:rsidR="005B04C8" w:rsidRPr="00AA4CFB">
        <w:t>ż modułu kontrolera, pętli</w:t>
      </w:r>
      <w:r w:rsidRPr="00AA4CFB">
        <w:t xml:space="preserve"> bez wyłączania zasilania centrali. Dzięki temu rozbudowa centrali lub wymiana uszkodzonego modułu może odbywać się przy w pełni działającej centrali, bez wyłączania dozoru w chronionym obiekcie. Implementacja </w:t>
      </w:r>
      <w:proofErr w:type="spellStart"/>
      <w:r w:rsidRPr="00AA4CFB">
        <w:t>Hot-Swap</w:t>
      </w:r>
      <w:proofErr w:type="spellEnd"/>
      <w:r w:rsidRPr="00AA4CFB">
        <w:t xml:space="preserve"> zdecydowanie zmniejsza też ryzyko przypadkowego uszkodzenia centrali przez instalatora, podnosząc niezawodność systemu. Moduły centrali wykonane są w postaci kompaktowych podzespołów całkowicie zamkniętych w izolującej obudowie, eliminując ryzyko przypadkowego uszkodzenia od ładunków elektrostatycznych lub przypadkowego zetknięcia z obwodami pod napięciem. Instalacja modułów w uniwersalnych złączach na kartach rozszerzeń wykonywana jest </w:t>
      </w:r>
      <w:proofErr w:type="spellStart"/>
      <w:r w:rsidRPr="00AA4CFB">
        <w:t>beznarzędziowo</w:t>
      </w:r>
      <w:proofErr w:type="spellEnd"/>
      <w:r w:rsidRPr="00AA4CFB">
        <w:t xml:space="preserve"> – łatwo i szybko, a montaż i złożenie całej centrali zajmuje kilka minut.</w:t>
      </w:r>
    </w:p>
    <w:p w:rsidR="000167DE" w:rsidRPr="00AA4CFB" w:rsidRDefault="000167DE" w:rsidP="00AA4CFB">
      <w:pPr>
        <w:spacing w:line="360" w:lineRule="auto"/>
        <w:jc w:val="both"/>
      </w:pPr>
      <w:r w:rsidRPr="00AA4CFB">
        <w:t>Moduł kontrolera to podstawowy element centrali zawierający główny procesor CPU, pamięć systemową (</w:t>
      </w:r>
      <w:proofErr w:type="spellStart"/>
      <w:r w:rsidRPr="00AA4CFB">
        <w:t>firmware</w:t>
      </w:r>
      <w:proofErr w:type="spellEnd"/>
      <w:r w:rsidRPr="00AA4CFB">
        <w:t xml:space="preserve">), pamięć konfiguracji i pamięć zdarzeń centrali (10000 zdarzeń). Moduł kontrolera w każdej centrali </w:t>
      </w:r>
      <w:proofErr w:type="spellStart"/>
      <w:r w:rsidRPr="00AA4CFB">
        <w:t>FlexES</w:t>
      </w:r>
      <w:proofErr w:type="spellEnd"/>
      <w:r w:rsidRPr="00AA4CFB">
        <w:t xml:space="preserve"> </w:t>
      </w:r>
      <w:proofErr w:type="spellStart"/>
      <w:r w:rsidRPr="00AA4CFB">
        <w:t>Control</w:t>
      </w:r>
      <w:proofErr w:type="spellEnd"/>
      <w:r w:rsidRPr="00AA4CFB">
        <w:t xml:space="preserve"> udostępnia również szereg interfejsów i wyjść przekaźnikowych. Dostępne są 3 niezależne porty transmisji szer</w:t>
      </w:r>
      <w:r w:rsidR="004433B2" w:rsidRPr="00AA4CFB">
        <w:t xml:space="preserve">egowej TTY lub RS485, za </w:t>
      </w:r>
      <w:proofErr w:type="gramStart"/>
      <w:r w:rsidR="004433B2" w:rsidRPr="00AA4CFB">
        <w:t xml:space="preserve">pomocą </w:t>
      </w:r>
      <w:r w:rsidRPr="00AA4CFB">
        <w:t>których</w:t>
      </w:r>
      <w:proofErr w:type="gramEnd"/>
      <w:r w:rsidRPr="00AA4CFB">
        <w:t xml:space="preserve"> możliwe jest podłączenie centrali do zewnętrznej drukarki, systemu wizualizacji i zarządzania, wyniesionego pola obsługi i wskazań, modułu synchronizacji czasu systemowego sygnałem radiowym, modemu telefonicznego itp. Dalsze możliwości komunikacyjne centrali możliwe są za pomocą interfejsu TCP/IP, dwóch gniazd USB i gniazda karty pamięci SD. Moduł kontrolera w standardzie udostępnia również 5 wyjść przekaźnikowych, w tym jedno dedykowane jako wyjście do sterowania urządzeniem transmisyjnym (UTASU). Wyjścia przekaźnikowe są swobodnie programowalne, o obciążalności do 2A/30VDC z możliwością konfiguracji, jako wyjścia </w:t>
      </w:r>
      <w:proofErr w:type="spellStart"/>
      <w:r w:rsidRPr="00AA4CFB">
        <w:t>bezpotencjałowe</w:t>
      </w:r>
      <w:proofErr w:type="spellEnd"/>
      <w:r w:rsidRPr="00AA4CFB">
        <w:t>, potencjałowe bez nadzoru i potencjałowe z nadzo</w:t>
      </w:r>
      <w:r w:rsidR="003902C2" w:rsidRPr="00AA4CFB">
        <w:t>rem ciągłości linii sterującej.</w:t>
      </w:r>
    </w:p>
    <w:p w:rsidR="005C05DD" w:rsidRPr="00AA4CFB" w:rsidRDefault="005C05DD" w:rsidP="00AA4CFB">
      <w:pPr>
        <w:spacing w:line="360" w:lineRule="auto"/>
        <w:jc w:val="both"/>
      </w:pPr>
    </w:p>
    <w:p w:rsidR="00FC4D40" w:rsidRPr="00AA4CFB" w:rsidRDefault="00FC4D40" w:rsidP="00AA4CFB">
      <w:pPr>
        <w:spacing w:line="360" w:lineRule="auto"/>
        <w:ind w:right="159"/>
        <w:jc w:val="both"/>
        <w:rPr>
          <w:color w:val="000000"/>
        </w:rPr>
      </w:pPr>
    </w:p>
    <w:p w:rsidR="00555839" w:rsidRPr="00AA4CFB" w:rsidRDefault="00D64BCE" w:rsidP="00AA4CFB">
      <w:pPr>
        <w:spacing w:line="360" w:lineRule="auto"/>
      </w:pPr>
      <w:r w:rsidRPr="00AA4CFB">
        <w:rPr>
          <w:noProof/>
        </w:rPr>
        <w:drawing>
          <wp:inline distT="0" distB="0" distL="0" distR="0">
            <wp:extent cx="5752465" cy="3990340"/>
            <wp:effectExtent l="19050" t="0" r="635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99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839" w:rsidRPr="00AA4CFB" w:rsidRDefault="00555839" w:rsidP="00AA4CFB">
      <w:pPr>
        <w:spacing w:line="360" w:lineRule="auto"/>
        <w:rPr>
          <w:b/>
        </w:rPr>
      </w:pPr>
    </w:p>
    <w:p w:rsidR="00D64BCE" w:rsidRPr="00AA4CFB" w:rsidRDefault="00555839" w:rsidP="00AA4CFB">
      <w:pPr>
        <w:spacing w:line="360" w:lineRule="auto"/>
        <w:rPr>
          <w:b/>
        </w:rPr>
      </w:pPr>
      <w:r w:rsidRPr="00AA4CFB">
        <w:rPr>
          <w:b/>
        </w:rPr>
        <w:t>Specyfikacja</w:t>
      </w:r>
      <w:r w:rsidR="00D64BCE" w:rsidRPr="00AA4CFB">
        <w:rPr>
          <w:b/>
        </w:rPr>
        <w:t>:</w:t>
      </w:r>
    </w:p>
    <w:p w:rsidR="00D64BCE" w:rsidRPr="00AA4CFB" w:rsidRDefault="00D64BCE" w:rsidP="00AA4CFB">
      <w:pPr>
        <w:spacing w:line="360" w:lineRule="auto"/>
      </w:pPr>
    </w:p>
    <w:tbl>
      <w:tblPr>
        <w:tblStyle w:val="Tabela-Siatka"/>
        <w:tblW w:w="0" w:type="auto"/>
        <w:tblInd w:w="108" w:type="dxa"/>
        <w:tblLook w:val="04A0"/>
      </w:tblPr>
      <w:tblGrid>
        <w:gridCol w:w="3119"/>
        <w:gridCol w:w="5985"/>
      </w:tblGrid>
      <w:tr w:rsidR="00D64BCE" w:rsidRPr="00AA4CFB" w:rsidTr="00555839">
        <w:tc>
          <w:tcPr>
            <w:tcW w:w="3119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Napięcie sieciowe</w:t>
            </w:r>
          </w:p>
        </w:tc>
        <w:tc>
          <w:tcPr>
            <w:tcW w:w="5985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230V</w:t>
            </w:r>
            <w:r w:rsidR="00555839" w:rsidRPr="00AA4CFB">
              <w:rPr>
                <w:sz w:val="24"/>
                <w:szCs w:val="24"/>
              </w:rPr>
              <w:t xml:space="preserve"> </w:t>
            </w:r>
            <w:r w:rsidRPr="00AA4CFB">
              <w:rPr>
                <w:sz w:val="24"/>
                <w:szCs w:val="24"/>
              </w:rPr>
              <w:t>AC</w:t>
            </w:r>
          </w:p>
        </w:tc>
      </w:tr>
      <w:tr w:rsidR="00D64BCE" w:rsidRPr="00AA4CFB" w:rsidTr="00555839">
        <w:tc>
          <w:tcPr>
            <w:tcW w:w="3119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Częstotliwość znamionowa</w:t>
            </w:r>
          </w:p>
        </w:tc>
        <w:tc>
          <w:tcPr>
            <w:tcW w:w="5985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50…60 Hz</w:t>
            </w:r>
          </w:p>
        </w:tc>
      </w:tr>
      <w:tr w:rsidR="00D64BCE" w:rsidRPr="00AA4CFB" w:rsidTr="00555839">
        <w:tc>
          <w:tcPr>
            <w:tcW w:w="3119" w:type="dxa"/>
          </w:tcPr>
          <w:p w:rsidR="00D64BCE" w:rsidRPr="00AA4CFB" w:rsidRDefault="00555839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Prąd zna</w:t>
            </w:r>
            <w:r w:rsidR="00D64BCE" w:rsidRPr="00AA4CFB">
              <w:rPr>
                <w:sz w:val="24"/>
                <w:szCs w:val="24"/>
              </w:rPr>
              <w:t>mionowy</w:t>
            </w:r>
          </w:p>
        </w:tc>
        <w:tc>
          <w:tcPr>
            <w:tcW w:w="5985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AA4CFB">
              <w:rPr>
                <w:sz w:val="24"/>
                <w:szCs w:val="24"/>
              </w:rPr>
              <w:t>0,8 A</w:t>
            </w:r>
            <w:proofErr w:type="gramEnd"/>
          </w:p>
        </w:tc>
      </w:tr>
      <w:tr w:rsidR="00D64BCE" w:rsidRPr="00AA4CFB" w:rsidTr="00555839">
        <w:tc>
          <w:tcPr>
            <w:tcW w:w="3119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Napięcie wyjściowe</w:t>
            </w:r>
          </w:p>
        </w:tc>
        <w:tc>
          <w:tcPr>
            <w:tcW w:w="5985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24V DC</w:t>
            </w:r>
          </w:p>
        </w:tc>
      </w:tr>
      <w:tr w:rsidR="00D64BCE" w:rsidRPr="00AA4CFB" w:rsidTr="00555839">
        <w:tc>
          <w:tcPr>
            <w:tcW w:w="3119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Prąd spoczynkowy</w:t>
            </w:r>
          </w:p>
        </w:tc>
        <w:tc>
          <w:tcPr>
            <w:tcW w:w="5985" w:type="dxa"/>
          </w:tcPr>
          <w:p w:rsidR="00D64BCE" w:rsidRPr="00AA4CFB" w:rsidRDefault="00AA4CFB" w:rsidP="00AA4CFB">
            <w:pPr>
              <w:spacing w:line="36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</w:t>
            </w:r>
            <w:r w:rsidR="00D64BCE" w:rsidRPr="00AA4CFB">
              <w:rPr>
                <w:sz w:val="20"/>
                <w:szCs w:val="20"/>
              </w:rPr>
              <w:t>koło</w:t>
            </w:r>
            <w:proofErr w:type="gramEnd"/>
            <w:r w:rsidR="00D64BCE" w:rsidRPr="00AA4CFB">
              <w:rPr>
                <w:sz w:val="20"/>
                <w:szCs w:val="20"/>
              </w:rPr>
              <w:t xml:space="preserve"> 192 </w:t>
            </w:r>
            <w:proofErr w:type="spellStart"/>
            <w:r w:rsidR="00D64BCE" w:rsidRPr="00AA4CFB">
              <w:rPr>
                <w:sz w:val="20"/>
                <w:szCs w:val="20"/>
              </w:rPr>
              <w:t>mA</w:t>
            </w:r>
            <w:proofErr w:type="spellEnd"/>
            <w:r w:rsidR="00D64BCE" w:rsidRPr="00AA4CFB">
              <w:rPr>
                <w:sz w:val="20"/>
                <w:szCs w:val="20"/>
              </w:rPr>
              <w:t xml:space="preserve"> (podstawowa konfiguracja bez zespołu obsługi)</w:t>
            </w:r>
          </w:p>
          <w:p w:rsidR="00D64BCE" w:rsidRPr="00AA4CFB" w:rsidRDefault="00AA4CFB" w:rsidP="00AA4CFB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>
              <w:rPr>
                <w:sz w:val="20"/>
                <w:szCs w:val="20"/>
              </w:rPr>
              <w:t>o</w:t>
            </w:r>
            <w:r w:rsidR="00D64BCE" w:rsidRPr="00AA4CFB">
              <w:rPr>
                <w:sz w:val="20"/>
                <w:szCs w:val="20"/>
              </w:rPr>
              <w:t>koło</w:t>
            </w:r>
            <w:proofErr w:type="gramEnd"/>
            <w:r w:rsidR="00D64BCE" w:rsidRPr="00AA4CFB">
              <w:rPr>
                <w:sz w:val="20"/>
                <w:szCs w:val="20"/>
              </w:rPr>
              <w:t xml:space="preserve"> 348 </w:t>
            </w:r>
            <w:proofErr w:type="spellStart"/>
            <w:r w:rsidR="00D64BCE" w:rsidRPr="00AA4CFB">
              <w:rPr>
                <w:sz w:val="20"/>
                <w:szCs w:val="20"/>
              </w:rPr>
              <w:t>mA</w:t>
            </w:r>
            <w:proofErr w:type="spellEnd"/>
            <w:r w:rsidR="00D64BCE" w:rsidRPr="00AA4CFB">
              <w:rPr>
                <w:sz w:val="20"/>
                <w:szCs w:val="20"/>
              </w:rPr>
              <w:t xml:space="preserve"> (podstawowa konfiguracja z zespołem obsługi)</w:t>
            </w:r>
          </w:p>
        </w:tc>
      </w:tr>
      <w:tr w:rsidR="00D64BCE" w:rsidRPr="00AA4CFB" w:rsidTr="00555839">
        <w:tc>
          <w:tcPr>
            <w:tcW w:w="3119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Prąd dla odbiorników zew.</w:t>
            </w:r>
          </w:p>
        </w:tc>
        <w:tc>
          <w:tcPr>
            <w:tcW w:w="5985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3 A</w:t>
            </w:r>
          </w:p>
        </w:tc>
      </w:tr>
      <w:tr w:rsidR="00D64BCE" w:rsidRPr="00AA4CFB" w:rsidTr="00555839">
        <w:tc>
          <w:tcPr>
            <w:tcW w:w="3119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Pojemność baterii</w:t>
            </w:r>
          </w:p>
        </w:tc>
        <w:tc>
          <w:tcPr>
            <w:tcW w:w="5985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 xml:space="preserve">2 x 24V/24 </w:t>
            </w:r>
            <w:proofErr w:type="spellStart"/>
            <w:r w:rsidRPr="00AA4CFB">
              <w:rPr>
                <w:sz w:val="24"/>
                <w:szCs w:val="24"/>
              </w:rPr>
              <w:t>Ah</w:t>
            </w:r>
            <w:proofErr w:type="spellEnd"/>
          </w:p>
        </w:tc>
      </w:tr>
      <w:tr w:rsidR="00D64BCE" w:rsidRPr="00AA4CFB" w:rsidTr="00555839">
        <w:tc>
          <w:tcPr>
            <w:tcW w:w="3119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Zakres temperatury otoczenia</w:t>
            </w:r>
          </w:p>
        </w:tc>
        <w:tc>
          <w:tcPr>
            <w:tcW w:w="5985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-5</w:t>
            </w:r>
            <w:r w:rsidR="00555839" w:rsidRPr="00AA4CFB">
              <w:rPr>
                <w:sz w:val="24"/>
                <w:szCs w:val="24"/>
                <w:vertAlign w:val="superscript"/>
              </w:rPr>
              <w:t>0</w:t>
            </w:r>
            <w:r w:rsidRPr="00AA4CFB">
              <w:rPr>
                <w:sz w:val="24"/>
                <w:szCs w:val="24"/>
              </w:rPr>
              <w:t>C…45</w:t>
            </w:r>
            <w:r w:rsidR="00555839" w:rsidRPr="00AA4CFB">
              <w:rPr>
                <w:sz w:val="24"/>
                <w:szCs w:val="24"/>
                <w:vertAlign w:val="superscript"/>
              </w:rPr>
              <w:t>0</w:t>
            </w:r>
            <w:r w:rsidRPr="00AA4CFB">
              <w:rPr>
                <w:sz w:val="24"/>
                <w:szCs w:val="24"/>
              </w:rPr>
              <w:t>C</w:t>
            </w:r>
          </w:p>
        </w:tc>
      </w:tr>
      <w:tr w:rsidR="00D64BCE" w:rsidRPr="00AA4CFB" w:rsidTr="00555839">
        <w:tc>
          <w:tcPr>
            <w:tcW w:w="3119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Temperatura przechowywania</w:t>
            </w:r>
          </w:p>
        </w:tc>
        <w:tc>
          <w:tcPr>
            <w:tcW w:w="5985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-10</w:t>
            </w:r>
            <w:r w:rsidR="00555839" w:rsidRPr="00AA4CFB">
              <w:rPr>
                <w:sz w:val="24"/>
                <w:szCs w:val="24"/>
                <w:vertAlign w:val="superscript"/>
              </w:rPr>
              <w:t>0</w:t>
            </w:r>
            <w:r w:rsidRPr="00AA4CFB">
              <w:rPr>
                <w:sz w:val="24"/>
                <w:szCs w:val="24"/>
              </w:rPr>
              <w:t>C…50</w:t>
            </w:r>
            <w:r w:rsidR="00555839" w:rsidRPr="00AA4CFB">
              <w:rPr>
                <w:sz w:val="24"/>
                <w:szCs w:val="24"/>
                <w:vertAlign w:val="superscript"/>
              </w:rPr>
              <w:t>0</w:t>
            </w:r>
            <w:r w:rsidRPr="00AA4CFB">
              <w:rPr>
                <w:sz w:val="24"/>
                <w:szCs w:val="24"/>
              </w:rPr>
              <w:t>C</w:t>
            </w:r>
          </w:p>
        </w:tc>
      </w:tr>
      <w:tr w:rsidR="00D64BCE" w:rsidRPr="00AA4CFB" w:rsidTr="00555839">
        <w:tc>
          <w:tcPr>
            <w:tcW w:w="3119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Klasa ochrony</w:t>
            </w:r>
          </w:p>
        </w:tc>
        <w:tc>
          <w:tcPr>
            <w:tcW w:w="5985" w:type="dxa"/>
          </w:tcPr>
          <w:p w:rsidR="00D64BCE" w:rsidRPr="00AA4CFB" w:rsidRDefault="00555839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 xml:space="preserve">IP </w:t>
            </w:r>
            <w:r w:rsidR="00D64BCE" w:rsidRPr="00AA4CFB">
              <w:rPr>
                <w:sz w:val="24"/>
                <w:szCs w:val="24"/>
              </w:rPr>
              <w:t>30</w:t>
            </w:r>
          </w:p>
        </w:tc>
      </w:tr>
      <w:tr w:rsidR="00D64BCE" w:rsidRPr="00AA4CFB" w:rsidTr="00555839">
        <w:tc>
          <w:tcPr>
            <w:tcW w:w="3119" w:type="dxa"/>
          </w:tcPr>
          <w:p w:rsidR="00D64BCE" w:rsidRPr="00AA4CFB" w:rsidRDefault="00D64BCE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Obudowa</w:t>
            </w:r>
          </w:p>
        </w:tc>
        <w:tc>
          <w:tcPr>
            <w:tcW w:w="5985" w:type="dxa"/>
          </w:tcPr>
          <w:p w:rsidR="00555839" w:rsidRPr="00AA4CFB" w:rsidRDefault="00555839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ABS plastik, 10% wzmocniony włóknem szklanym, V-0</w:t>
            </w:r>
          </w:p>
        </w:tc>
      </w:tr>
      <w:tr w:rsidR="00555839" w:rsidRPr="00AA4CFB" w:rsidTr="00555839">
        <w:tc>
          <w:tcPr>
            <w:tcW w:w="3119" w:type="dxa"/>
          </w:tcPr>
          <w:p w:rsidR="00555839" w:rsidRPr="00AA4CFB" w:rsidRDefault="00555839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Kolor</w:t>
            </w:r>
          </w:p>
        </w:tc>
        <w:tc>
          <w:tcPr>
            <w:tcW w:w="5985" w:type="dxa"/>
          </w:tcPr>
          <w:p w:rsidR="00555839" w:rsidRPr="00AA4CFB" w:rsidRDefault="00555839" w:rsidP="00AA4CFB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AA4CFB">
              <w:rPr>
                <w:sz w:val="24"/>
                <w:szCs w:val="24"/>
              </w:rPr>
              <w:t>szary</w:t>
            </w:r>
            <w:proofErr w:type="gramEnd"/>
            <w:r w:rsidRPr="00AA4CFB">
              <w:rPr>
                <w:sz w:val="24"/>
                <w:szCs w:val="24"/>
              </w:rPr>
              <w:t xml:space="preserve">, podobny do </w:t>
            </w:r>
            <w:proofErr w:type="spellStart"/>
            <w:r w:rsidRPr="00AA4CFB">
              <w:rPr>
                <w:sz w:val="24"/>
                <w:szCs w:val="24"/>
              </w:rPr>
              <w:t>Pantone</w:t>
            </w:r>
            <w:proofErr w:type="spellEnd"/>
            <w:r w:rsidRPr="00AA4CFB">
              <w:rPr>
                <w:sz w:val="24"/>
                <w:szCs w:val="24"/>
              </w:rPr>
              <w:t xml:space="preserve"> 538</w:t>
            </w:r>
          </w:p>
        </w:tc>
      </w:tr>
      <w:tr w:rsidR="00555839" w:rsidRPr="00AA4CFB" w:rsidTr="00555839">
        <w:tc>
          <w:tcPr>
            <w:tcW w:w="3119" w:type="dxa"/>
          </w:tcPr>
          <w:p w:rsidR="00555839" w:rsidRPr="00AA4CFB" w:rsidRDefault="00555839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Waga FX10/FX18</w:t>
            </w:r>
          </w:p>
        </w:tc>
        <w:tc>
          <w:tcPr>
            <w:tcW w:w="5985" w:type="dxa"/>
          </w:tcPr>
          <w:p w:rsidR="00555839" w:rsidRPr="00AA4CFB" w:rsidRDefault="00555839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około 15kg (wraz z pustym przednim panelem FX2 około</w:t>
            </w:r>
            <w:proofErr w:type="gramStart"/>
            <w:r w:rsidRPr="00AA4CFB">
              <w:rPr>
                <w:sz w:val="24"/>
                <w:szCs w:val="24"/>
              </w:rPr>
              <w:t xml:space="preserve"> 6,2 kg</w:t>
            </w:r>
            <w:proofErr w:type="gramEnd"/>
            <w:r w:rsidRPr="00AA4CFB">
              <w:rPr>
                <w:sz w:val="24"/>
                <w:szCs w:val="24"/>
              </w:rPr>
              <w:t>)</w:t>
            </w:r>
          </w:p>
          <w:p w:rsidR="00555839" w:rsidRPr="00AA4CFB" w:rsidRDefault="00555839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około 17kg (wraz z zespołem obsługi FX2 około</w:t>
            </w:r>
            <w:proofErr w:type="gramStart"/>
            <w:r w:rsidRPr="00AA4CFB">
              <w:rPr>
                <w:sz w:val="24"/>
                <w:szCs w:val="24"/>
              </w:rPr>
              <w:t xml:space="preserve"> 8,2 kg</w:t>
            </w:r>
            <w:proofErr w:type="gramEnd"/>
            <w:r w:rsidRPr="00AA4CFB">
              <w:rPr>
                <w:sz w:val="24"/>
                <w:szCs w:val="24"/>
              </w:rPr>
              <w:t>)</w:t>
            </w:r>
          </w:p>
        </w:tc>
      </w:tr>
      <w:tr w:rsidR="00555839" w:rsidRPr="00AA4CFB" w:rsidTr="00555839">
        <w:tc>
          <w:tcPr>
            <w:tcW w:w="3119" w:type="dxa"/>
          </w:tcPr>
          <w:p w:rsidR="00555839" w:rsidRPr="00AA4CFB" w:rsidRDefault="00555839" w:rsidP="00AA4CFB">
            <w:pPr>
              <w:spacing w:line="360" w:lineRule="auto"/>
              <w:rPr>
                <w:sz w:val="24"/>
                <w:szCs w:val="24"/>
              </w:rPr>
            </w:pPr>
            <w:r w:rsidRPr="00AA4CFB">
              <w:rPr>
                <w:sz w:val="24"/>
                <w:szCs w:val="24"/>
              </w:rPr>
              <w:t>Wymiary FX10/FX18</w:t>
            </w:r>
          </w:p>
        </w:tc>
        <w:tc>
          <w:tcPr>
            <w:tcW w:w="5985" w:type="dxa"/>
          </w:tcPr>
          <w:p w:rsidR="00555839" w:rsidRPr="00AA4CFB" w:rsidRDefault="00555839" w:rsidP="00AA4CFB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AA4CFB">
              <w:rPr>
                <w:sz w:val="24"/>
                <w:szCs w:val="24"/>
              </w:rPr>
              <w:t>szer</w:t>
            </w:r>
            <w:proofErr w:type="gramEnd"/>
            <w:r w:rsidRPr="00AA4CFB">
              <w:rPr>
                <w:sz w:val="24"/>
                <w:szCs w:val="24"/>
              </w:rPr>
              <w:t>. 450mm, wys. 960mm, gł. 185mm FX2 szer. 450 mm, wys. 320mm, gł. 185mm</w:t>
            </w:r>
          </w:p>
        </w:tc>
      </w:tr>
    </w:tbl>
    <w:p w:rsidR="00D64BCE" w:rsidRPr="00AA4CFB" w:rsidRDefault="00D64BCE" w:rsidP="00AA4CFB">
      <w:pPr>
        <w:spacing w:line="360" w:lineRule="auto"/>
      </w:pPr>
    </w:p>
    <w:sectPr w:rsidR="00D64BCE" w:rsidRPr="00AA4CFB" w:rsidSect="00925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07C73"/>
    <w:multiLevelType w:val="multilevel"/>
    <w:tmpl w:val="EE8AA774"/>
    <w:lvl w:ilvl="0">
      <w:start w:val="1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1134"/>
      </w:pPr>
      <w:rPr>
        <w:rFonts w:ascii="Tahoma" w:hAnsi="Tahoma" w:hint="default"/>
        <w:b/>
        <w:i w:val="0"/>
        <w:sz w:val="22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167DE"/>
    <w:rsid w:val="000167DE"/>
    <w:rsid w:val="00157434"/>
    <w:rsid w:val="003902C2"/>
    <w:rsid w:val="003C4431"/>
    <w:rsid w:val="0043501B"/>
    <w:rsid w:val="004433B2"/>
    <w:rsid w:val="00555839"/>
    <w:rsid w:val="005B04C8"/>
    <w:rsid w:val="005C05DD"/>
    <w:rsid w:val="006074FF"/>
    <w:rsid w:val="00762F13"/>
    <w:rsid w:val="00770610"/>
    <w:rsid w:val="00897B9A"/>
    <w:rsid w:val="00925823"/>
    <w:rsid w:val="00A506EA"/>
    <w:rsid w:val="00AA4CFB"/>
    <w:rsid w:val="00AB7EA1"/>
    <w:rsid w:val="00AE4348"/>
    <w:rsid w:val="00D245D0"/>
    <w:rsid w:val="00D64BCE"/>
    <w:rsid w:val="00DA2BC7"/>
    <w:rsid w:val="00FA1692"/>
    <w:rsid w:val="00FC4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 w:line="720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7DE"/>
    <w:pPr>
      <w:spacing w:before="0" w:beforeAutospacing="0" w:after="0" w:afterAutospacing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A4CFB"/>
    <w:pPr>
      <w:keepNext/>
      <w:numPr>
        <w:numId w:val="1"/>
      </w:numPr>
      <w:spacing w:before="480" w:after="240"/>
      <w:jc w:val="both"/>
      <w:outlineLvl w:val="0"/>
    </w:pPr>
    <w:rPr>
      <w:rFonts w:ascii="Arial" w:hAnsi="Arial"/>
      <w:bCs/>
      <w:caps/>
      <w:kern w:val="32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AA4CFB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AA4CFB"/>
    <w:pPr>
      <w:keepNext/>
      <w:numPr>
        <w:ilvl w:val="2"/>
        <w:numId w:val="1"/>
      </w:numPr>
      <w:spacing w:before="360" w:after="240"/>
      <w:jc w:val="both"/>
      <w:outlineLvl w:val="2"/>
    </w:pPr>
    <w:rPr>
      <w:rFonts w:ascii="Arial" w:hAnsi="Arial"/>
      <w:bCs/>
      <w:sz w:val="22"/>
      <w:szCs w:val="26"/>
    </w:rPr>
  </w:style>
  <w:style w:type="paragraph" w:styleId="Nagwek4">
    <w:name w:val="heading 4"/>
    <w:aliases w:val="Ad.1),Ad 2)"/>
    <w:next w:val="Normalny"/>
    <w:link w:val="Nagwek4Znak"/>
    <w:qFormat/>
    <w:rsid w:val="00AA4CFB"/>
    <w:pPr>
      <w:keepNext/>
      <w:numPr>
        <w:ilvl w:val="3"/>
        <w:numId w:val="1"/>
      </w:numPr>
      <w:spacing w:before="360" w:beforeAutospacing="0" w:after="240" w:afterAutospacing="0" w:line="240" w:lineRule="auto"/>
      <w:outlineLvl w:val="3"/>
    </w:pPr>
    <w:rPr>
      <w:rFonts w:ascii="Arial" w:eastAsia="Times New Roman" w:hAnsi="Arial" w:cs="Times New Roman"/>
      <w:b/>
      <w:bCs/>
      <w:szCs w:val="28"/>
      <w:lang w:eastAsia="pl-PL"/>
    </w:rPr>
  </w:style>
  <w:style w:type="paragraph" w:styleId="Nagwek5">
    <w:name w:val="heading 5"/>
    <w:aliases w:val="- A,B,C"/>
    <w:basedOn w:val="Normalny"/>
    <w:next w:val="Normalny"/>
    <w:link w:val="Nagwek5Znak"/>
    <w:qFormat/>
    <w:rsid w:val="00AA4CFB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b/>
      <w:bCs/>
      <w:iCs/>
      <w:sz w:val="22"/>
      <w:szCs w:val="26"/>
    </w:rPr>
  </w:style>
  <w:style w:type="paragraph" w:styleId="Nagwek6">
    <w:name w:val="heading 6"/>
    <w:aliases w:val="- (a),(b)"/>
    <w:basedOn w:val="Normalny"/>
    <w:next w:val="Normalny"/>
    <w:link w:val="Nagwek6Znak"/>
    <w:qFormat/>
    <w:rsid w:val="00AA4CFB"/>
    <w:pPr>
      <w:keepNext/>
      <w:numPr>
        <w:ilvl w:val="5"/>
        <w:numId w:val="1"/>
      </w:numPr>
      <w:spacing w:before="240" w:after="60"/>
      <w:jc w:val="both"/>
      <w:outlineLvl w:val="5"/>
    </w:pPr>
    <w:rPr>
      <w:rFonts w:ascii="Arial" w:hAnsi="Arial" w:cs="Arial"/>
      <w:b/>
      <w:sz w:val="22"/>
    </w:rPr>
  </w:style>
  <w:style w:type="paragraph" w:styleId="Nagwek7">
    <w:name w:val="heading 7"/>
    <w:basedOn w:val="Normalny"/>
    <w:next w:val="Normalny"/>
    <w:link w:val="Nagwek7Znak"/>
    <w:qFormat/>
    <w:rsid w:val="00AA4CFB"/>
    <w:pPr>
      <w:keepNext/>
      <w:numPr>
        <w:ilvl w:val="6"/>
        <w:numId w:val="1"/>
      </w:numPr>
      <w:spacing w:before="240" w:after="60"/>
      <w:jc w:val="both"/>
      <w:outlineLvl w:val="6"/>
    </w:pPr>
    <w:rPr>
      <w:rFonts w:ascii="Arial" w:hAnsi="Arial" w:cs="Arial"/>
      <w:b/>
      <w:bCs/>
      <w:sz w:val="22"/>
    </w:rPr>
  </w:style>
  <w:style w:type="paragraph" w:styleId="Nagwek8">
    <w:name w:val="heading 8"/>
    <w:basedOn w:val="Normalny"/>
    <w:next w:val="Normalny"/>
    <w:link w:val="Nagwek8Znak"/>
    <w:qFormat/>
    <w:rsid w:val="00AA4CFB"/>
    <w:pPr>
      <w:keepNext/>
      <w:numPr>
        <w:ilvl w:val="7"/>
        <w:numId w:val="1"/>
      </w:numPr>
      <w:spacing w:before="240" w:after="60"/>
      <w:jc w:val="both"/>
      <w:outlineLvl w:val="7"/>
    </w:pPr>
    <w:rPr>
      <w:rFonts w:ascii="Arial" w:hAnsi="Arial" w:cs="Arial"/>
      <w:b/>
      <w:bCs/>
      <w:dstrike/>
      <w:sz w:val="22"/>
    </w:rPr>
  </w:style>
  <w:style w:type="paragraph" w:styleId="Nagwek9">
    <w:name w:val="heading 9"/>
    <w:basedOn w:val="Normalny"/>
    <w:next w:val="Normalny"/>
    <w:link w:val="Nagwek9Znak"/>
    <w:qFormat/>
    <w:rsid w:val="00AA4CFB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167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7D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64BCE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AA4CFB"/>
    <w:rPr>
      <w:rFonts w:ascii="Arial" w:eastAsia="Times New Roman" w:hAnsi="Arial" w:cs="Times New Roman"/>
      <w:bCs/>
      <w:caps/>
      <w:kern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CFB"/>
    <w:rPr>
      <w:rFonts w:ascii="Arial" w:eastAsia="Times New Roman" w:hAnsi="Arial" w:cs="Times New Roman"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CFB"/>
    <w:rPr>
      <w:rFonts w:ascii="Arial" w:eastAsia="Times New Roman" w:hAnsi="Arial" w:cs="Times New Roman"/>
      <w:bCs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A4CFB"/>
    <w:rPr>
      <w:rFonts w:ascii="Arial" w:eastAsia="Times New Roman" w:hAnsi="Arial" w:cs="Times New Roman"/>
      <w:b/>
      <w:bCs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CFB"/>
    <w:rPr>
      <w:rFonts w:ascii="Arial" w:eastAsia="Times New Roman" w:hAnsi="Arial" w:cs="Times New Roman"/>
      <w:b/>
      <w:bCs/>
      <w:iCs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A4CFB"/>
    <w:rPr>
      <w:rFonts w:ascii="Arial" w:eastAsia="Times New Roman" w:hAnsi="Arial" w:cs="Arial"/>
      <w:b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A4CFB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CFB"/>
    <w:rPr>
      <w:rFonts w:ascii="Arial" w:eastAsia="Times New Roman" w:hAnsi="Arial" w:cs="Arial"/>
      <w:b/>
      <w:bCs/>
      <w:dstrike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A4CFB"/>
    <w:rPr>
      <w:rFonts w:ascii="Arial" w:eastAsia="Times New Roman" w:hAnsi="Arial" w:cs="Arial"/>
      <w:b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F860B-7F59-4237-9828-BF1EEAF3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Honeywell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E591496</dc:creator>
  <cp:keywords/>
  <dc:description/>
  <cp:lastModifiedBy>E591496</cp:lastModifiedBy>
  <cp:revision>22</cp:revision>
  <dcterms:created xsi:type="dcterms:W3CDTF">2013-02-27T07:09:00Z</dcterms:created>
  <dcterms:modified xsi:type="dcterms:W3CDTF">2013-02-27T08:08:00Z</dcterms:modified>
</cp:coreProperties>
</file>