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5C0C" w14:textId="0BE2A6AF" w:rsidR="000B1E24" w:rsidRPr="00921ED9" w:rsidRDefault="000B1E24" w:rsidP="000B1E24">
      <w:pPr>
        <w:pStyle w:val="TreA"/>
        <w:spacing w:before="120" w:after="120"/>
        <w:jc w:val="right"/>
        <w:rPr>
          <w:rStyle w:val="Brak"/>
          <w:b/>
          <w:bCs/>
          <w:color w:val="auto"/>
        </w:rPr>
      </w:pPr>
      <w:r w:rsidRPr="00921ED9">
        <w:rPr>
          <w:rStyle w:val="Brak"/>
          <w:b/>
          <w:bCs/>
          <w:color w:val="auto"/>
        </w:rPr>
        <w:t>Załącznik nr 7 do SWZ</w:t>
      </w:r>
    </w:p>
    <w:p w14:paraId="10C7F6B4" w14:textId="77777777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</w:p>
    <w:p w14:paraId="62500FA9" w14:textId="56F30DAE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  <w:r w:rsidRPr="00921ED9">
        <w:rPr>
          <w:rStyle w:val="Brak"/>
          <w:b/>
          <w:color w:val="auto"/>
        </w:rPr>
        <w:t>Projektowane postanowienia umowy</w:t>
      </w:r>
      <w:r w:rsidR="00CB1B3E" w:rsidRPr="00921ED9">
        <w:rPr>
          <w:b/>
          <w:color w:val="auto"/>
        </w:rPr>
        <w:t xml:space="preserve"> dla</w:t>
      </w:r>
      <w:r w:rsidR="004624E8">
        <w:rPr>
          <w:b/>
          <w:color w:val="auto"/>
        </w:rPr>
        <w:t xml:space="preserve"> </w:t>
      </w:r>
      <w:r w:rsidR="00CB1B3E" w:rsidRPr="00921ED9">
        <w:rPr>
          <w:b/>
          <w:color w:val="auto"/>
        </w:rPr>
        <w:t xml:space="preserve">Sądu Okręgowego w Szczecinie  </w:t>
      </w:r>
    </w:p>
    <w:p w14:paraId="02E2194A" w14:textId="7C58994A" w:rsidR="00921ED9" w:rsidRPr="00921ED9" w:rsidRDefault="00FD4DA2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 xml:space="preserve">Przedmiotem umowy jest sprzedaży i dystrybucja gazu ziemnego (umowa kompleksowa). </w:t>
      </w:r>
      <w:r w:rsidR="000B1E24" w:rsidRPr="00921ED9">
        <w:rPr>
          <w:rFonts w:ascii="Times New Roman" w:hAnsi="Times New Roman" w:cs="Times New Roman"/>
          <w:color w:val="auto"/>
        </w:rPr>
        <w:t>Sprzedaż gazu ziemnego winna spełniać wymagania prawne i parametry techniczne zgodne z postanowieniami ustawy z dnia 10 kwietnia 1997 roku – Prawo energetyczne (tj. Dz.U. 202</w:t>
      </w:r>
      <w:r w:rsidR="00FC254E">
        <w:rPr>
          <w:rFonts w:ascii="Times New Roman" w:hAnsi="Times New Roman" w:cs="Times New Roman"/>
          <w:color w:val="auto"/>
        </w:rPr>
        <w:t>2</w:t>
      </w:r>
      <w:r w:rsidR="000B1E24" w:rsidRPr="00921ED9">
        <w:rPr>
          <w:rFonts w:ascii="Times New Roman" w:hAnsi="Times New Roman" w:cs="Times New Roman"/>
          <w:color w:val="auto"/>
        </w:rPr>
        <w:t xml:space="preserve">, poz. </w:t>
      </w:r>
      <w:r w:rsidR="00FC254E">
        <w:rPr>
          <w:rFonts w:ascii="Times New Roman" w:hAnsi="Times New Roman" w:cs="Times New Roman"/>
          <w:color w:val="auto"/>
        </w:rPr>
        <w:t>1385</w:t>
      </w:r>
      <w:r w:rsidR="00FC254E" w:rsidRPr="00921ED9">
        <w:rPr>
          <w:rFonts w:ascii="Times New Roman" w:hAnsi="Times New Roman" w:cs="Times New Roman"/>
          <w:color w:val="auto"/>
        </w:rPr>
        <w:t xml:space="preserve"> </w:t>
      </w:r>
      <w:r w:rsidR="000B1E24" w:rsidRPr="00921ED9">
        <w:rPr>
          <w:rFonts w:ascii="Times New Roman" w:hAnsi="Times New Roman" w:cs="Times New Roman"/>
          <w:color w:val="auto"/>
        </w:rPr>
        <w:t xml:space="preserve">z późn. zm., dalej – Prawo energetyczne) i ustawy z dnia 23 kwietnia 1964 </w:t>
      </w:r>
      <w:r w:rsidR="00B311A7">
        <w:rPr>
          <w:rFonts w:ascii="Times New Roman" w:hAnsi="Times New Roman" w:cs="Times New Roman"/>
          <w:color w:val="auto"/>
        </w:rPr>
        <w:t>r</w:t>
      </w:r>
      <w:r w:rsidR="000B1E24" w:rsidRPr="00921ED9">
        <w:rPr>
          <w:rFonts w:ascii="Times New Roman" w:hAnsi="Times New Roman" w:cs="Times New Roman"/>
          <w:color w:val="auto"/>
        </w:rPr>
        <w:t>.- kodeks cywilny (tj. Dz. U. 202</w:t>
      </w:r>
      <w:r w:rsidR="00FC254E">
        <w:rPr>
          <w:rFonts w:ascii="Times New Roman" w:hAnsi="Times New Roman" w:cs="Times New Roman"/>
          <w:color w:val="auto"/>
        </w:rPr>
        <w:t>3</w:t>
      </w:r>
      <w:r w:rsidR="000B1E24" w:rsidRPr="00921ED9">
        <w:rPr>
          <w:rFonts w:ascii="Times New Roman" w:hAnsi="Times New Roman" w:cs="Times New Roman"/>
          <w:color w:val="auto"/>
        </w:rPr>
        <w:t xml:space="preserve">, poz. </w:t>
      </w:r>
      <w:r w:rsidR="00FC254E">
        <w:rPr>
          <w:rFonts w:ascii="Times New Roman" w:hAnsi="Times New Roman" w:cs="Times New Roman"/>
          <w:color w:val="auto"/>
        </w:rPr>
        <w:t>1610</w:t>
      </w:r>
      <w:r w:rsidR="00FC254E" w:rsidRPr="00921ED9">
        <w:rPr>
          <w:rFonts w:ascii="Times New Roman" w:hAnsi="Times New Roman" w:cs="Times New Roman"/>
          <w:color w:val="auto"/>
        </w:rPr>
        <w:t xml:space="preserve"> </w:t>
      </w:r>
      <w:r w:rsidR="000B1E24" w:rsidRPr="00921ED9">
        <w:rPr>
          <w:rFonts w:ascii="Times New Roman" w:hAnsi="Times New Roman" w:cs="Times New Roman"/>
          <w:color w:val="auto"/>
        </w:rPr>
        <w:t xml:space="preserve">z późn. zm., dalej Kodeks Cywilny) oraz aktami wykonawczymi zasadami określonymi w koncesjach, postanowieniami niniejszej umowy, a także zgodnie z ofertą Wykonawcy wynikającą z taryfy. </w:t>
      </w:r>
    </w:p>
    <w:p w14:paraId="6C83215E" w14:textId="39A29E8A" w:rsidR="00921ED9" w:rsidRPr="00921ED9" w:rsidRDefault="00794DDA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>Termin realizacji zamówienia</w:t>
      </w:r>
      <w:r w:rsidR="00921ED9" w:rsidRPr="00921ED9">
        <w:rPr>
          <w:rFonts w:ascii="Times New Roman" w:hAnsi="Times New Roman" w:cs="Times New Roman"/>
          <w:color w:val="auto"/>
        </w:rPr>
        <w:t xml:space="preserve">: </w:t>
      </w:r>
      <w:r w:rsidR="00BC66B1" w:rsidRPr="00420831">
        <w:rPr>
          <w:rFonts w:ascii="Times New Roman" w:eastAsiaTheme="minorEastAsia" w:hAnsi="Times New Roman" w:cs="Times New Roman"/>
          <w:b/>
          <w:bCs/>
          <w:color w:val="auto"/>
          <w:u w:val="single"/>
          <w:lang w:eastAsia="pl-PL"/>
        </w:rPr>
        <w:t>24</w:t>
      </w:r>
      <w:r w:rsidR="00921ED9" w:rsidRPr="00420831">
        <w:rPr>
          <w:rFonts w:ascii="Times New Roman" w:eastAsiaTheme="minorEastAsia" w:hAnsi="Times New Roman" w:cs="Times New Roman"/>
          <w:b/>
          <w:bCs/>
          <w:color w:val="auto"/>
          <w:u w:val="single"/>
          <w:lang w:eastAsia="pl-PL"/>
        </w:rPr>
        <w:t xml:space="preserve"> miesi</w:t>
      </w:r>
      <w:r w:rsidR="00BC66B1" w:rsidRPr="00420831">
        <w:rPr>
          <w:rFonts w:ascii="Times New Roman" w:eastAsiaTheme="minorEastAsia" w:hAnsi="Times New Roman" w:cs="Times New Roman"/>
          <w:b/>
          <w:bCs/>
          <w:color w:val="auto"/>
          <w:u w:val="single"/>
          <w:lang w:eastAsia="pl-PL"/>
        </w:rPr>
        <w:t>ące</w:t>
      </w:r>
      <w:r w:rsidR="00921ED9" w:rsidRPr="00921ED9">
        <w:rPr>
          <w:rFonts w:ascii="Times New Roman" w:eastAsiaTheme="minorEastAsia" w:hAnsi="Times New Roman" w:cs="Times New Roman"/>
          <w:color w:val="auto"/>
          <w:lang w:eastAsia="pl-PL"/>
        </w:rPr>
        <w:t xml:space="preserve"> od dnia, w którym rozpoczyna się termin obowiązywania zawartej umowy, jednak 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nie wcześniej niż od dnia 1 </w:t>
      </w:r>
      <w:r w:rsidR="0093595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grudnia</w:t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202</w:t>
      </w:r>
      <w:r w:rsidR="0093595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4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r</w:t>
      </w:r>
      <w:r w:rsidR="006655F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oku</w:t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(dla części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I)</w:t>
      </w:r>
      <w:r w:rsidR="00BC66B1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. </w:t>
      </w:r>
      <w:r w:rsidR="00BC66B1" w:rsidRPr="00420831">
        <w:rPr>
          <w:rFonts w:ascii="Times New Roman" w:eastAsiaTheme="minorEastAsia" w:hAnsi="Times New Roman" w:cs="Times New Roman"/>
          <w:b/>
          <w:bCs/>
          <w:color w:val="auto"/>
          <w:u w:val="single"/>
          <w:lang w:eastAsia="pl-PL"/>
        </w:rPr>
        <w:t>20 miesięcy</w:t>
      </w:r>
      <w:r w:rsidR="00BC66B1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od dnia, w którym rozpoczyna się termin obowiązywaniazawartej umowy, 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nie wcześniej niż 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od dnia 1 </w:t>
      </w:r>
      <w:r w:rsidR="00B311A7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kwietnia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20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2</w:t>
      </w:r>
      <w:r w:rsidR="0093595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5 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r. dla części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II)</w:t>
      </w:r>
      <w:r w:rsidR="007C1F1C" w:rsidRPr="006655FB">
        <w:rPr>
          <w:rStyle w:val="Odwoanieprzypisudolnego"/>
          <w:rFonts w:ascii="Times New Roman" w:eastAsiaTheme="minorEastAsia" w:hAnsi="Times New Roman" w:cs="Times New Roman"/>
          <w:b/>
          <w:bCs/>
          <w:color w:val="auto"/>
          <w:lang w:eastAsia="pl-PL"/>
        </w:rPr>
        <w:footnoteReference w:id="1"/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921ED9" w:rsidRPr="00921ED9">
        <w:rPr>
          <w:rFonts w:ascii="Times New Roman" w:eastAsiaTheme="minorEastAsia" w:hAnsi="Times New Roman" w:cs="Times New Roman"/>
          <w:color w:val="auto"/>
          <w:lang w:eastAsia="pl-PL"/>
        </w:rPr>
        <w:t xml:space="preserve"> oraz nie wcześniej niż po pozytywnie przeprowadzonej procedurze zmiany dostawcy paliw gazowych. Wykonawca zobowiązuje się do przeprowadzenia procedury zmiany dostawcy paliw gazowych, zgodnie z przepisami obowiązującymi w tym zakresie, na podstawie odrębnego pełnomocnictwa. </w:t>
      </w:r>
    </w:p>
    <w:p w14:paraId="5B02578E" w14:textId="1D4EBB2A" w:rsidR="002D478D" w:rsidRPr="00921ED9" w:rsidRDefault="000B1E24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ilości, z zastrzeżeniem pkt 30.</w:t>
      </w:r>
    </w:p>
    <w:p w14:paraId="03E5C69F" w14:textId="77777777" w:rsidR="000B1E24" w:rsidRPr="00921ED9" w:rsidRDefault="000B1E24" w:rsidP="002D478D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</w:rPr>
        <w:t>Rozliczenia za zużyte paliwo odbywać się będą częściowo w 1-miesięcznych okresach rozliczeniowych. Zamawiający nie wyraża zgody na otrzymywania faktur wstępnych. Zamawiający może przekazywać odczyt licznika.</w:t>
      </w:r>
      <w:r w:rsidR="002D478D" w:rsidRPr="00921ED9">
        <w:rPr>
          <w:rFonts w:ascii="Times New Roman" w:hAnsi="Times New Roman" w:cs="Times New Roman"/>
        </w:rPr>
        <w:t xml:space="preserve"> </w:t>
      </w:r>
      <w:r w:rsidR="002D478D" w:rsidRPr="00921ED9">
        <w:rPr>
          <w:rFonts w:ascii="Times New Roman" w:hAnsi="Times New Roman" w:cs="Times New Roman"/>
          <w:color w:val="auto"/>
        </w:rPr>
        <w:t>Zamawiający informuje o możliwości przekazywania stanu licznika co miesiąc.</w:t>
      </w:r>
    </w:p>
    <w:p w14:paraId="210161A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za poszczególne miesięczne okresy rozliczeniowe będą obejmowały wartość według cen i stawek wynikających z oferty cenowej Wykonawcy z uwzględnieniem dopuszczalnych zmian. </w:t>
      </w:r>
    </w:p>
    <w:p w14:paraId="4D0D3896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Podstawą do dokonania płatności przez Zamawiającego, za każdą należytą dostawę gazu, będzie faktura wystawiona przez Wykonawcę, zgodnie z powszechnie obowiązującymi przepisami prawa. </w:t>
      </w:r>
    </w:p>
    <w:p w14:paraId="0F40AD4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wynikające z Umowy będą dokonywane przez Zamawiającego przelewem w terminie 21 dni od daty wystawienia faktury za dany miesiąc rozliczeniowy. </w:t>
      </w:r>
    </w:p>
    <w:p w14:paraId="3F4568D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Faktury VAT będą wystawiane na:</w:t>
      </w:r>
    </w:p>
    <w:p w14:paraId="3C453522" w14:textId="10029FE4" w:rsidR="00DE585B" w:rsidRDefault="00DE585B" w:rsidP="00DE585B">
      <w:pPr>
        <w:pStyle w:val="Default"/>
        <w:numPr>
          <w:ilvl w:val="0"/>
          <w:numId w:val="5"/>
        </w:numPr>
        <w:spacing w:after="1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Sąd Rejonowy w Łobzie</w:t>
      </w:r>
      <w:r w:rsidR="00A80480">
        <w:rPr>
          <w:rFonts w:ascii="Times New Roman" w:hAnsi="Times New Roman" w:cs="Times New Roman"/>
        </w:rPr>
        <w:t>, ul. Niepodległości 15; 73-150 Łobez</w:t>
      </w:r>
      <w:r w:rsidR="00977862">
        <w:rPr>
          <w:rFonts w:ascii="Times New Roman" w:hAnsi="Times New Roman" w:cs="Times New Roman"/>
        </w:rPr>
        <w:t xml:space="preserve">, NIP </w:t>
      </w:r>
      <w:r w:rsidR="00977862" w:rsidRPr="00977862">
        <w:rPr>
          <w:rFonts w:ascii="Times New Roman" w:hAnsi="Times New Roman" w:cs="Times New Roman"/>
          <w:color w:val="auto"/>
          <w:shd w:val="clear" w:color="auto" w:fill="FFFFFF"/>
        </w:rPr>
        <w:t>2530336559</w:t>
      </w:r>
      <w:r w:rsidR="00977862" w:rsidRPr="00BD300E">
        <w:rPr>
          <w:rFonts w:ascii="Times New Roman" w:hAnsi="Times New Roman" w:cs="Times New Roman"/>
        </w:rPr>
        <w:t xml:space="preserve"> </w:t>
      </w:r>
      <w:r w:rsidRPr="00BD300E">
        <w:rPr>
          <w:rFonts w:ascii="Times New Roman" w:hAnsi="Times New Roman" w:cs="Times New Roman"/>
        </w:rPr>
        <w:t>(</w:t>
      </w:r>
      <w:r w:rsidRPr="001777F1">
        <w:rPr>
          <w:rFonts w:ascii="Times New Roman" w:hAnsi="Times New Roman" w:cs="Times New Roman"/>
        </w:rPr>
        <w:t>dla części I)</w:t>
      </w:r>
      <w:r w:rsidR="001777F1" w:rsidRPr="001777F1">
        <w:rPr>
          <w:rFonts w:ascii="Times New Roman" w:hAnsi="Times New Roman" w:cs="Times New Roman"/>
          <w:vertAlign w:val="superscript"/>
        </w:rPr>
        <w:t>1</w:t>
      </w:r>
    </w:p>
    <w:p w14:paraId="5A0213E5" w14:textId="7C68D028" w:rsidR="000B1E24" w:rsidRDefault="000B1E24" w:rsidP="00BD300E">
      <w:pPr>
        <w:pStyle w:val="Default"/>
        <w:numPr>
          <w:ilvl w:val="0"/>
          <w:numId w:val="5"/>
        </w:numPr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Sąd Rejonowy w Kamieniu Pomorskim ul. Kościuszki 13, </w:t>
      </w:r>
      <w:r w:rsidRPr="00BD300E">
        <w:rPr>
          <w:rFonts w:ascii="Times New Roman" w:hAnsi="Times New Roman" w:cs="Times New Roman"/>
        </w:rPr>
        <w:t xml:space="preserve">72 – 400 Kamień </w:t>
      </w:r>
      <w:r w:rsidRPr="00BD300E">
        <w:rPr>
          <w:rFonts w:ascii="Times New Roman" w:hAnsi="Times New Roman" w:cs="Times New Roman"/>
          <w:b/>
        </w:rPr>
        <w:t xml:space="preserve"> </w:t>
      </w:r>
      <w:r w:rsidRPr="00BD300E">
        <w:rPr>
          <w:rFonts w:ascii="Times New Roman" w:hAnsi="Times New Roman" w:cs="Times New Roman"/>
        </w:rPr>
        <w:t>Pomorski, NIP:98602412</w:t>
      </w:r>
      <w:r w:rsidR="00977862">
        <w:rPr>
          <w:rFonts w:ascii="Times New Roman" w:hAnsi="Times New Roman" w:cs="Times New Roman"/>
        </w:rPr>
        <w:t>5</w:t>
      </w:r>
      <w:r w:rsidRPr="00BD300E">
        <w:rPr>
          <w:rFonts w:ascii="Times New Roman" w:hAnsi="Times New Roman" w:cs="Times New Roman"/>
        </w:rPr>
        <w:t>1</w:t>
      </w:r>
      <w:r w:rsidR="00DE585B">
        <w:rPr>
          <w:rFonts w:ascii="Times New Roman" w:hAnsi="Times New Roman" w:cs="Times New Roman"/>
        </w:rPr>
        <w:t xml:space="preserve">(dla części </w:t>
      </w:r>
      <w:r w:rsidR="00DE585B" w:rsidRPr="001777F1">
        <w:rPr>
          <w:rFonts w:ascii="Times New Roman" w:hAnsi="Times New Roman" w:cs="Times New Roman"/>
        </w:rPr>
        <w:t>II)</w:t>
      </w:r>
      <w:r w:rsidR="00DE585B" w:rsidRPr="001777F1">
        <w:rPr>
          <w:rStyle w:val="Odwoanieprzypisudolnego"/>
          <w:rFonts w:ascii="Times New Roman" w:hAnsi="Times New Roman" w:cs="Times New Roman"/>
        </w:rPr>
        <w:footnoteReference w:id="2"/>
      </w:r>
      <w:r w:rsidR="00CF66CB" w:rsidRPr="00BD300E">
        <w:rPr>
          <w:rFonts w:ascii="Times New Roman" w:hAnsi="Times New Roman" w:cs="Times New Roman"/>
        </w:rPr>
        <w:t xml:space="preserve"> </w:t>
      </w:r>
    </w:p>
    <w:p w14:paraId="22BE0B82" w14:textId="77777777" w:rsidR="00CF66CB" w:rsidRDefault="00CF66CB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</w:p>
    <w:p w14:paraId="5F5AA11A" w14:textId="77777777" w:rsidR="00CF66CB" w:rsidRPr="00921ED9" w:rsidRDefault="00CF66CB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</w:p>
    <w:p w14:paraId="1CC222E4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Wynagrodzenie Wykonawcy będzie przekazane na rachunek bankowy wskazany na fakturze VAT. </w:t>
      </w:r>
    </w:p>
    <w:p w14:paraId="5EC1517A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 dzień płatności faktury VAT przyjmuje się datę obciążenia rachunku Zamawiającego. Termin uważa się za zachowany, jeżeli obciążanie rachunku Zamawiającego nastąpi najpóźniej w ostatnim dniu terminu płatności. </w:t>
      </w:r>
    </w:p>
    <w:p w14:paraId="395FAE8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nie udziela zaliczek na poczet wykonania przedmiotu umowy. </w:t>
      </w:r>
    </w:p>
    <w:p w14:paraId="26B8536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 Wykonawca zobowiązuje się do: </w:t>
      </w:r>
    </w:p>
    <w:p w14:paraId="0863894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obrotu (sprzedaży) paliwami gazowymi; </w:t>
      </w:r>
    </w:p>
    <w:p w14:paraId="6D95545C" w14:textId="47DF20DC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Posiadania podpisanej umowy z Operatorem Systemu Dystrybucyjnego na świadczenie usługi dystrybucji gazu ziemnego lub promesę takiej umowy na obszarze, na którym znajduje się Obiekt zamawiającego - w przypadku Wykonawców, którzy nie są właścicielami sieci dystrybucyjnej</w:t>
      </w:r>
      <w:r w:rsidR="00BD300E">
        <w:rPr>
          <w:rFonts w:ascii="Times New Roman" w:hAnsi="Times New Roman" w:cs="Times New Roman"/>
        </w:rPr>
        <w:t xml:space="preserve"> i utrzymania ważności takiej umowy z OSD przez cały okres obowiązywania niniejszej umowy</w:t>
      </w:r>
      <w:r w:rsidRPr="00921ED9">
        <w:rPr>
          <w:rFonts w:ascii="Times New Roman" w:hAnsi="Times New Roman" w:cs="Times New Roman"/>
        </w:rPr>
        <w:t>;</w:t>
      </w:r>
    </w:p>
    <w:p w14:paraId="29F27E69" w14:textId="617A8624" w:rsidR="00772DCF" w:rsidRDefault="000B1E24" w:rsidP="00772DCF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Posiadania aktualnej koncesji wydanej przez Prezesa Urzędu Regulacji Energetyki na prowadzenie działalności gospodarczej w zakresie dystrybucji gazu ziemnego</w:t>
      </w:r>
      <w:r w:rsidR="00027E48">
        <w:rPr>
          <w:rFonts w:ascii="Times New Roman" w:hAnsi="Times New Roman" w:cs="Times New Roman"/>
        </w:rPr>
        <w:t xml:space="preserve"> </w:t>
      </w:r>
      <w:r w:rsidRPr="00921ED9">
        <w:rPr>
          <w:rFonts w:ascii="Times New Roman" w:hAnsi="Times New Roman" w:cs="Times New Roman"/>
        </w:rPr>
        <w:t xml:space="preserve">- w przypadku Wykonawców, którzy nie są właścicielami sieci dystrybucyjnej </w:t>
      </w:r>
      <w:bookmarkStart w:id="0" w:name="_Hlk148130226"/>
    </w:p>
    <w:bookmarkEnd w:id="0"/>
    <w:p w14:paraId="5E331BE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dostawy paliwa gazowego na warunkach określonych w ustawie Prawo energetyczne i kodeksie cywilnym oraz przepisach wykonawczych wydanych na ich podstawie; </w:t>
      </w:r>
    </w:p>
    <w:p w14:paraId="69C293B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dostarczania paliwa gazowego które będzie spełniać standardy techniczne zgodnie z zapisami ustawy Prawo energetyczne, aktami wykonawczymi oraz Polskimi Normami; </w:t>
      </w:r>
    </w:p>
    <w:p w14:paraId="68A96D5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przyjmowania od Zamawiającego zgłoszeń i reklamacji dotyczących sprzedaży paliwa gazowego. </w:t>
      </w:r>
    </w:p>
    <w:p w14:paraId="46D422E8" w14:textId="27910B72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Stawka podana przez Wykonawcę nie będzie podlegała zmianom przez okres realizacji zamówienia z wyjątkiem: </w:t>
      </w:r>
    </w:p>
    <w:p w14:paraId="534BEDA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zmiany stawki podatku VAT w takim przypadku zmianie ulegnie jednostkowa cena netto o kwotę wynikającą ze zmiany stawki podatku od towarów i usług VAT Warunkiem wprowadzenia jest ustawowa zmiana stawki podatku VAT; </w:t>
      </w:r>
    </w:p>
    <w:p w14:paraId="22E8210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opłat dystrybucyjnych stałych i zmiennych w przypadku zatwierdzenia nowej taryfy Operatora Systemu Dystrybucji przez Prezesa Urzędu Regulacji Energetyki; </w:t>
      </w:r>
    </w:p>
    <w:p w14:paraId="3E48578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podatku akcyzowego w takim przypadku zmianie ulegnie jednostkowa cena netto o kwotę wynikającą ze </w:t>
      </w:r>
      <w:r w:rsidRPr="00921ED9">
        <w:rPr>
          <w:rFonts w:ascii="Times New Roman" w:hAnsi="Times New Roman" w:cs="Times New Roman"/>
        </w:rPr>
        <w:lastRenderedPageBreak/>
        <w:t xml:space="preserve">zmiany stawki podatku akcyzowego. Warunkiem wprowadzenia jest ustawowa zmiana stawki podatku akcyzowego. </w:t>
      </w:r>
    </w:p>
    <w:p w14:paraId="78526FD1" w14:textId="6C13CEBF" w:rsidR="000B1E24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przepisów prawa w zakresie wprowadzenia ceny maksymalnej lub innych podobnych rozwiązań prawnych wprowadzających ograniczenia w zakresie wysokości opłat za dystrybucję i/lub sprzedaż paliwa gazowego lub wprowadzających ulgi, dopłaty lub zwolnienia w opłatach za dystrybucję i/lub sprzedaż paliwa gazowego, jeżeli będą mieć zastosowanie wobec Zamawiającego w trakcie realizacji umowy</w:t>
      </w:r>
    </w:p>
    <w:p w14:paraId="6049AE20" w14:textId="77777777" w:rsidR="00BC66B1" w:rsidRPr="00CF7E1B" w:rsidRDefault="00BC66B1" w:rsidP="00BC66B1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Style w:val="text-justify"/>
          <w:rFonts w:ascii="Times New Roman" w:hAnsi="Times New Roman" w:cs="Times New Roman"/>
        </w:rPr>
      </w:pPr>
      <w:r w:rsidRPr="00CF7E1B">
        <w:rPr>
          <w:rStyle w:val="text-justify"/>
          <w:rFonts w:ascii="Times New Roman" w:hAnsi="Times New Roman" w:cs="Times New Roman"/>
        </w:rPr>
        <w:t xml:space="preserve">zmiany wysokości minimalnego wynagrodzenia za pracę albo wysokości minimalnej stawki godzinowej, ustalonych na podstawie </w:t>
      </w:r>
      <w:hyperlink r:id="rId7" w:anchor="/document/16992095?cm=DOCUMENT" w:history="1">
        <w:r w:rsidRPr="00CF7E1B">
          <w:rPr>
            <w:rStyle w:val="Hipercze"/>
            <w:rFonts w:ascii="Times New Roman" w:hAnsi="Times New Roman" w:cs="Times New Roman"/>
          </w:rPr>
          <w:t>ustawy</w:t>
        </w:r>
      </w:hyperlink>
      <w:r w:rsidRPr="00CF7E1B">
        <w:rPr>
          <w:rStyle w:val="text-justify"/>
          <w:rFonts w:ascii="Times New Roman" w:hAnsi="Times New Roman" w:cs="Times New Roman"/>
        </w:rPr>
        <w:t xml:space="preserve"> z dnia 10 października 2002 r. o minimalnym wynagrodzeniu za pracę </w:t>
      </w:r>
      <w:r w:rsidRPr="00CF7E1B">
        <w:rPr>
          <w:rFonts w:ascii="Times New Roman" w:hAnsi="Times New Roman" w:cs="Times New Roman"/>
        </w:rPr>
        <w:t>- jeżeli zmiany te będą miały wpływ na koszty wykonania zamówienia przez wykonawcę.</w:t>
      </w:r>
    </w:p>
    <w:p w14:paraId="05A9ED60" w14:textId="77777777" w:rsidR="00BC66B1" w:rsidRPr="00CF7E1B" w:rsidRDefault="00BC66B1" w:rsidP="00BC66B1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Style w:val="text-justify"/>
          <w:rFonts w:ascii="Times New Roman" w:hAnsi="Times New Roman" w:cs="Times New Roman"/>
        </w:rPr>
      </w:pPr>
      <w:r w:rsidRPr="00CF7E1B">
        <w:rPr>
          <w:rStyle w:val="text-justify"/>
          <w:rFonts w:ascii="Times New Roman" w:hAnsi="Times New Roman" w:cs="Times New Roman"/>
        </w:rPr>
        <w:t xml:space="preserve">zasad podlegania ubezpieczeniom społecznym lub ubezpieczeniu zdrowotnemu lub wysokości stawki składki na ubezpieczenia społeczne lub ubezpieczenie zdrowotne </w:t>
      </w:r>
      <w:r w:rsidRPr="00CF7E1B">
        <w:rPr>
          <w:rFonts w:ascii="Times New Roman" w:hAnsi="Times New Roman" w:cs="Times New Roman"/>
        </w:rPr>
        <w:t>- jeżeli zmiany te będą miały wpływ na koszty wykonania zamówienia przez wykonawcę,</w:t>
      </w:r>
    </w:p>
    <w:p w14:paraId="4EEF5D03" w14:textId="271D17E9" w:rsidR="00BC66B1" w:rsidRPr="00BC66B1" w:rsidRDefault="00BC66B1" w:rsidP="00BC66B1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CF7E1B">
        <w:rPr>
          <w:rStyle w:val="text-justify"/>
          <w:rFonts w:ascii="Times New Roman" w:hAnsi="Times New Roman" w:cs="Times New Roman"/>
        </w:rPr>
        <w:t xml:space="preserve">zasad gromadzenia i wysokości wpłat do pracowniczych planów kapitałowych, o których mowa w </w:t>
      </w:r>
      <w:hyperlink r:id="rId8" w:anchor="/document/18781862?cm=DOCUMENT" w:history="1">
        <w:r w:rsidRPr="00CF7E1B">
          <w:rPr>
            <w:rStyle w:val="Hipercze"/>
            <w:rFonts w:ascii="Times New Roman" w:hAnsi="Times New Roman" w:cs="Times New Roman"/>
          </w:rPr>
          <w:t>ustawie</w:t>
        </w:r>
      </w:hyperlink>
      <w:r w:rsidRPr="00CF7E1B">
        <w:rPr>
          <w:rStyle w:val="text-justify"/>
          <w:rFonts w:ascii="Times New Roman" w:hAnsi="Times New Roman" w:cs="Times New Roman"/>
        </w:rPr>
        <w:t xml:space="preserve"> z dnia 4 października 2018 r. o pracowniczych planach kapitałowych (Dz. U. z 2024 r. poz. 427) </w:t>
      </w:r>
      <w:r w:rsidRPr="00CF7E1B">
        <w:rPr>
          <w:rFonts w:ascii="Times New Roman" w:hAnsi="Times New Roman" w:cs="Times New Roman"/>
        </w:rPr>
        <w:t>- jeżeli zmiany te będą miały wpływ na koszty wykonania zamówienia przez wykonawcę.</w:t>
      </w:r>
    </w:p>
    <w:p w14:paraId="310CD6E1" w14:textId="692D6332" w:rsidR="000830D1" w:rsidRDefault="000B1E24" w:rsidP="00CB1B3E">
      <w:pPr>
        <w:pStyle w:val="Default"/>
        <w:spacing w:after="248"/>
        <w:ind w:left="72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 będą obowiązywały od dnia wejścia w życie nowych przepisów i nie będą wymagały zgody Zamawiającego (aneksu).</w:t>
      </w:r>
    </w:p>
    <w:p w14:paraId="0D4354C7" w14:textId="0017BCAC" w:rsidR="00BC66B1" w:rsidRPr="00921ED9" w:rsidRDefault="00BC66B1" w:rsidP="00BC66B1">
      <w:pPr>
        <w:pStyle w:val="Default"/>
        <w:spacing w:after="248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wniosku o zmianę umowy w zakresie zaoferowanych stawek za dostawę gazu z przyczyn wskazanych w pkt 13 Wykonawca dostarczy szczegółową kalkulacje wpływu opisanych w pkt 13 zmian na zaoferowaną cenę wraz z dokumentami potwierdzającymi zasadność i wysokość zmiany ceny.</w:t>
      </w:r>
    </w:p>
    <w:p w14:paraId="549C3D85" w14:textId="4112AB0B" w:rsidR="000B1E24" w:rsidRPr="00921ED9" w:rsidRDefault="00CF66CB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może dochodzić od Wykonawcy</w:t>
      </w:r>
      <w:r w:rsidR="00BD300E">
        <w:rPr>
          <w:rFonts w:ascii="Times New Roman" w:hAnsi="Times New Roman" w:cs="Times New Roman"/>
        </w:rPr>
        <w:t xml:space="preserve"> kary umownej</w:t>
      </w:r>
      <w:r>
        <w:rPr>
          <w:rFonts w:ascii="Times New Roman" w:hAnsi="Times New Roman" w:cs="Times New Roman"/>
        </w:rPr>
        <w:t xml:space="preserve"> za </w:t>
      </w:r>
      <w:r w:rsidRPr="00921ED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umowy lub odstąpienie od umowy</w:t>
      </w:r>
      <w:r w:rsidRPr="00921ED9">
        <w:rPr>
          <w:rFonts w:ascii="Times New Roman" w:hAnsi="Times New Roman" w:cs="Times New Roman"/>
        </w:rPr>
        <w:t xml:space="preserve"> z przyczyn zawinionych przez Wykonawcę</w:t>
      </w:r>
      <w:r>
        <w:rPr>
          <w:rFonts w:ascii="Times New Roman" w:hAnsi="Times New Roman" w:cs="Times New Roman"/>
        </w:rPr>
        <w:t>, w wysokości 5%</w:t>
      </w:r>
      <w:r w:rsidR="000B1E24" w:rsidRPr="00921ED9">
        <w:rPr>
          <w:rFonts w:ascii="Times New Roman" w:hAnsi="Times New Roman" w:cs="Times New Roman"/>
        </w:rPr>
        <w:t xml:space="preserve"> </w:t>
      </w:r>
      <w:r w:rsidRPr="00921ED9">
        <w:rPr>
          <w:rFonts w:ascii="Times New Roman" w:hAnsi="Times New Roman" w:cs="Times New Roman"/>
        </w:rPr>
        <w:t>wartości umowy brutto określonej w formularzu ofertowym</w:t>
      </w:r>
      <w:r>
        <w:rPr>
          <w:rFonts w:ascii="Times New Roman" w:hAnsi="Times New Roman" w:cs="Times New Roman"/>
        </w:rPr>
        <w:t xml:space="preserve">. </w:t>
      </w:r>
      <w:r w:rsidR="000B1E24" w:rsidRPr="00921ED9">
        <w:rPr>
          <w:rFonts w:ascii="Times New Roman" w:hAnsi="Times New Roman" w:cs="Times New Roman"/>
        </w:rPr>
        <w:t xml:space="preserve">Łączna maksymalna wysokość kar umownych, których mogą dochodzić strony (Zamawiający), wynosi 5% wartości umowy </w:t>
      </w:r>
      <w:r w:rsidR="00AB2C99" w:rsidRPr="00921ED9">
        <w:rPr>
          <w:rFonts w:ascii="Times New Roman" w:hAnsi="Times New Roman" w:cs="Times New Roman"/>
        </w:rPr>
        <w:t xml:space="preserve">brutto </w:t>
      </w:r>
      <w:r w:rsidR="000B1E24" w:rsidRPr="00921ED9">
        <w:rPr>
          <w:rFonts w:ascii="Times New Roman" w:hAnsi="Times New Roman" w:cs="Times New Roman"/>
        </w:rPr>
        <w:t>określonej w formularzu ofertowym</w:t>
      </w:r>
      <w:r w:rsidR="00BC66B1">
        <w:rPr>
          <w:rFonts w:ascii="Times New Roman" w:hAnsi="Times New Roman" w:cs="Times New Roman"/>
        </w:rPr>
        <w:t xml:space="preserve"> na dzień zawarcia umowy</w:t>
      </w:r>
      <w:r w:rsidR="000B1E24" w:rsidRPr="00921ED9">
        <w:rPr>
          <w:rFonts w:ascii="Times New Roman" w:hAnsi="Times New Roman" w:cs="Times New Roman"/>
        </w:rPr>
        <w:t xml:space="preserve">. </w:t>
      </w:r>
    </w:p>
    <w:p w14:paraId="08F0F19C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Jeżeli kara umowna nie pokryje wysokości poniesionej szkody, Zamawiający może dochodzić odszkodowania do pełnej wysokości szkody. Zamawiający może dochodzić odszkodowania na warunkach ogólnych, także w przypadkach nieobjętych karami umownymi. </w:t>
      </w:r>
    </w:p>
    <w:p w14:paraId="1E719C6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w przypadku nałożenia kar umownych wystawi Wykonawcy notę obciążeniową. </w:t>
      </w:r>
    </w:p>
    <w:p w14:paraId="078AE8A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może rozwiązać niniejszą umowę ze skutkiem natychmiastowym w przypadku zaistnienia jednej z poniższych okoliczności: </w:t>
      </w:r>
    </w:p>
    <w:p w14:paraId="770B129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Wykonawca w chwili zawarcia umowy podlegał wykluczeniu z postępowania na podstaw. Art. 108 ust. 1 PZP oraz art. 109 ust. 1 pkt. 4 Pzp</w:t>
      </w:r>
      <w:r w:rsidR="0099285C" w:rsidRPr="00921ED9">
        <w:rPr>
          <w:rFonts w:ascii="Times New Roman" w:hAnsi="Times New Roman" w:cs="Times New Roman"/>
        </w:rPr>
        <w:t>;</w:t>
      </w:r>
    </w:p>
    <w:p w14:paraId="7ED5549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W razie utraty przez Zamawiającego tytułu prawnego do któregokolwiek z miejsc odbioru, do których dostarczane jest paliwo gazowe przez Wykonawcę (w części dotyczącej dostarczania i sprzedaży paliwa gazowego do miejsca odbioru, w odniesieniu do którego Zamawiający utracił tytuł prawny, zaś w pozostałym zakresie umowa będzie nadal wiązać strony); </w:t>
      </w:r>
    </w:p>
    <w:p w14:paraId="591A288C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gdy Wykonawca utraci koncesję, umowę dystrybucyjną, inne uprawnienia lub zezwolenia, w wyniku czego nie będzie możliwe zrealizowanie przez Wykonawcę przedmiotu niniejszego zamówienia lub Wykonawca zaprzestanie realizowanie przedmiotu niniejszego zamówienia. Wykonawca jest zobowiązany poinformować niezwłocznie (nie później niż w terminie 3 dni od ich zaistnienia) Zamawiającego o w/w okolicznościach</w:t>
      </w:r>
      <w:r w:rsidR="0099285C" w:rsidRPr="00921ED9">
        <w:rPr>
          <w:rFonts w:ascii="Times New Roman" w:hAnsi="Times New Roman" w:cs="Times New Roman"/>
        </w:rPr>
        <w:t>;</w:t>
      </w:r>
    </w:p>
    <w:p w14:paraId="5B927606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przypadku podjęcia decyzji o otwarciu likwidacji Wykonawcy lub wszczęciu wobec niego postępowania upadłościowego lub restrukturyzacyjnego, jeżeli odpowiednie przepisy nie stanowią inaczej. Wykonawca jest zobowiązany poinformować niezwłocznie ( nie później niż w terminie 3 dni od ich zaistnienia) Zamawiającego o w/w okolicznościach; </w:t>
      </w:r>
    </w:p>
    <w:p w14:paraId="1CC6A4FD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przypadku dowiedzenia się przez Zamawiającego o tym, że Wykonawca nie wykonuje wobec wierzycieli swoich wymagalnych zobowiązań pieniężnych przez okres co najmniej 3 miesięcy</w:t>
      </w:r>
      <w:r w:rsidR="0099285C" w:rsidRPr="00921ED9">
        <w:rPr>
          <w:rFonts w:ascii="Times New Roman" w:hAnsi="Times New Roman" w:cs="Times New Roman"/>
        </w:rPr>
        <w:t>;</w:t>
      </w:r>
    </w:p>
    <w:p w14:paraId="0BB44B77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zastrzega sobie prawo do odstąpienia od umowy w przypadku wystąpienia jednej z poniższych okoliczności: </w:t>
      </w:r>
    </w:p>
    <w:p w14:paraId="1EBFC7A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Nieotrzymania przez Zamawiającego środków koniecznych do realizacji umowy od dysponenta odpowiedniego stopnia</w:t>
      </w:r>
      <w:r w:rsidR="0099285C" w:rsidRPr="00921ED9">
        <w:rPr>
          <w:rFonts w:ascii="Times New Roman" w:hAnsi="Times New Roman" w:cs="Times New Roman"/>
        </w:rPr>
        <w:t>;</w:t>
      </w:r>
    </w:p>
    <w:p w14:paraId="3E5A5C8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gdy Wykonawca nie rozpoczął świadczenia dostaw bez uzasadnionych przyczyn lub ich nie kontynuuje mimo wezwania Zamawiającego</w:t>
      </w:r>
      <w:r w:rsidR="0099285C" w:rsidRPr="00921ED9">
        <w:rPr>
          <w:rFonts w:ascii="Times New Roman" w:hAnsi="Times New Roman" w:cs="Times New Roman"/>
        </w:rPr>
        <w:t>;</w:t>
      </w:r>
    </w:p>
    <w:p w14:paraId="2B9D911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gdy Wykonawca przerwał, bez uzgodnienia z Zamawiającym, realizację dostaw i przerwa ta nie trwa dłużej niż 7 dni; </w:t>
      </w:r>
    </w:p>
    <w:p w14:paraId="56D439E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zaprzestania realizowania przez Wykonawcę przedmiotu niniejszego zamówienia jeżeli stan ten trwa min. 2 tygodnie</w:t>
      </w:r>
      <w:r w:rsidR="0099285C" w:rsidRPr="00921ED9">
        <w:rPr>
          <w:rFonts w:ascii="Times New Roman" w:hAnsi="Times New Roman" w:cs="Times New Roman"/>
        </w:rPr>
        <w:t>;</w:t>
      </w:r>
    </w:p>
    <w:p w14:paraId="26BF551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</w:t>
      </w:r>
      <w:r w:rsidR="0099285C" w:rsidRPr="00921ED9">
        <w:rPr>
          <w:rFonts w:ascii="Times New Roman" w:hAnsi="Times New Roman" w:cs="Times New Roman"/>
        </w:rPr>
        <w:t>;</w:t>
      </w:r>
    </w:p>
    <w:p w14:paraId="153080AB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umowy lub jej rozwiązanie powinny, nastąpić w formie pisemnej pod rygorem nieważności. </w:t>
      </w:r>
    </w:p>
    <w:p w14:paraId="00C4D8C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przypadku odstąpienia od umowy lub jej rozwiązania Wykonawca ma prawo żądać tylko wynagrodzenia należnego z tytułu wykonania części umowy. </w:t>
      </w:r>
    </w:p>
    <w:p w14:paraId="1ABCBD5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niniejszej umowy lub jej rozwiązania nie wpływa na istnienie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i skuteczność roszczeń Zamawiającego o zapłatę kar umownych określonych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w umowie. </w:t>
      </w:r>
    </w:p>
    <w:p w14:paraId="55B82F7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Wykonawcy nie przysługuje odszkodowanie ani inne roszczenia od Zamawiającego będące następstwem rozwiązania umowy lub odstąpienia od umowy w przypadkach wskazanych w umowie. </w:t>
      </w:r>
    </w:p>
    <w:p w14:paraId="16018F1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ponosi pełną odpowiedzialność za nienależyte wykonanie umowy. </w:t>
      </w:r>
    </w:p>
    <w:p w14:paraId="54DAE64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Wszelkie zmiany i uzupełnienia do niniejszej umowy wymagają formy pisemnego aneksu, podpisanego przez obie strony, pod rygorem nieważności. </w:t>
      </w:r>
    </w:p>
    <w:p w14:paraId="6CC02C58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 xml:space="preserve">Zamawiający przewiduje możliwość istotnych zmian postanowień zawartej umowy w stosunku do treści oferty, na podstawie której istotnych, na podstawie której dokonano wyboru Wykonawcy, w przypadku: </w:t>
      </w:r>
    </w:p>
    <w:p w14:paraId="237218E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Wystąpienia zmian lub okoliczności, których nie dało się przewidzieć w dacie zawarcia umowy, a których wprowadzenie jest konieczne do prawidłowego wykonania przedmiotu umowy, a których wprowadzenie jest konieczne do prawidłowego wykonania przedmiotu umowy, zgodnie z przepisami Prawa energetycznego lub wydanymi na tej podstawie przepisami wykonawczymi</w:t>
      </w:r>
      <w:r w:rsidR="0099285C" w:rsidRPr="00921ED9">
        <w:rPr>
          <w:rFonts w:ascii="Times New Roman" w:hAnsi="Times New Roman" w:cs="Times New Roman"/>
        </w:rPr>
        <w:t>;</w:t>
      </w:r>
    </w:p>
    <w:p w14:paraId="6B32A70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ceny za usługę dystrybucji w przypadku wprowadzenia do stosowania nowych Taryf Operatora Systemu Dystrybucyjnego, zatwierdzonych Decyzją Prezesa Urzędu Regulacji Energetyki</w:t>
      </w:r>
      <w:r w:rsidR="0099285C" w:rsidRPr="00921ED9">
        <w:rPr>
          <w:rFonts w:ascii="Times New Roman" w:hAnsi="Times New Roman" w:cs="Times New Roman"/>
        </w:rPr>
        <w:t>;</w:t>
      </w:r>
    </w:p>
    <w:p w14:paraId="113F294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ceny sprzedaży gazu ziemnego w przypadku zmian stawki podatku VAT oraz akcyzy w zakresie przedmiotowej umowy; </w:t>
      </w:r>
    </w:p>
    <w:p w14:paraId="3F1EC84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wysokości ceny gazu, opłaty stałej oraz zmiennej w trakcie trwania umowy wynikającego z zatwierdzenia przez Prezesa URE nowej Taryfy Operatora</w:t>
      </w:r>
      <w:r w:rsidR="0099285C" w:rsidRPr="00921ED9">
        <w:rPr>
          <w:rFonts w:ascii="Times New Roman" w:hAnsi="Times New Roman" w:cs="Times New Roman"/>
        </w:rPr>
        <w:t>;</w:t>
      </w:r>
    </w:p>
    <w:p w14:paraId="1AF63CF0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podmiotów uprawnionych do reprezentacji zarówno Zamawiającego jaki i Wykonawcy, danych adresowych stron umowy lub innych danych, które w umowie mają charakter czysto informacyjny (np. numer konta bankowego); </w:t>
      </w:r>
    </w:p>
    <w:p w14:paraId="738C814D" w14:textId="7EB1878D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sytuacji uzasadnionej zmianą przepisów prawa lub wystąpieniem okoliczności niespowodowanych zawinionym działaniem lub zaniechaniem którejkolwiek ze stron umowy, w zakresie terminu realizacji umowy lub warunków płatności</w:t>
      </w:r>
      <w:r w:rsidR="0099285C" w:rsidRPr="00921ED9">
        <w:rPr>
          <w:rFonts w:ascii="Times New Roman" w:hAnsi="Times New Roman" w:cs="Times New Roman"/>
        </w:rPr>
        <w:t>;</w:t>
      </w:r>
    </w:p>
    <w:p w14:paraId="7BAA2873" w14:textId="0DDE79DD" w:rsidR="00B50D06" w:rsidRPr="00921ED9" w:rsidRDefault="00942EF2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sytuacji opisanej w pkt 32-33.</w:t>
      </w:r>
    </w:p>
    <w:p w14:paraId="70495710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treści postanowień zawartej umowy będą dokonywane w formie pisemnej pod rygorem nieważności. </w:t>
      </w:r>
    </w:p>
    <w:p w14:paraId="489DF6D3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nie może przenosić wierzytelności wynikającej z umowy na rzecz osób trzecich, bez pisemnej zgody Zamawiającego. </w:t>
      </w:r>
    </w:p>
    <w:p w14:paraId="6F12D9C9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zakresie nieregulowanym niniejszą umową stosuje się przepisy Kodeksu cywilnego, Prawa energetycznego wraz z obowiązującymi aktami wykonawczymi, aktualnie obowiązującej taryfy Wykonawcy oraz PZP. </w:t>
      </w:r>
    </w:p>
    <w:p w14:paraId="4139EBC1" w14:textId="77777777" w:rsidR="000B1E24" w:rsidRPr="00921ED9" w:rsidRDefault="000B1E24" w:rsidP="000830D1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Spory wynikające przy realizacji niniejszej umowy, w przypadku braku ich rozwiązania w trybie ugody, poddane będą rozstrzygnięciu przed Sądem właściwym dla siedziby Zamawiającego. </w:t>
      </w:r>
    </w:p>
    <w:p w14:paraId="66162F24" w14:textId="43FD6B8D" w:rsidR="000B1E24" w:rsidRPr="00921ED9" w:rsidRDefault="000B1E24" w:rsidP="00AF571F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Zamawiający określa minimalną wielkość zamówienia na dostawy gazu</w:t>
      </w:r>
      <w:r w:rsidR="00BC66B1">
        <w:rPr>
          <w:rFonts w:ascii="Times New Roman" w:hAnsi="Times New Roman" w:cs="Times New Roman"/>
        </w:rPr>
        <w:t>, która</w:t>
      </w:r>
      <w:r w:rsidRPr="00921ED9">
        <w:rPr>
          <w:rFonts w:ascii="Times New Roman" w:hAnsi="Times New Roman" w:cs="Times New Roman"/>
        </w:rPr>
        <w:t xml:space="preserve"> wyniesie 80% wolumenu określonego w opisie przedmiotu zamówienia</w:t>
      </w:r>
      <w:r w:rsidR="00196526" w:rsidRPr="00921ED9">
        <w:rPr>
          <w:rFonts w:ascii="Times New Roman" w:hAnsi="Times New Roman" w:cs="Times New Roman"/>
        </w:rPr>
        <w:t>.</w:t>
      </w:r>
    </w:p>
    <w:p w14:paraId="7C1B64B9" w14:textId="765429A3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Zasady składania i rozpoznawania reklamacji oraz bonifikat z tytułu niespełniania standardów jakościowych obsługi odbiorcy (Zamawiającego)  określa rozporządzenie Ministra Gospodarki </w:t>
      </w:r>
      <w:r w:rsidRPr="00921ED9">
        <w:rPr>
          <w:rFonts w:ascii="Times New Roman" w:hAnsi="Times New Roman" w:cs="Times New Roman"/>
          <w:lang w:eastAsia="pl-PL"/>
        </w:rPr>
        <w:t>z dnia 2 lipca 2010 r. w sprawie szczegółowych warunków funkcjonowania systemu gazowego (Dz. U. z 2018 r. poz. 1158)</w:t>
      </w:r>
      <w:r w:rsidR="00196526" w:rsidRPr="00921ED9">
        <w:rPr>
          <w:rFonts w:ascii="Times New Roman" w:hAnsi="Times New Roman" w:cs="Times New Roman"/>
          <w:lang w:eastAsia="pl-PL"/>
        </w:rPr>
        <w:t>.</w:t>
      </w:r>
    </w:p>
    <w:p w14:paraId="16945C01" w14:textId="5F3CFB7D" w:rsidR="00B50D06" w:rsidRPr="00921ED9" w:rsidRDefault="00B50D06" w:rsidP="00FA1BF0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Niezależnie od przypadków wskazanych w pkt 25, na podstawie art. 439 ust. 1 ustawy PZP, wynagrodzenie Wykonawcy podlegać będzie waloryzacji prowadzącej do dokonywania zmian wysokości wynagrodzenia należnego Wykonawcy</w:t>
      </w:r>
      <w:r w:rsidR="00BD300E">
        <w:rPr>
          <w:rFonts w:ascii="Times New Roman" w:hAnsi="Times New Roman" w:cs="Times New Roman"/>
        </w:rPr>
        <w:t xml:space="preserve"> (zwiększenia lub zmniejszenia)</w:t>
      </w:r>
      <w:r w:rsidRPr="00921ED9">
        <w:rPr>
          <w:rFonts w:ascii="Times New Roman" w:hAnsi="Times New Roman" w:cs="Times New Roman"/>
        </w:rPr>
        <w:t xml:space="preserve">, w przypadku zmiany ceny dających się wyodrębnić i ustalić, materiałów lub kosztów związanych z realizacją zamówienia. Waloryzacja ta będzie </w:t>
      </w:r>
      <w:r w:rsidRPr="00921ED9">
        <w:rPr>
          <w:rFonts w:ascii="Times New Roman" w:hAnsi="Times New Roman" w:cs="Times New Roman"/>
        </w:rPr>
        <w:lastRenderedPageBreak/>
        <w:t>dokonywana raz w kwartale z zachowaniem następujących zasad i w następujący sposób:</w:t>
      </w:r>
    </w:p>
    <w:p w14:paraId="61FF0225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Na  podstawie art. 439 PZP Strony dopuszczają zmianę wynagrodzenia Wykonawcy. Strony przewidują możliwość zmiany dla stawki jednostkowej </w:t>
      </w:r>
      <w:r w:rsidRPr="00A80480">
        <w:rPr>
          <w:rFonts w:ascii="Times New Roman" w:hAnsi="Times New Roman" w:cs="Times New Roman"/>
          <w:sz w:val="24"/>
          <w:szCs w:val="24"/>
        </w:rPr>
        <w:t>za kWh</w:t>
      </w:r>
      <w:r w:rsidRPr="00921ED9">
        <w:rPr>
          <w:rFonts w:ascii="Times New Roman" w:hAnsi="Times New Roman" w:cs="Times New Roman"/>
          <w:sz w:val="24"/>
          <w:szCs w:val="24"/>
        </w:rPr>
        <w:t xml:space="preserve"> pobranego paliwa gazowego w odniesieniu do wolumenu nie objętego ochroną taryfową, w związku ze wzrostem cen paliwa gazowego, które Wykonawca musi zakupić w celu zrealizowania przedmiotu zamówienia.</w:t>
      </w:r>
    </w:p>
    <w:p w14:paraId="0F021E4F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Waloryzacja nie dotyczy cen jednostkowych stosowanych do rozliczeń i zawartych w taryfach  dystrybucyjnych i sprzedażowych zatwierdzonych przez Prezesa URE.</w:t>
      </w:r>
    </w:p>
    <w:p w14:paraId="5F518082" w14:textId="1DD5A073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Wykonawcy, chyba, że zostanie wykazane, że pomimo dokonania zakupu gazu ziemnego z góry, nastąpił wzrost innych niż gaz ziemny kosztów i materiałów związanych z realizacją zamówienia, powyżej minimalnego poziomu określonego w pkt 41 poziomu od 30%</w:t>
      </w:r>
      <w:r w:rsidR="00FA7678">
        <w:rPr>
          <w:rFonts w:ascii="Times New Roman" w:hAnsi="Times New Roman" w:cs="Times New Roman"/>
          <w:sz w:val="24"/>
          <w:szCs w:val="24"/>
        </w:rPr>
        <w:t xml:space="preserve"> </w:t>
      </w:r>
      <w:r w:rsidR="00C726B5" w:rsidRPr="00921ED9">
        <w:rPr>
          <w:rFonts w:ascii="Times New Roman" w:hAnsi="Times New Roman" w:cs="Times New Roman"/>
          <w:sz w:val="24"/>
          <w:szCs w:val="24"/>
        </w:rPr>
        <w:t>średnioważonej ceny miesięcznej RDNg na TGE.</w:t>
      </w:r>
    </w:p>
    <w:p w14:paraId="4720055F" w14:textId="347DA70B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Warunkiem zastosowania mechanizmu waloryzacji jest złożenie przez Wykonawcę 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lub Zamawiającego </w:t>
      </w:r>
      <w:r w:rsidRPr="00921ED9">
        <w:rPr>
          <w:rFonts w:ascii="Times New Roman" w:hAnsi="Times New Roman" w:cs="Times New Roman"/>
          <w:sz w:val="24"/>
          <w:szCs w:val="24"/>
        </w:rPr>
        <w:t xml:space="preserve">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 </w:t>
      </w:r>
    </w:p>
    <w:p w14:paraId="390E747F" w14:textId="6D7B4E19" w:rsidR="00A76351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Wykonawca najpóźniej w dniu zawarcia umowy złoży Zamawiającemu oświadczenie czy  dokonał zakupu gazu ziemnego z góry dla całego okresu objętego umową czy też będzie dokonywał zakupu gazu ze wskazaną w oświadczeniu częstotliwością. </w:t>
      </w:r>
    </w:p>
    <w:p w14:paraId="327AE0AF" w14:textId="4221F108" w:rsidR="00F41F93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składając wniosek o zmianę, powin</w:t>
      </w:r>
      <w:r w:rsidR="00C726B5" w:rsidRPr="00921ED9">
        <w:rPr>
          <w:rFonts w:ascii="Times New Roman" w:hAnsi="Times New Roman" w:cs="Times New Roman"/>
          <w:sz w:val="24"/>
          <w:szCs w:val="24"/>
        </w:rPr>
        <w:t>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przedstawić w szczególności wyliczenie wnioskowanej kwoty zmiany wynagrodzenia oraz dowody na to, że zmiana ceny paliwa gazowego na TGE wpływa na koszt realizacji zamówienia objętego umową oraz dat dokonania zakupu gazu ziemnego. </w:t>
      </w:r>
    </w:p>
    <w:p w14:paraId="5B4752A4" w14:textId="6757DB75" w:rsidR="00921ED9" w:rsidRPr="00B311A7" w:rsidRDefault="00F41F93" w:rsidP="00B311A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Zmiana wynagrodzenia wymaga zgodnej woli obu stron wyrażonej aneksem do umowy przy czym Strona rozpatrująca zobowiązana jest rozpatrzyć wniosek Strony wnioskującej w terminie do 7 dni od daty wpływu (również w postaci elektronicznej).</w:t>
      </w:r>
    </w:p>
    <w:p w14:paraId="3CCCD445" w14:textId="7F208B0A" w:rsidR="00F41F93" w:rsidRPr="00921ED9" w:rsidRDefault="00F41F93" w:rsidP="00C726B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Strona uprawniona jest do złożenia wniosku o waloryzacj</w:t>
      </w:r>
      <w:r w:rsidR="00C726B5" w:rsidRPr="00921ED9">
        <w:rPr>
          <w:rFonts w:ascii="Times New Roman" w:hAnsi="Times New Roman" w:cs="Times New Roman"/>
          <w:sz w:val="24"/>
          <w:szCs w:val="24"/>
        </w:rPr>
        <w:t>ę</w:t>
      </w:r>
      <w:r w:rsidRPr="00921ED9">
        <w:rPr>
          <w:rFonts w:ascii="Times New Roman" w:hAnsi="Times New Roman" w:cs="Times New Roman"/>
          <w:sz w:val="24"/>
          <w:szCs w:val="24"/>
        </w:rPr>
        <w:t xml:space="preserve"> w przypadku zmiany (wzrostu lub spadku) średnioważonej ceny miesięcznej RDNg (Rynek Dnia Następnego gazu) na Towarowej Giełdzie Energii SA (cena publikowana w Raportach Miesięcznych </w:t>
      </w:r>
      <w:hyperlink r:id="rId9" w:history="1">
        <w:r w:rsidRPr="00921ED9">
          <w:rPr>
            <w:rStyle w:val="Hipercze"/>
            <w:rFonts w:ascii="Times New Roman" w:hAnsi="Times New Roman" w:cs="Times New Roman"/>
            <w:sz w:val="24"/>
            <w:szCs w:val="24"/>
          </w:rPr>
          <w:t>https://tge.pl/dane-statystyczne</w:t>
        </w:r>
      </w:hyperlink>
      <w:r w:rsidRPr="00921ED9">
        <w:rPr>
          <w:rFonts w:ascii="Times New Roman" w:hAnsi="Times New Roman" w:cs="Times New Roman"/>
          <w:sz w:val="24"/>
          <w:szCs w:val="24"/>
        </w:rPr>
        <w:t xml:space="preserve">) w stosunku do średnioważonej ceny z miesiąca, w którym </w:t>
      </w:r>
      <w:r w:rsidR="00A76351" w:rsidRPr="00921ED9">
        <w:rPr>
          <w:rFonts w:ascii="Times New Roman" w:hAnsi="Times New Roman" w:cs="Times New Roman"/>
          <w:sz w:val="24"/>
          <w:szCs w:val="24"/>
        </w:rPr>
        <w:t>strony zawarły umowę</w:t>
      </w:r>
      <w:r w:rsidRPr="00921ED9">
        <w:rPr>
          <w:rFonts w:ascii="Times New Roman" w:hAnsi="Times New Roman" w:cs="Times New Roman"/>
          <w:sz w:val="24"/>
          <w:szCs w:val="24"/>
        </w:rPr>
        <w:t>.</w:t>
      </w:r>
    </w:p>
    <w:p w14:paraId="04158556" w14:textId="4490CD9F" w:rsidR="00F41F93" w:rsidRPr="00921ED9" w:rsidRDefault="00A76351" w:rsidP="003A67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</w:t>
      </w:r>
      <w:r w:rsidR="00F41F93" w:rsidRPr="00921ED9">
        <w:rPr>
          <w:rFonts w:ascii="Times New Roman" w:hAnsi="Times New Roman" w:cs="Times New Roman"/>
          <w:sz w:val="24"/>
          <w:szCs w:val="24"/>
        </w:rPr>
        <w:t>miana średnioważonej ceny miesięcznej RDNg na TGE może być kalkulowana po upływie 6 miesięcy obowiązywania umowy na poniższych zasadach:</w:t>
      </w:r>
    </w:p>
    <w:p w14:paraId="1ABA023A" w14:textId="3529CDCF" w:rsidR="00C726B5" w:rsidRPr="00921ED9" w:rsidRDefault="00F41F93" w:rsidP="00C726B5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1)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 wartość do 30% włącznie to wszystkie ceny jednostkowe paliwa gazowego, które podlegają waloryzacji nie zostaną zmienione,</w:t>
      </w:r>
    </w:p>
    <w:p w14:paraId="48A8F8A7" w14:textId="59B4ED17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2)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</w:t>
      </w:r>
      <w:r w:rsidRPr="00921ED9">
        <w:rPr>
          <w:rFonts w:ascii="Times New Roman" w:hAnsi="Times New Roman" w:cs="Times New Roman"/>
          <w:sz w:val="24"/>
          <w:szCs w:val="24"/>
        </w:rPr>
        <w:t>od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30</w:t>
      </w:r>
      <w:r w:rsidRPr="00921ED9">
        <w:rPr>
          <w:rFonts w:ascii="Times New Roman" w:hAnsi="Times New Roman" w:cs="Times New Roman"/>
          <w:sz w:val="24"/>
          <w:szCs w:val="24"/>
        </w:rPr>
        <w:t>,1</w:t>
      </w:r>
      <w:r w:rsidR="00F41F93" w:rsidRPr="00921ED9">
        <w:rPr>
          <w:rFonts w:ascii="Times New Roman" w:hAnsi="Times New Roman" w:cs="Times New Roman"/>
          <w:sz w:val="24"/>
          <w:szCs w:val="24"/>
        </w:rPr>
        <w:t>% do 40%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2%</w:t>
      </w:r>
    </w:p>
    <w:p w14:paraId="1557F24A" w14:textId="14B41FD2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3)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od 40,1% do 50%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3%</w:t>
      </w:r>
    </w:p>
    <w:p w14:paraId="69F6CFA1" w14:textId="4CD7E666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4</w:t>
      </w:r>
      <w:r w:rsidR="00F41F93" w:rsidRPr="00921ED9">
        <w:rPr>
          <w:rFonts w:ascii="Times New Roman" w:hAnsi="Times New Roman" w:cs="Times New Roman"/>
          <w:sz w:val="24"/>
          <w:szCs w:val="24"/>
        </w:rPr>
        <w:t>) wartość od 50,1%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o 5%. </w:t>
      </w:r>
    </w:p>
    <w:p w14:paraId="1505CDE9" w14:textId="77777777" w:rsidR="00921ED9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42.</w:t>
      </w:r>
      <w:r w:rsidR="00F41F93" w:rsidRPr="00921ED9">
        <w:rPr>
          <w:rFonts w:ascii="Times New Roman" w:hAnsi="Times New Roman"/>
          <w:sz w:val="24"/>
          <w:szCs w:val="24"/>
        </w:rPr>
        <w:t xml:space="preserve">Zmiana  wysokości  cen  jednostkowych  nastąpi  z dniem podpisanie aneksu. </w:t>
      </w:r>
    </w:p>
    <w:p w14:paraId="17C74888" w14:textId="1584D426" w:rsidR="00A76351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</w:t>
      </w:r>
      <w:r w:rsidR="00A76351" w:rsidRPr="00921ED9">
        <w:rPr>
          <w:rFonts w:ascii="Times New Roman" w:hAnsi="Times New Roman"/>
          <w:sz w:val="24"/>
          <w:szCs w:val="24"/>
        </w:rPr>
        <w:t>W wyniku zastosowania postanowień związanych z waloryzacją wynagrodzenia, maksymalna zmiana wysokości wynagrodzenia ryczałtowego</w:t>
      </w:r>
      <w:r w:rsidR="00B311A7">
        <w:rPr>
          <w:rFonts w:ascii="Times New Roman" w:hAnsi="Times New Roman"/>
          <w:sz w:val="24"/>
          <w:szCs w:val="24"/>
        </w:rPr>
        <w:t xml:space="preserve"> </w:t>
      </w:r>
      <w:r w:rsidR="00A76351" w:rsidRPr="00921ED9">
        <w:rPr>
          <w:rFonts w:ascii="Times New Roman" w:hAnsi="Times New Roman"/>
          <w:sz w:val="24"/>
          <w:szCs w:val="24"/>
        </w:rPr>
        <w:t>jaką dopuszcza Zamawiający nie może przekroczyć wysokości 5% całkowitego wynagrodzenia ryczałtowego</w:t>
      </w:r>
      <w:r w:rsidR="00E274E1" w:rsidRPr="00921ED9">
        <w:rPr>
          <w:rFonts w:ascii="Times New Roman" w:hAnsi="Times New Roman"/>
          <w:sz w:val="24"/>
          <w:szCs w:val="24"/>
        </w:rPr>
        <w:t xml:space="preserve"> brutto</w:t>
      </w:r>
      <w:r w:rsidR="00A76351" w:rsidRPr="00921ED9">
        <w:rPr>
          <w:rFonts w:ascii="Times New Roman" w:hAnsi="Times New Roman"/>
          <w:sz w:val="24"/>
          <w:szCs w:val="24"/>
        </w:rPr>
        <w:t xml:space="preserve"> określonego w Umowie</w:t>
      </w:r>
      <w:r w:rsidR="00BD300E">
        <w:rPr>
          <w:rFonts w:ascii="Times New Roman" w:hAnsi="Times New Roman"/>
          <w:sz w:val="24"/>
          <w:szCs w:val="24"/>
        </w:rPr>
        <w:t xml:space="preserve"> (formularzu ofertow</w:t>
      </w:r>
      <w:r w:rsidR="00027E48">
        <w:rPr>
          <w:rFonts w:ascii="Times New Roman" w:hAnsi="Times New Roman"/>
          <w:sz w:val="24"/>
          <w:szCs w:val="24"/>
        </w:rPr>
        <w:t>o-cenowym</w:t>
      </w:r>
      <w:r w:rsidR="00BD300E">
        <w:rPr>
          <w:rFonts w:ascii="Times New Roman" w:hAnsi="Times New Roman"/>
          <w:sz w:val="24"/>
          <w:szCs w:val="24"/>
        </w:rPr>
        <w:t>)</w:t>
      </w:r>
      <w:r w:rsidR="00A76351" w:rsidRPr="00921ED9">
        <w:rPr>
          <w:rFonts w:ascii="Times New Roman" w:hAnsi="Times New Roman"/>
          <w:sz w:val="24"/>
          <w:szCs w:val="24"/>
        </w:rPr>
        <w:t xml:space="preserve"> z chwili jej zawarcia.</w:t>
      </w:r>
    </w:p>
    <w:p w14:paraId="50BD5C5C" w14:textId="77777777" w:rsidR="00F5497F" w:rsidRDefault="00F5497F" w:rsidP="00F5497F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</w:t>
      </w:r>
      <w:r w:rsidRPr="00B62D7A">
        <w:rPr>
          <w:rFonts w:ascii="Times New Roman" w:hAnsi="Times New Roman"/>
          <w:sz w:val="24"/>
          <w:szCs w:val="24"/>
        </w:rPr>
        <w:t xml:space="preserve">Wykonawca, którego wynagrodzenie zostało zmienione zgodnie z </w:t>
      </w:r>
      <w:r>
        <w:rPr>
          <w:rFonts w:ascii="Times New Roman" w:hAnsi="Times New Roman"/>
          <w:sz w:val="24"/>
          <w:szCs w:val="24"/>
        </w:rPr>
        <w:t>pkt</w:t>
      </w:r>
      <w:r w:rsidRPr="00B62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33-42</w:t>
      </w:r>
      <w:r w:rsidRPr="00B62D7A">
        <w:rPr>
          <w:rFonts w:ascii="Times New Roman" w:hAnsi="Times New Roman"/>
          <w:sz w:val="24"/>
          <w:szCs w:val="24"/>
        </w:rPr>
        <w:t xml:space="preserve"> zobowiązany jest do zmiany wynagrodzenia przysługującego podwykonawcy, z którym zawarł umowę, w zakresie odpowiadającym zmianom </w:t>
      </w:r>
      <w:r>
        <w:rPr>
          <w:rFonts w:ascii="Times New Roman" w:hAnsi="Times New Roman"/>
          <w:sz w:val="24"/>
          <w:szCs w:val="24"/>
        </w:rPr>
        <w:t xml:space="preserve">cen </w:t>
      </w:r>
      <w:r w:rsidRPr="00B62D7A">
        <w:rPr>
          <w:rFonts w:ascii="Times New Roman" w:hAnsi="Times New Roman"/>
          <w:sz w:val="24"/>
          <w:szCs w:val="24"/>
        </w:rPr>
        <w:t xml:space="preserve">dotyczących zobowiązania podwykonawcy, </w:t>
      </w:r>
      <w:r>
        <w:rPr>
          <w:rFonts w:ascii="Times New Roman" w:hAnsi="Times New Roman"/>
          <w:sz w:val="24"/>
          <w:szCs w:val="24"/>
        </w:rPr>
        <w:t>na zasadach określonych w art. 439 ust. 5 PZP.</w:t>
      </w:r>
    </w:p>
    <w:p w14:paraId="0B8D0393" w14:textId="77777777" w:rsidR="00F5497F" w:rsidRPr="00921ED9" w:rsidRDefault="00F5497F" w:rsidP="00F5497F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45. W przypadku niewykonania obowiązku, o którym mowa w pkt 44 tj. w razie </w:t>
      </w:r>
      <w:r w:rsidRPr="00B62D7A">
        <w:rPr>
          <w:rFonts w:ascii="Times New Roman" w:hAnsi="Times New Roman"/>
          <w:sz w:val="24"/>
          <w:szCs w:val="24"/>
        </w:rPr>
        <w:t>braku zapłaty lub nieterminowej zapłaty wynagrodzenia należnego podwykonawcom z tytułu zmiany wysokości wynagrodzenia, o której mowa w art. 439 ust. 5</w:t>
      </w:r>
      <w:r>
        <w:rPr>
          <w:rFonts w:ascii="Times New Roman" w:hAnsi="Times New Roman"/>
          <w:sz w:val="24"/>
          <w:szCs w:val="24"/>
        </w:rPr>
        <w:t xml:space="preserve"> PZP,</w:t>
      </w:r>
      <w:r w:rsidRPr="00B62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Wykonawca zapłaci Zamawiającemu karę umowną w wysokości 5.000 zł za każdy przypadek.</w:t>
      </w:r>
    </w:p>
    <w:p w14:paraId="23CB7E6A" w14:textId="77777777" w:rsidR="00F5497F" w:rsidRPr="00921ED9" w:rsidRDefault="00F5497F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11FE3696" w14:textId="5900964A" w:rsidR="00B50D06" w:rsidRPr="00921ED9" w:rsidRDefault="00B50D06" w:rsidP="003A674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13004" w14:textId="77777777" w:rsidR="000B1E24" w:rsidRPr="00921ED9" w:rsidRDefault="000B1E24" w:rsidP="000B1E24">
      <w:pPr>
        <w:pStyle w:val="Default"/>
        <w:adjustRightInd w:val="0"/>
        <w:ind w:left="720"/>
        <w:jc w:val="both"/>
        <w:rPr>
          <w:rFonts w:ascii="Times New Roman" w:hAnsi="Times New Roman" w:cs="Times New Roman"/>
        </w:rPr>
      </w:pPr>
    </w:p>
    <w:p w14:paraId="041D3656" w14:textId="77777777" w:rsidR="00B41DD1" w:rsidRPr="00CB1B3E" w:rsidRDefault="00B41DD1">
      <w:pPr>
        <w:rPr>
          <w:rFonts w:ascii="Times New Roman" w:hAnsi="Times New Roman"/>
          <w:sz w:val="24"/>
          <w:szCs w:val="24"/>
        </w:rPr>
      </w:pPr>
    </w:p>
    <w:sectPr w:rsidR="00B41DD1" w:rsidRPr="00CB1B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998D" w14:textId="77777777" w:rsidR="00E83AE0" w:rsidRDefault="00E83AE0" w:rsidP="00FA1BF0">
      <w:pPr>
        <w:spacing w:after="0" w:line="240" w:lineRule="auto"/>
      </w:pPr>
      <w:r>
        <w:separator/>
      </w:r>
    </w:p>
  </w:endnote>
  <w:endnote w:type="continuationSeparator" w:id="0">
    <w:p w14:paraId="674C55C4" w14:textId="77777777" w:rsidR="00E83AE0" w:rsidRDefault="00E83AE0" w:rsidP="00FA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1412" w14:textId="77777777" w:rsidR="00FA1BF0" w:rsidRDefault="00FA1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E16F" w14:textId="77777777" w:rsidR="00FA1BF0" w:rsidRDefault="00FA1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4266" w14:textId="77777777" w:rsidR="00FA1BF0" w:rsidRDefault="00FA1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81EB" w14:textId="77777777" w:rsidR="00E83AE0" w:rsidRDefault="00E83AE0" w:rsidP="00FA1BF0">
      <w:pPr>
        <w:spacing w:after="0" w:line="240" w:lineRule="auto"/>
      </w:pPr>
      <w:r>
        <w:separator/>
      </w:r>
    </w:p>
  </w:footnote>
  <w:footnote w:type="continuationSeparator" w:id="0">
    <w:p w14:paraId="088CD4A3" w14:textId="77777777" w:rsidR="00E83AE0" w:rsidRDefault="00E83AE0" w:rsidP="00FA1BF0">
      <w:pPr>
        <w:spacing w:after="0" w:line="240" w:lineRule="auto"/>
      </w:pPr>
      <w:r>
        <w:continuationSeparator/>
      </w:r>
    </w:p>
  </w:footnote>
  <w:footnote w:id="1">
    <w:p w14:paraId="76F68AD2" w14:textId="4B6D85F6" w:rsidR="007C1F1C" w:rsidRDefault="007C1F1C">
      <w:pPr>
        <w:pStyle w:val="Tekstprzypisudolnego"/>
      </w:pPr>
      <w:r>
        <w:rPr>
          <w:rStyle w:val="Odwoanieprzypisudolnego"/>
        </w:rPr>
        <w:footnoteRef/>
      </w:r>
      <w:r>
        <w:t xml:space="preserve"> Właściwy wariant zostanie wpisany do umowy zawartej na daną część zamówienia</w:t>
      </w:r>
    </w:p>
  </w:footnote>
  <w:footnote w:id="2">
    <w:p w14:paraId="20C8111C" w14:textId="77777777" w:rsidR="00DE585B" w:rsidRDefault="00DE585B" w:rsidP="00DE585B">
      <w:pPr>
        <w:pStyle w:val="Tekstprzypisudolnego"/>
      </w:pPr>
      <w:r>
        <w:rPr>
          <w:rStyle w:val="Odwoanieprzypisudolnego"/>
        </w:rPr>
        <w:footnoteRef/>
      </w:r>
      <w:r>
        <w:t xml:space="preserve">  Właściwy wariant zostanie wpisany do umowy zawartej na daną część zamówienia</w:t>
      </w:r>
    </w:p>
    <w:p w14:paraId="36453304" w14:textId="77777777" w:rsidR="00DE585B" w:rsidRDefault="00DE585B" w:rsidP="00DE585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ECB4" w14:textId="77777777" w:rsidR="00FA1BF0" w:rsidRDefault="00FA1B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F73D" w14:textId="77777777" w:rsidR="00FA1BF0" w:rsidRDefault="00FA1B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7DD9" w14:textId="77777777" w:rsidR="00FA1BF0" w:rsidRDefault="00FA1B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3570"/>
    <w:multiLevelType w:val="hybridMultilevel"/>
    <w:tmpl w:val="39B2C79C"/>
    <w:lvl w:ilvl="0" w:tplc="1534BD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85545"/>
    <w:multiLevelType w:val="hybridMultilevel"/>
    <w:tmpl w:val="57968FB2"/>
    <w:lvl w:ilvl="0" w:tplc="1980B04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C43904"/>
    <w:multiLevelType w:val="hybridMultilevel"/>
    <w:tmpl w:val="1960BE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B547713"/>
    <w:multiLevelType w:val="hybridMultilevel"/>
    <w:tmpl w:val="54BC0300"/>
    <w:name w:val="WW8Num262222222222"/>
    <w:lvl w:ilvl="0" w:tplc="6FF8D672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333D93"/>
    <w:multiLevelType w:val="hybridMultilevel"/>
    <w:tmpl w:val="5D7A7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18B6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E24"/>
    <w:rsid w:val="000105E6"/>
    <w:rsid w:val="00027E48"/>
    <w:rsid w:val="00052D19"/>
    <w:rsid w:val="000830D1"/>
    <w:rsid w:val="000B1E24"/>
    <w:rsid w:val="000E6F51"/>
    <w:rsid w:val="0012529E"/>
    <w:rsid w:val="001777F1"/>
    <w:rsid w:val="00196526"/>
    <w:rsid w:val="00292ECD"/>
    <w:rsid w:val="002D478D"/>
    <w:rsid w:val="003255D1"/>
    <w:rsid w:val="003A51D3"/>
    <w:rsid w:val="003A6748"/>
    <w:rsid w:val="003B7831"/>
    <w:rsid w:val="00404664"/>
    <w:rsid w:val="00420831"/>
    <w:rsid w:val="004624E8"/>
    <w:rsid w:val="004C0E61"/>
    <w:rsid w:val="00582694"/>
    <w:rsid w:val="005A4FA6"/>
    <w:rsid w:val="005D242A"/>
    <w:rsid w:val="006655FB"/>
    <w:rsid w:val="00667CA5"/>
    <w:rsid w:val="00680096"/>
    <w:rsid w:val="00772DCF"/>
    <w:rsid w:val="00794DDA"/>
    <w:rsid w:val="007C1F1C"/>
    <w:rsid w:val="00845AB2"/>
    <w:rsid w:val="00897D20"/>
    <w:rsid w:val="008A4B40"/>
    <w:rsid w:val="008C653D"/>
    <w:rsid w:val="00912869"/>
    <w:rsid w:val="00921ED9"/>
    <w:rsid w:val="0092429B"/>
    <w:rsid w:val="0093595B"/>
    <w:rsid w:val="00942EF2"/>
    <w:rsid w:val="00977862"/>
    <w:rsid w:val="0099285C"/>
    <w:rsid w:val="009B018D"/>
    <w:rsid w:val="009F1949"/>
    <w:rsid w:val="00A012E9"/>
    <w:rsid w:val="00A51E22"/>
    <w:rsid w:val="00A76351"/>
    <w:rsid w:val="00A80480"/>
    <w:rsid w:val="00AB2C99"/>
    <w:rsid w:val="00AF571F"/>
    <w:rsid w:val="00B16356"/>
    <w:rsid w:val="00B311A7"/>
    <w:rsid w:val="00B41DD1"/>
    <w:rsid w:val="00B50D06"/>
    <w:rsid w:val="00B76002"/>
    <w:rsid w:val="00BC66B1"/>
    <w:rsid w:val="00BD300E"/>
    <w:rsid w:val="00BF43F5"/>
    <w:rsid w:val="00C5746A"/>
    <w:rsid w:val="00C726B5"/>
    <w:rsid w:val="00CA43D3"/>
    <w:rsid w:val="00CB1B3E"/>
    <w:rsid w:val="00CC2A13"/>
    <w:rsid w:val="00CF66CB"/>
    <w:rsid w:val="00D141A6"/>
    <w:rsid w:val="00D713B9"/>
    <w:rsid w:val="00D877D8"/>
    <w:rsid w:val="00DA2152"/>
    <w:rsid w:val="00DE585B"/>
    <w:rsid w:val="00E274E1"/>
    <w:rsid w:val="00E83AE0"/>
    <w:rsid w:val="00EB28A7"/>
    <w:rsid w:val="00ED6315"/>
    <w:rsid w:val="00F21D8E"/>
    <w:rsid w:val="00F41F93"/>
    <w:rsid w:val="00F5497F"/>
    <w:rsid w:val="00FA1BF0"/>
    <w:rsid w:val="00FA7678"/>
    <w:rsid w:val="00FC254E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4A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0B1E24"/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0B1E2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B1E2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reA">
    <w:name w:val="Treść A"/>
    <w:rsid w:val="000B1E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B1E24"/>
  </w:style>
  <w:style w:type="character" w:styleId="Odwoaniedokomentarza">
    <w:name w:val="annotation reference"/>
    <w:basedOn w:val="Domylnaczcionkaakapitu"/>
    <w:uiPriority w:val="99"/>
    <w:semiHidden/>
    <w:unhideWhenUsed/>
    <w:rsid w:val="002D4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8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8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78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D0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F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1F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F9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0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00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300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ECD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EC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BC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ge.pl/dane-statystyczn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2563</Words>
  <Characters>15379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2024-10-31T12:59:00Z</dcterms:created>
  <dcterms:modified xsi:type="dcterms:W3CDTF">2024-10-31T12:59:00Z</dcterms:modified>
</cp:coreProperties>
</file>