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9702126" w14:textId="2FE2B01F" w:rsidR="00A37B4C" w:rsidRPr="00A37B4C" w:rsidRDefault="00A37B4C" w:rsidP="00A37B4C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bookmarkStart w:id="0" w:name="_Hlk150776351"/>
            <w:r w:rsidRPr="00A37B4C">
              <w:rPr>
                <w:rFonts w:asciiTheme="minorHAnsi" w:hAnsiTheme="minorHAnsi" w:cstheme="minorHAnsi"/>
                <w:b/>
                <w:bCs/>
                <w:sz w:val="28"/>
              </w:rPr>
              <w:t>Dostawa kompaktowego proszkowego dyfraktometru rentgenowskiego XRD z  osprzętem dla Katedry Biochemii, Biologii Molekularnej i Biotechnologii Wydziału Chemicznego Politechniki Wrocławskiej</w:t>
            </w:r>
            <w:bookmarkEnd w:id="0"/>
          </w:p>
          <w:p w14:paraId="65A1E12B" w14:textId="0842F835" w:rsidR="00E82E9F" w:rsidRPr="00925B36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8"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A37B4C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A37B4C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AA84" w14:textId="77777777" w:rsidR="00B77411" w:rsidRDefault="00B774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2E05" w14:textId="77777777" w:rsidR="00B77411" w:rsidRDefault="00B774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E4706CF" w14:textId="28215F25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B77411">
      <w:rPr>
        <w:rFonts w:ascii="Calibri" w:hAnsi="Calibri"/>
        <w:b/>
        <w:i/>
        <w:color w:val="385623"/>
        <w:sz w:val="16"/>
        <w:lang w:val="pl-PL"/>
      </w:rPr>
      <w:t>2</w:t>
    </w:r>
    <w:r w:rsidR="00A37B4C">
      <w:rPr>
        <w:rFonts w:ascii="Calibri" w:hAnsi="Calibri"/>
        <w:b/>
        <w:i/>
        <w:color w:val="385623"/>
        <w:sz w:val="16"/>
        <w:lang w:val="pl-PL"/>
      </w:rPr>
      <w:t>22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7B4C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6289519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99F8-5EE2-42FF-A964-CA18A0B0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475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6</cp:revision>
  <cp:lastPrinted>2021-03-16T10:14:00Z</cp:lastPrinted>
  <dcterms:created xsi:type="dcterms:W3CDTF">2024-09-26T08:19:00Z</dcterms:created>
  <dcterms:modified xsi:type="dcterms:W3CDTF">2024-10-28T08:20:00Z</dcterms:modified>
</cp:coreProperties>
</file>