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center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ab/>
        <w:tab/>
        <w:tab/>
        <w:t xml:space="preserve"> </w:t>
      </w:r>
      <w:r>
        <w:rPr>
          <w:b/>
          <w:sz w:val="24"/>
          <w:szCs w:val="24"/>
        </w:rPr>
        <w:t>Załącznik nr 3</w:t>
        <w:br/>
        <w:t>P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>rojektowane postanowienia umowy do</w:t>
      </w:r>
    </w:p>
    <w:p>
      <w:pPr>
        <w:pStyle w:val="Standard"/>
        <w:jc w:val="center"/>
        <w:rPr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>do  postępowania o udzielenie zamówienia publicznego pn.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pl-PL" w:bidi="ar-SA"/>
        </w:rPr>
        <w:t>:</w:t>
      </w:r>
    </w:p>
    <w:p>
      <w:pPr>
        <w:pStyle w:val="Standard"/>
        <w:jc w:val="center"/>
        <w:rPr>
          <w:sz w:val="24"/>
          <w:szCs w:val="24"/>
        </w:rPr>
      </w:pPr>
      <w:r>
        <w:rPr>
          <w:rFonts w:eastAsia="Arial" w:cs="Liberation Serif"/>
          <w:b/>
          <w:bCs/>
          <w:i/>
          <w:iCs/>
          <w:color w:val="000000"/>
          <w:sz w:val="24"/>
          <w:szCs w:val="24"/>
          <w:lang w:eastAsia="ar-SA" w:bidi="ar-SA"/>
        </w:rPr>
        <w:t>„</w:t>
      </w:r>
      <w:r>
        <w:rPr>
          <w:rFonts w:eastAsia="Arial" w:cs="Liberation Serif"/>
          <w:b/>
          <w:bCs/>
          <w:i/>
          <w:iCs/>
          <w:color w:val="000000"/>
          <w:sz w:val="24"/>
          <w:szCs w:val="24"/>
          <w:lang w:eastAsia="ar-SA"/>
        </w:rPr>
        <w:t>Kompleksowa d</w:t>
      </w:r>
      <w:r>
        <w:rPr>
          <w:rFonts w:cs="Liberation Serif"/>
          <w:b/>
          <w:bCs/>
          <w:i/>
          <w:iCs/>
          <w:color w:val="000000"/>
          <w:sz w:val="24"/>
          <w:szCs w:val="24"/>
          <w:lang w:eastAsia="ar-SA"/>
        </w:rPr>
        <w:t xml:space="preserve">ostawa gazu ziemnego (sprzedaż i dystrybucja) </w:t>
      </w:r>
      <w:r>
        <w:rPr>
          <w:rFonts w:cs="Liberation Serif"/>
          <w:b/>
          <w:bCs/>
          <w:i/>
          <w:iCs/>
          <w:color w:val="000000"/>
          <w:sz w:val="24"/>
          <w:szCs w:val="24"/>
        </w:rPr>
        <w:t>na potrzeby obiektów</w:t>
      </w:r>
    </w:p>
    <w:p>
      <w:pPr>
        <w:pStyle w:val="Standard"/>
        <w:jc w:val="center"/>
        <w:rPr>
          <w:sz w:val="24"/>
          <w:szCs w:val="24"/>
        </w:rPr>
      </w:pPr>
      <w:r>
        <w:rPr>
          <w:rFonts w:cs="Liberation Serif"/>
          <w:b/>
          <w:bCs/>
          <w:i/>
          <w:iCs/>
          <w:color w:val="000000"/>
          <w:sz w:val="24"/>
          <w:szCs w:val="24"/>
        </w:rPr>
        <w:t>stanowiących własność Gminy</w:t>
      </w:r>
      <w:r>
        <w:rPr>
          <w:rFonts w:cs="Liberation Serif"/>
          <w:b/>
          <w:bCs/>
          <w:i/>
          <w:iCs/>
          <w:color w:val="000000"/>
          <w:sz w:val="24"/>
          <w:szCs w:val="24"/>
          <w:lang w:eastAsia="ar-SA"/>
        </w:rPr>
        <w:t xml:space="preserve"> Borzęcin.</w:t>
      </w:r>
      <w:r>
        <w:rPr>
          <w:rFonts w:eastAsia="Arial" w:cs="Liberation Serif"/>
          <w:b/>
          <w:bCs/>
          <w:i/>
          <w:iCs/>
          <w:color w:val="000000"/>
          <w:sz w:val="24"/>
          <w:szCs w:val="24"/>
          <w:lang w:eastAsia="ar-SA"/>
        </w:rPr>
        <w:t>”</w:t>
      </w:r>
    </w:p>
    <w:p>
      <w:pPr>
        <w:pStyle w:val="Standard"/>
        <w:rPr>
          <w:b/>
          <w:b/>
        </w:rPr>
      </w:pPr>
      <w:r>
        <w:rPr>
          <w:b/>
        </w:rPr>
      </w:r>
    </w:p>
    <w:p>
      <w:pPr>
        <w:pStyle w:val="Standard"/>
        <w:jc w:val="both"/>
        <w:rPr>
          <w:sz w:val="23"/>
          <w:szCs w:val="23"/>
        </w:rPr>
      </w:pPr>
      <w:r>
        <w:rPr>
          <w:sz w:val="23"/>
          <w:szCs w:val="23"/>
        </w:rPr>
        <w:t>1. Przedmiotem umowy jest kompleksowa dostawa gazu, obejmująca sprzedaż oraz dystrybucję, do obiektów stanowiących własność Gmin</w:t>
      </w:r>
      <w:r>
        <w:rPr>
          <w:rFonts w:ascii="Liberation Serif" w:hAnsi="Liberation Serif"/>
          <w:sz w:val="23"/>
          <w:szCs w:val="23"/>
        </w:rPr>
        <w:t>y Borzęcin w okresie od 01.01.2025 r. –31.12.2025 r.</w:t>
      </w:r>
    </w:p>
    <w:p>
      <w:pPr>
        <w:pStyle w:val="Standard"/>
        <w:jc w:val="both"/>
        <w:rPr/>
      </w:pPr>
      <w:r>
        <w:rPr>
          <w:rFonts w:ascii="Liberation Serif" w:hAnsi="Liberation Serif"/>
          <w:sz w:val="23"/>
          <w:szCs w:val="23"/>
        </w:rPr>
        <w:t xml:space="preserve">2. Podstawą zawarcia niniejszej umowy jest rozstrzygnięcie postępowania w trybie podstawowym, przeprowadzonego zgodnie z ustawą z dnia 11 września 2019 r. Prawo zamówień publicznych </w:t>
      </w:r>
      <w:r>
        <w:rPr>
          <w:rFonts w:ascii="Liberation Serif" w:hAnsi="Liberation Serif"/>
          <w:b w:val="false"/>
          <w:bCs w:val="false"/>
          <w:sz w:val="23"/>
          <w:szCs w:val="23"/>
          <w:lang w:val="pl-PL"/>
        </w:rPr>
        <w:t xml:space="preserve"> </w:t>
      </w:r>
      <w:r>
        <w:rPr>
          <w:rStyle w:val="Mocnewyrnione"/>
          <w:rFonts w:eastAsia="Times New Roman" w:cs="Times New Roman" w:ascii="Liberation Serif" w:hAnsi="Liberation Serif"/>
          <w:b w:val="false"/>
          <w:bCs w:val="false"/>
          <w:i w:val="false"/>
          <w:iCs w:val="false"/>
          <w:caps w:val="false"/>
          <w:smallCaps w:val="false"/>
          <w:color w:val="auto"/>
          <w:spacing w:val="0"/>
          <w:sz w:val="23"/>
          <w:szCs w:val="23"/>
          <w:lang w:val="pl-PL" w:eastAsia="ar-SA" w:bidi="ar-SA"/>
        </w:rPr>
        <w:t>(</w:t>
      </w:r>
      <w:bookmarkStart w:id="0" w:name="page3R_mcid25"/>
      <w:bookmarkEnd w:id="0"/>
      <w:r>
        <w:rPr>
          <w:rStyle w:val="Mocnewyrnione"/>
          <w:rFonts w:eastAsia="Times New Roman" w:cs="Times New Roman" w:ascii="Liberation Serif" w:hAnsi="Liberation Serif"/>
          <w:b w:val="false"/>
          <w:bCs w:val="false"/>
          <w:i w:val="false"/>
          <w:iCs w:val="false"/>
          <w:caps w:val="false"/>
          <w:smallCaps w:val="false"/>
          <w:color w:val="auto"/>
          <w:spacing w:val="0"/>
          <w:sz w:val="23"/>
          <w:szCs w:val="23"/>
          <w:lang w:val="pl-PL" w:eastAsia="ar-SA" w:bidi="ar-SA"/>
        </w:rPr>
        <w:t>Dz. U. z 2024 r. poz. 1320).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rFonts w:ascii="Liberation Serif" w:hAnsi="Liberation Serif"/>
          <w:sz w:val="23"/>
          <w:szCs w:val="23"/>
        </w:rPr>
        <w:t>3. Sprzedaż paliwa gazowego będzie odbywać się na warunkach określonych przepisami ustawy Prawo energetyczne (tj. Dz. U. z 2021 r. poz. 716 ze zm.) oraz wydanych na jej podstawie przepisów wykonawczych, przepisami Kodeksu cywilnego, postanowieniami umowy oraz zgodnie z taryfą dla paliwa gazowego.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rFonts w:ascii="Liberation Serif" w:hAnsi="Liberation Serif"/>
          <w:sz w:val="23"/>
          <w:szCs w:val="23"/>
        </w:rPr>
        <w:t>4. Wykonawca oświadcza, że jest podmiotem uprawnionym do świadczenia przedmiotu umowy, tzn: korzysta z usługi dystrybucji na warunkach umowy dystrybucyjnej zawartej z Operatorem Systemu Dystrybucji (posiada status zleceniodawcy usługi dystrybucji, zgodnie z Instrukcją Ruchu i Eksploatacji Sieci Dystrybucyjnej OSD).</w:t>
      </w:r>
    </w:p>
    <w:p>
      <w:pPr>
        <w:pStyle w:val="Standard"/>
        <w:jc w:val="both"/>
        <w:rPr/>
      </w:pPr>
      <w:r>
        <w:rPr>
          <w:rFonts w:ascii="Liberation Serif" w:hAnsi="Liberation Serif"/>
          <w:sz w:val="23"/>
          <w:szCs w:val="23"/>
        </w:rPr>
        <w:t>5. W</w:t>
      </w:r>
      <w:r>
        <w:rPr>
          <w:rStyle w:val="H11"/>
          <w:rFonts w:eastAsia="Arial Unicode MS" w:cs="Tahoma" w:ascii="Liberation Serif" w:hAnsi="Liberation Serif"/>
          <w:b w:val="false"/>
          <w:bCs w:val="false"/>
          <w:i w:val="false"/>
          <w:iCs w:val="false"/>
          <w:color w:val="000000"/>
          <w:position w:val="0"/>
          <w:sz w:val="23"/>
          <w:sz w:val="23"/>
          <w:szCs w:val="23"/>
          <w:shd w:fill="auto" w:val="clear"/>
          <w:vertAlign w:val="baseline"/>
          <w:lang w:val="pl-PL" w:eastAsia="zxx" w:bidi="ar-SA"/>
        </w:rPr>
        <w:t>ykonawca zobowiązuje się dostarczać paliwo gazowe –gaz ziemny wysokometanowy (E) do instalacji znajdującej się w obiektach Odbiorcy oraz przenosić na Odbiorcę własność dostarczonego mu paliwa gazowego. Warunkiem rozpoczęcia dostaw jest pozytywnie zgłoszona umowa do OSD, zgodnie z terminami wynikającymi z Instrukcji Ruchu i Eksploatacji Sieci Dystrybucyjnej.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rFonts w:ascii="Liberation Serif" w:hAnsi="Liberation Serif"/>
          <w:sz w:val="23"/>
          <w:szCs w:val="23"/>
        </w:rPr>
        <w:t>6. Rozliczenia za dostarczone paliwo gazowe odbywać się będą na podstawie odczytów wskazań istniejącego układu pomiarowo –rozliczeniowego (gazomierza). Okres rozliczeniowy będzie zgodny z postanowieniami Taryfy Operatora Usług Dystrybucyjnych dla usług dystrybucji paliw gazowych w zakresie liczby odczytów dla danej grupy taryfowej.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rFonts w:ascii="Liberation Serif" w:hAnsi="Liberation Serif"/>
          <w:sz w:val="23"/>
          <w:szCs w:val="23"/>
        </w:rPr>
        <w:t>7. Własność paliwa gazowego przechodzi na Odbiorcę w granicy własności sieci gazowej, którą stanowi kurek główny odcinający dopływ paliwa gazowego, usytuowany na przyłączu gazowym w punkcie pomiarowym.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rFonts w:ascii="Liberation Serif" w:hAnsi="Liberation Serif"/>
          <w:sz w:val="23"/>
          <w:szCs w:val="23"/>
        </w:rPr>
        <w:t>8. Zamawiający przewiduje możliwość zmiany postanowień zawartej umowy w stosunku do treści oferty na podstawie, której dokonano wyboru oferty w następujących przypadkach:</w:t>
      </w:r>
    </w:p>
    <w:p>
      <w:pPr>
        <w:pStyle w:val="ListParagraph"/>
        <w:widowControl/>
        <w:suppressAutoHyphens w:val="false"/>
        <w:bidi w:val="0"/>
        <w:spacing w:lineRule="auto" w:line="288" w:before="0" w:after="0"/>
        <w:ind w:left="0" w:right="0" w:hanging="0"/>
        <w:jc w:val="both"/>
        <w:textAlignment w:val="auto"/>
        <w:rPr>
          <w:rFonts w:ascii="Liberation Serif" w:hAnsi="Liberation Serif"/>
          <w:sz w:val="23"/>
          <w:szCs w:val="23"/>
        </w:rPr>
      </w:pPr>
      <w:r>
        <w:rPr>
          <w:rFonts w:ascii="Liberation Serif" w:hAnsi="Liberation Serif"/>
          <w:sz w:val="23"/>
          <w:szCs w:val="23"/>
          <w:lang w:eastAsia="pl-PL"/>
        </w:rPr>
        <w:t>1) zmiany w strukturze organizacyjnej Wykonawcy lub Zamawiającego, dotyczące określonych w umowie nazw, adresów. Strony niezwłocznie poinformują się pisemnie o tych zmianach,</w:t>
      </w:r>
    </w:p>
    <w:p>
      <w:pPr>
        <w:pStyle w:val="ListParagraph"/>
        <w:widowControl/>
        <w:suppressAutoHyphens w:val="false"/>
        <w:bidi w:val="0"/>
        <w:spacing w:lineRule="auto" w:line="288" w:before="0" w:after="0"/>
        <w:ind w:left="0" w:right="0" w:hanging="0"/>
        <w:jc w:val="both"/>
        <w:textAlignment w:val="auto"/>
        <w:rPr>
          <w:sz w:val="23"/>
          <w:szCs w:val="23"/>
        </w:rPr>
      </w:pPr>
      <w:r>
        <w:rPr>
          <w:rFonts w:ascii="Liberation Serif" w:hAnsi="Liberation Serif"/>
          <w:sz w:val="23"/>
          <w:szCs w:val="23"/>
          <w:lang w:eastAsia="pl-PL"/>
        </w:rPr>
        <w:t>2) zmiany osób reprezentujących strony; Str</w:t>
      </w:r>
      <w:r>
        <w:rPr>
          <w:rFonts w:ascii="Liberation Serif" w:hAnsi="Liberation Serif"/>
          <w:sz w:val="23"/>
          <w:szCs w:val="23"/>
          <w:lang w:eastAsia="pl-PL"/>
        </w:rPr>
        <w:t>ony niezwłocznie poinformują się pisemnie o tych zmianach,</w:t>
      </w:r>
    </w:p>
    <w:p>
      <w:pPr>
        <w:pStyle w:val="ListParagraph"/>
        <w:widowControl/>
        <w:suppressAutoHyphens w:val="false"/>
        <w:bidi w:val="0"/>
        <w:spacing w:lineRule="auto" w:line="288" w:before="0" w:after="0"/>
        <w:ind w:left="0" w:right="0" w:hanging="0"/>
        <w:jc w:val="both"/>
        <w:textAlignment w:val="auto"/>
        <w:rPr>
          <w:rFonts w:ascii="Liberation Serif" w:hAnsi="Liberation Serif"/>
          <w:sz w:val="23"/>
          <w:szCs w:val="23"/>
        </w:rPr>
      </w:pPr>
      <w:r>
        <w:rPr>
          <w:rFonts w:cs="Times New Roman" w:ascii="Liberation Serif" w:hAnsi="Liberation Serif"/>
          <w:color w:val="000000"/>
          <w:sz w:val="23"/>
          <w:szCs w:val="23"/>
          <w:lang w:eastAsia="pl-PL"/>
        </w:rPr>
        <w:t>3) zmiany unormowań prawnych powszechnie obowiązujących np. w przypadku ustawowej zmiany stawki podatku VAT i wysokości podatku akcyzowego od gazu ziemnego. Zamawiający dopuszcza możliwość zmniejszenia lub zwiększenia wynagrodzenia o kwotę równą różnicy w kwocie podatku VAT. Strony dokonają odpowiedniej zmiany wynagrodzenia umownego - dotyczy to części wynagrodzenia za dostawy, których w dniu zmiany stawki podatku VAT czy podatku akcyzowego jeszcze nie wykonano,</w:t>
      </w:r>
    </w:p>
    <w:p>
      <w:pPr>
        <w:pStyle w:val="ListParagraph"/>
        <w:widowControl/>
        <w:suppressAutoHyphens w:val="false"/>
        <w:bidi w:val="0"/>
        <w:spacing w:lineRule="auto" w:line="288" w:before="0" w:after="0"/>
        <w:ind w:left="0" w:right="0" w:hanging="0"/>
        <w:jc w:val="both"/>
        <w:textAlignment w:val="auto"/>
        <w:rPr>
          <w:rFonts w:ascii="Liberation Serif" w:hAnsi="Liberation Serif"/>
          <w:sz w:val="23"/>
          <w:szCs w:val="23"/>
        </w:rPr>
      </w:pPr>
      <w:r>
        <w:rPr>
          <w:rFonts w:ascii="Liberation Serif" w:hAnsi="Liberation Serif"/>
          <w:sz w:val="23"/>
          <w:szCs w:val="23"/>
          <w:lang w:eastAsia="pl-PL"/>
        </w:rPr>
        <w:t>4) zmiana ceny ofertowej w przypadku zmiany opłaty stałej za usługę sieciową i opłaty zmiennej za usługę sieciową w przypadku zmiany taryfy Operatora Systemu Dystrybucyjnego zatwierdzonej przez Prezesa Urzędu Regulacji Energetyki, po uprzednim pisemnym zawiadomieniu Zamawiającego wraz z dołączeniem taryfy cen i opłat,</w:t>
      </w:r>
    </w:p>
    <w:p>
      <w:pPr>
        <w:pStyle w:val="ListParagraph"/>
        <w:widowControl/>
        <w:suppressAutoHyphens w:val="false"/>
        <w:bidi w:val="0"/>
        <w:spacing w:lineRule="auto" w:line="288" w:before="0" w:after="0"/>
        <w:ind w:left="0" w:right="0" w:hanging="0"/>
        <w:jc w:val="both"/>
        <w:textAlignment w:val="auto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  <w:lang w:eastAsia="pl-PL"/>
        </w:rPr>
        <w:t>5) zmiany grupy taryfowej, w przypadku gdyby w trakcie trwania umowy obiekty Zamawiającego zmieniły charakter użytkowania - zmiana nastąpi po wyrażeniu zgody przez Operatora Systemu Dystrybucji,</w:t>
      </w:r>
    </w:p>
    <w:p>
      <w:pPr>
        <w:pStyle w:val="ListParagraph"/>
        <w:widowControl/>
        <w:suppressAutoHyphens w:val="false"/>
        <w:bidi w:val="0"/>
        <w:spacing w:lineRule="auto" w:line="288" w:before="0" w:after="0"/>
        <w:ind w:left="0" w:right="0" w:hanging="0"/>
        <w:jc w:val="both"/>
        <w:textAlignment w:val="auto"/>
        <w:rPr/>
      </w:pPr>
      <w:r>
        <w:rPr>
          <w:rStyle w:val="H11"/>
          <w:rFonts w:eastAsia="Times New Roman" w:cs="Tahoma" w:ascii="Liberation Serif" w:hAnsi="Liberation Serif"/>
          <w:b w:val="false"/>
          <w:bCs w:val="false"/>
          <w:i w:val="false"/>
          <w:iCs w:val="false"/>
          <w:color w:val="000000"/>
          <w:position w:val="0"/>
          <w:sz w:val="23"/>
          <w:sz w:val="23"/>
          <w:szCs w:val="23"/>
          <w:shd w:fill="auto" w:val="clear"/>
          <w:vertAlign w:val="baseline"/>
          <w:lang w:val="pl-PL" w:eastAsia="pl-PL" w:bidi="ar-SA"/>
        </w:rPr>
        <w:t>6) zmiany mocy umownej w przypadku gdy w czasie trwania umowy zwiększyłoby się lub zmniejszyło zapotrzebowanie na moc w związku ze zmianą charakteru obiektu lub jego modernizacji - zmiana nastąpi po wyrażeniu zgody przez Operatora Systemu Dystrybucji</w:t>
      </w:r>
    </w:p>
    <w:p>
      <w:pPr>
        <w:pStyle w:val="ListParagraph"/>
        <w:widowControl/>
        <w:suppressAutoHyphens w:val="false"/>
        <w:bidi w:val="0"/>
        <w:spacing w:lineRule="auto" w:line="288" w:before="0" w:after="0"/>
        <w:ind w:left="0" w:right="0" w:hanging="0"/>
        <w:jc w:val="both"/>
        <w:textAlignment w:val="auto"/>
        <w:rPr/>
      </w:pPr>
      <w:r>
        <w:rPr>
          <w:rStyle w:val="H11"/>
          <w:rFonts w:eastAsia="Times New Roman" w:cs="Tahoma" w:ascii="Liberation Serif" w:hAnsi="Liberation Serif"/>
          <w:b w:val="false"/>
          <w:bCs w:val="false"/>
          <w:i w:val="false"/>
          <w:iCs w:val="false"/>
          <w:color w:val="000000"/>
          <w:position w:val="0"/>
          <w:sz w:val="23"/>
          <w:sz w:val="23"/>
          <w:szCs w:val="23"/>
          <w:shd w:fill="auto" w:val="clear"/>
          <w:vertAlign w:val="baseline"/>
          <w:lang w:val="pl-PL" w:eastAsia="pl-PL" w:bidi="ar-SA"/>
        </w:rPr>
        <w:t>7)  zmianę stawek za paliwo gazowe oraz abonament w przypadku zatwierdzenia nowej taryfy Wykonawcy przez URE dla punktów objętych ochroną taryfową.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sz w:val="23"/>
          <w:szCs w:val="23"/>
        </w:rPr>
        <w:t>9. Zamawiający ma prawo odstąpić od umowy w razie zaistnienia istotnej zmiany okoliczności powodującej, że wykonanie umowy nie</w:t>
      </w:r>
      <w:r>
        <w:rPr>
          <w:sz w:val="23"/>
          <w:szCs w:val="23"/>
        </w:rPr>
        <w:t xml:space="preserve"> leży w interesie publicznym, czego nie można było przewidzieć w chwili zawarcia umowy. Zamawiający może odstąpić od umowy w terminie 30 dni od daty powzięcia wiadomości o tych okolicznościach. Wykonawcy nie przysługuje z tego tytułu żadne odszkodowanie.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sz w:val="23"/>
          <w:szCs w:val="23"/>
        </w:rPr>
        <w:t>10. Wykonawca nie może bez pisemnej zgody Zamawiającego przenieść swoich wierzytelności wynikających z niniejszej umowy na osobę trzecią (tj. dokonać przelewu wierzytelności).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sz w:val="23"/>
          <w:szCs w:val="23"/>
        </w:rPr>
        <w:t>11. Spory mogące wyniknąć w związku z wykonaniem umowy, Strony będą się starały rozstrzygnąć w drodze negocjacji. W przypadku nie osiągnięcia porozumienia, Strony poddadzą, spór rozstrzygnięciu sądowi właściwemu miejscowo dla siedziby Zamawiającego.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sz w:val="23"/>
          <w:szCs w:val="23"/>
        </w:rPr>
        <w:t>12. Należność za niniejszą usługę będzie uregulowana przelewem na konto Wykonawcy w terminie 21 dni od daty wystawienia faktury. Zamawiający wyraża zgodę na płatność faktur prognozowych zgodnie z terminami  wskazanymi  na fakturach prognozowych.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sz w:val="23"/>
          <w:szCs w:val="23"/>
        </w:rPr>
        <w:t>13. Zgodnie z ustawą z dnia 9 listopada 2018 roku o elektronicznym fakturowaniu w zamówieniach publicznych, koncesjach na roboty budowlane lub usługi oraz partnerstwie publiczno–prawnym, Wykonawca może wystawić fakturę elektroniczną za pośrednictwem platformy elektronicznego fakturowania.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sz w:val="23"/>
          <w:szCs w:val="23"/>
        </w:rPr>
        <w:t>14. Rozwiązanie Umowy kompleksowej może nastąpić w każdym czasie za pisemnym porozumieniem Stron.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sz w:val="23"/>
          <w:szCs w:val="23"/>
        </w:rPr>
        <w:t>15. W przypadku zmiany dotychczasowego Sprzedawcy, Umowa z Odbiorcą końcowym ulega rozwiązaniu z końcem  miesiąca następującego po miesiącu, w którym oświadczenie o wypowiedzeniu zostało złożone Sprzedawcy.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sz w:val="23"/>
          <w:szCs w:val="23"/>
        </w:rPr>
        <w:t>16. Wykonawca będzie dostarczał w okresie obowiązywania umowy paliwo gazowe w ilości odpowiadającej rzeczywistemu zapotrzebowaniu Zamawiającego niezależnie od szacunkowej prognozy jego zużycia.</w:t>
      </w:r>
    </w:p>
    <w:p>
      <w:pPr>
        <w:pStyle w:val="ListParagraph"/>
        <w:tabs>
          <w:tab w:val="clear" w:pos="709"/>
          <w:tab w:val="left" w:pos="851" w:leader="none"/>
        </w:tabs>
        <w:suppressAutoHyphens w:val="false"/>
        <w:spacing w:lineRule="auto" w:line="288"/>
        <w:ind w:lef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ascii="Liberation Serif" w:hAnsi="Liberation Serif"/>
          <w:sz w:val="23"/>
          <w:szCs w:val="23"/>
          <w:lang w:eastAsia="pl-PL"/>
        </w:rPr>
        <w:t>17. Rozliczanie ilości dostarczonego Paliwa gazowego odbywać się będzie odrębnie dla każdego punktu poboru na podstawie rzeczywistych wskazań Układu pomiarowego z uwzględnieniem współczynnika konwersji wyliczonego zgodnie z zasadami określonymi w Taryfach Wykonawcy i Operatora Systemu Dystrybucyjnego (OSD), w okresach ustalonych w Taryfach Wykonawcy i OSD. Do rozliczeń z tytułu Umowy kompleksowej będą miały zastosowanie ceny, stawki opłat i zasady ich stosowania zawarte w Taryfie Wykonawcy, przewidziane dla grupy taryfowej, do której został zakwalifikowany Odbiorca oraz stawki opłat dystrybucyjnych i warunki ich stosowania wynikające z Taryfy OSD, określonej w Umowie, z zastrzeżeniem, że cena za paliwo gazowe – wg ceny określonej w formularzu ofertowym.</w:t>
      </w:r>
    </w:p>
    <w:p>
      <w:pPr>
        <w:pStyle w:val="ListParagraph"/>
        <w:tabs>
          <w:tab w:val="clear" w:pos="709"/>
          <w:tab w:val="left" w:pos="851" w:leader="none"/>
        </w:tabs>
        <w:suppressAutoHyphens w:val="false"/>
        <w:spacing w:lineRule="auto" w:line="288"/>
        <w:ind w:lef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ascii="Liberation Serif" w:hAnsi="Liberation Serif"/>
          <w:sz w:val="23"/>
          <w:szCs w:val="23"/>
          <w:shd w:fill="auto" w:val="clear"/>
        </w:rPr>
        <w:t xml:space="preserve">18. </w:t>
      </w:r>
      <w:r>
        <w:rPr>
          <w:rFonts w:cs="Tahoma" w:ascii="Liberation Serif" w:hAnsi="Liberation Serif"/>
          <w:sz w:val="23"/>
          <w:szCs w:val="23"/>
          <w:shd w:fill="auto" w:val="clear"/>
          <w:lang w:val="pl-PL" w:bidi="ar-SA"/>
        </w:rPr>
        <w:t>Na  podstawie art. 439 Pzp Strony przewidują możliwość zmiany wynagrodzenia Wykonawcy zgodnie z poniższymi zasadami, w przypadku zmiany ceny materiałów lub kosztów związanych z realizacją zamówienia: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18.1.</w:t>
        <w:tab/>
        <w:t>cen jednostkowych paliwa gazowego na Towarowej Giełdzie Energii (TGE) dla indeksu GAS_BASE_Y- 24(cena indeksu obowiązująca na dzień 01.07.2025 r.*),  adres strony internetowej: https://tge.pl/otf,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18.2.</w:t>
        <w:tab/>
        <w:t>jeżeli cena jednostkowa paliwa gazowego notowana na  TGE wg Indeksu GAS_BASE_Y-24  będzie wyższa lub niższa od  ceny jednostkowej dla indeksu GAS_BASE_Y- 24 z dnia otwarcia ofert tj. ……………..…..* o: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18.2.1.</w:t>
        <w:tab/>
        <w:t xml:space="preserve">wartość od 30% do 40% to wszystkie ceny jednostkowe paliwa gazowego,  o których mowa w załączniku do umowy – </w:t>
      </w:r>
      <w:r>
        <w:rPr>
          <w:rFonts w:cs="Tahoma" w:ascii="Liberation Serif" w:hAnsi="Liberation Serif"/>
          <w:i/>
          <w:iCs/>
          <w:sz w:val="23"/>
          <w:szCs w:val="23"/>
        </w:rPr>
        <w:t>Formularz cenowy,</w:t>
      </w:r>
      <w:r>
        <w:rPr>
          <w:rFonts w:cs="Tahoma" w:ascii="Liberation Serif" w:hAnsi="Liberation Serif"/>
          <w:sz w:val="23"/>
          <w:szCs w:val="23"/>
        </w:rPr>
        <w:t xml:space="preserve"> zostaną odpowiednio powiększone, lub pomniejszone o 2%,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18.2.2.</w:t>
        <w:tab/>
        <w:t xml:space="preserve">wartość od 40,1% do 50% to wszystkie ceny jednostkowe paliwa gazowego, o których mowa w załączniku do umowy – </w:t>
      </w:r>
      <w:r>
        <w:rPr>
          <w:rFonts w:cs="Tahoma" w:ascii="Liberation Serif" w:hAnsi="Liberation Serif"/>
          <w:i/>
          <w:iCs/>
          <w:sz w:val="23"/>
          <w:szCs w:val="23"/>
        </w:rPr>
        <w:t xml:space="preserve">Formularz cenowy, </w:t>
      </w:r>
      <w:r>
        <w:rPr>
          <w:rFonts w:cs="Tahoma" w:ascii="Liberation Serif" w:hAnsi="Liberation Serif"/>
          <w:sz w:val="23"/>
          <w:szCs w:val="23"/>
        </w:rPr>
        <w:t>zostaną odpowiednio powiększone, lub pomniejszone o 3%,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18.2.3.</w:t>
        <w:tab/>
        <w:t>wartość od 50,1%</w:t>
      </w:r>
      <w:r>
        <w:rPr>
          <w:rFonts w:cs="Tahoma" w:ascii="Liberation Serif" w:hAnsi="Liberation Serif"/>
          <w:sz w:val="23"/>
          <w:szCs w:val="23"/>
          <w:shd w:fill="auto" w:val="clear"/>
        </w:rPr>
        <w:t xml:space="preserve"> to wszystkie ceny jednostkowe paliwa gazowego, o których mowa w załączniku do umowy – </w:t>
      </w:r>
      <w:r>
        <w:rPr>
          <w:rFonts w:cs="Tahoma" w:ascii="Liberation Serif" w:hAnsi="Liberation Serif"/>
          <w:i/>
          <w:iCs/>
          <w:sz w:val="23"/>
          <w:szCs w:val="23"/>
          <w:shd w:fill="auto" w:val="clear"/>
        </w:rPr>
        <w:t>Formularz cenowy,</w:t>
      </w:r>
      <w:r>
        <w:rPr>
          <w:rFonts w:cs="Tahoma" w:ascii="Liberation Serif" w:hAnsi="Liberation Serif"/>
          <w:sz w:val="23"/>
          <w:szCs w:val="23"/>
          <w:shd w:fill="auto" w:val="clear"/>
        </w:rPr>
        <w:t xml:space="preserve">  zos</w:t>
      </w:r>
      <w:r>
        <w:rPr>
          <w:rFonts w:cs="Tahoma" w:ascii="Liberation Serif" w:hAnsi="Liberation Serif"/>
          <w:sz w:val="23"/>
          <w:szCs w:val="23"/>
        </w:rPr>
        <w:t>taną odpowiednio powiększone, lub pomniejszone o 5%,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18.3.strona składając wniosek o zmianę, powinna przedstawić w szczególności: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18.3.1.wyliczenie wnioskowanej kwoty zmiany wynagrodzenia, wg ceny wyliczonej na zasadzie wskazanej w pkt 18.2.2 powyżej oraz pozostałej  do końca trwania zamówienia szacowanej ilości gazu, wyliczonej zgodnie z opisem przedmiotu zamówienia;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18.3.2.</w:t>
        <w:tab/>
        <w:t>dowody na to, że zmiana ceny paliwa gazowego na TGE  ma wpływ na koszt realizacji zamówienia,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18.4.maksymalna zmiana ceny jednostkowej paliwa gazowego w zakresie waloryzacji nie może przekroczyć 5% ceny jednostkowej paliwa gazowego w pierwotnie złożonej ofercie,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18.5.zmiana wynagrodzenia w oparciu o niniejszy ustęp wymaga zgodnej woli obu stron wyrażonej aneksem do umowy,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18.6.strony zgodnie ustalają, że waloryzacja wynagrodzenia może nastąpić najwcześniej od dnia 01.07.2025r.,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18.7.jeżeli umowa została zawarta po upływie 180 dni od dnia upływu terminu składania ofert, początkowym terminem ustalenia zmiany wynagrodzenia zamiast daty rozpoczęcia okresu obowiązywania umowy będzie dzień otwarcia ofert,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18.8.wykonawca, którego wynagrodzenie zostało zmienione zobowiązany jest do zmiany wynagrodzenia przysługującego podwykonawcy, z którym zawarł umowę, w zakresie odpowiadającym powyższym zmianom dotyczącym zobowiązania podwykonawcy, jeżeli łącznie spełnione są następujące warunki: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18.8.1.</w:t>
        <w:tab/>
        <w:t>przedmiotem umowy są roboty budowlane, dostawy lub usługi,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18.8.2.</w:t>
        <w:tab/>
        <w:t>okres obowiązywania umowy przekracza 6 miesięcy.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18.9.</w:t>
        <w:tab/>
        <w:t>Zmiana  wysokości  cen  jednostkowych  nastąpi   na   cały   okres   realizacji   zamówienia po 01.07.2025 r.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left="720"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18.10.</w:t>
        <w:tab/>
        <w:t>Waloryzacja nie dotyczy cen jednostkowych stosowanych do rozliczeń i zawartych  w taryfach  dystrybucyjnych i sprzedażowych zatwierdzonych przez Prezesa URE.</w:t>
      </w:r>
    </w:p>
    <w:p>
      <w:pPr>
        <w:pStyle w:val="ListParagraph"/>
        <w:tabs>
          <w:tab w:val="clear" w:pos="709"/>
          <w:tab w:val="left" w:pos="851" w:leader="none"/>
        </w:tabs>
        <w:suppressAutoHyphens w:val="false"/>
        <w:spacing w:lineRule="auto" w:line="288"/>
        <w:ind w:left="0" w:hanging="0"/>
        <w:jc w:val="both"/>
        <w:rPr/>
      </w:pPr>
      <w:r>
        <w:rPr>
          <w:rStyle w:val="H11"/>
          <w:rFonts w:eastAsia="Times New Roman" w:cs="Tahoma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3"/>
          <w:sz w:val="23"/>
          <w:szCs w:val="23"/>
          <w:u w:val="none"/>
          <w:shd w:fill="auto" w:val="clear"/>
          <w:vertAlign w:val="baseline"/>
          <w:lang w:val="pl-PL" w:eastAsia="zxx" w:bidi="ar-SA"/>
        </w:rPr>
        <w:t>18.11.Strony zgodnie oświadczają, że waloryzacja wynagrodzenia o której mowa w ust 18 pkt 18.1 -18.9 nie będzie miała zastosowania, albowiem Wykonawca dokonał zakupu gazu ziemnego z góry dla całego okresu zamówienia wynikającego  z niniejszej Umowy, wobec powyższego  zmiana cen gazu ziemnego nie będzie miała wypływu na wartość wynagrodzenia.</w:t>
      </w:r>
    </w:p>
    <w:p>
      <w:pPr>
        <w:pStyle w:val="Normal"/>
        <w:tabs>
          <w:tab w:val="clear" w:pos="709"/>
          <w:tab w:val="left" w:pos="851" w:leader="none"/>
        </w:tabs>
        <w:suppressAutoHyphens w:val="false"/>
        <w:spacing w:lineRule="auto" w:line="288"/>
        <w:ind w:left="0" w:hanging="0"/>
        <w:jc w:val="left"/>
        <w:rPr/>
      </w:pPr>
      <w:r>
        <w:rPr>
          <w:rStyle w:val="H11"/>
          <w:rFonts w:eastAsia="Times New Roman" w:cs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3"/>
          <w:sz w:val="23"/>
          <w:szCs w:val="23"/>
          <w:u w:val="none"/>
          <w:shd w:fill="auto" w:val="clear"/>
          <w:vertAlign w:val="baseline"/>
          <w:lang w:val="pl-PL" w:eastAsia="zxx" w:bidi="ar-SA"/>
        </w:rPr>
        <w:t>19. W przypadku punkt</w:t>
      </w:r>
      <w:r>
        <w:rPr>
          <w:sz w:val="23"/>
          <w:szCs w:val="23"/>
        </w:rPr>
        <w:t>ów w grupach taryfowych od BW-1 do BW-3 (BW-1.1; BW-1.2; BW-2.1; BW-2.2; BW-3.6; BW-3.9) z oznaczeniem „12T” rozliczenie będzie dokonywane na podstawie odczytu przekazanego przez Zamawiającego na rzecz Wykonawcy w wybranym dniu każdego miesiąca. Odczyt zostanie przekazany Wykonawcy przez Zamawiającego za pośrednictwem platformy Biznes24 PGNiG , eBOK PGNiG, telefonicznie. W przypadku nieprzekazania odczytu przez Zamawiającego, Wykonawca dokona szacowania zużycia.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Verdan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ucida Sans" w:cs="Liberation Serif"/>
      <w:color w:val="auto"/>
      <w:kern w:val="2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qFormat/>
    <w:rPr>
      <w:color w:val="000080"/>
      <w:u w:val="single"/>
    </w:rPr>
  </w:style>
  <w:style w:type="character" w:styleId="Znakinumeracji" w:customStyle="1">
    <w:name w:val="Znaki numeracji"/>
    <w:qFormat/>
    <w:rPr>
      <w:b w:val="false"/>
      <w:bCs w:val="false"/>
      <w:i w:val="false"/>
      <w:iCs w:val="false"/>
      <w:sz w:val="20"/>
      <w:szCs w:val="20"/>
      <w:u w:val="none"/>
    </w:rPr>
  </w:style>
  <w:style w:type="character" w:styleId="WW8Num18z8" w:customStyle="1">
    <w:name w:val="WW8Num18z8"/>
    <w:qFormat/>
    <w:rPr/>
  </w:style>
  <w:style w:type="character" w:styleId="WW8Num18z7" w:customStyle="1">
    <w:name w:val="WW8Num18z7"/>
    <w:qFormat/>
    <w:rPr/>
  </w:style>
  <w:style w:type="character" w:styleId="WW8Num18z6" w:customStyle="1">
    <w:name w:val="WW8Num18z6"/>
    <w:qFormat/>
    <w:rPr/>
  </w:style>
  <w:style w:type="character" w:styleId="WW8Num18z5" w:customStyle="1">
    <w:name w:val="WW8Num18z5"/>
    <w:qFormat/>
    <w:rPr/>
  </w:style>
  <w:style w:type="character" w:styleId="WW8Num18z4" w:customStyle="1">
    <w:name w:val="WW8Num18z4"/>
    <w:qFormat/>
    <w:rPr/>
  </w:style>
  <w:style w:type="character" w:styleId="WW8Num18z3" w:customStyle="1">
    <w:name w:val="WW8Num18z3"/>
    <w:qFormat/>
    <w:rPr/>
  </w:style>
  <w:style w:type="character" w:styleId="WW8Num18z2" w:customStyle="1">
    <w:name w:val="WW8Num18z2"/>
    <w:qFormat/>
    <w:rPr/>
  </w:style>
  <w:style w:type="character" w:styleId="WW8Num18z1" w:customStyle="1">
    <w:name w:val="WW8Num18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</w:rPr>
  </w:style>
  <w:style w:type="character" w:styleId="WW8Num18z0" w:customStyle="1">
    <w:name w:val="WW8Num18z0"/>
    <w:qFormat/>
    <w:rPr>
      <w:rFonts w:ascii="Century Gothic" w:hAnsi="Century Gothic" w:eastAsia="Century Gothic" w:cs="Century Gothic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1" w:customStyle="1">
    <w:name w:val="WW8Num17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</w:rPr>
  </w:style>
  <w:style w:type="character" w:styleId="Bodytext2Bold" w:customStyle="1">
    <w:name w:val="Body text (2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lang w:val="pl-PL" w:eastAsia="pl-PL"/>
    </w:rPr>
  </w:style>
  <w:style w:type="character" w:styleId="Linenumbering" w:customStyle="1">
    <w:name w:val="Line numbering"/>
    <w:qFormat/>
    <w:rPr/>
  </w:style>
  <w:style w:type="character" w:styleId="Pagenumber">
    <w:name w:val="page number"/>
    <w:qFormat/>
    <w:rPr/>
  </w:style>
  <w:style w:type="character" w:styleId="Domylnaczcionkaakapitu1" w:customStyle="1">
    <w:name w:val="Domyślna czcionka akapitu1"/>
    <w:qFormat/>
    <w:rPr/>
  </w:style>
  <w:style w:type="character" w:styleId="H11" w:customStyle="1">
    <w:name w:val="h11"/>
    <w:qFormat/>
    <w:rPr>
      <w:rFonts w:ascii="Verdana" w:hAnsi="Verdana" w:eastAsia="Verdana" w:cs="Verdana"/>
      <w:b/>
      <w:bCs/>
      <w:i w:val="false"/>
      <w:iCs w:val="false"/>
      <w:sz w:val="23"/>
      <w:szCs w:val="23"/>
    </w:rPr>
  </w:style>
  <w:style w:type="character" w:styleId="WW8Num7z0" w:customStyle="1">
    <w:name w:val="WW8Num7z0"/>
    <w:qFormat/>
    <w:rPr>
      <w:rFonts w:ascii="Symbol" w:hAnsi="Symbol" w:eastAsia="Symbol" w:cs="Symbol"/>
    </w:rPr>
  </w:style>
  <w:style w:type="character" w:styleId="WW8Num7z1" w:customStyle="1">
    <w:name w:val="WW8Num7z1"/>
    <w:qFormat/>
    <w:rPr>
      <w:rFonts w:ascii="Courier New" w:hAnsi="Courier New" w:eastAsia="Courier New" w:cs="Courier New"/>
    </w:rPr>
  </w:style>
  <w:style w:type="character" w:styleId="WW8Num7z2" w:customStyle="1">
    <w:name w:val="WW8Num7z2"/>
    <w:qFormat/>
    <w:rPr>
      <w:rFonts w:ascii="Wingdings" w:hAnsi="Wingdings" w:eastAsia="Wingdings" w:cs="Wingdings"/>
    </w:rPr>
  </w:style>
  <w:style w:type="character" w:styleId="WW8Num1z0" w:customStyle="1">
    <w:name w:val="WW8Num1z0"/>
    <w:qFormat/>
    <w:rPr>
      <w:b w:val="false"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31z0" w:customStyle="1">
    <w:name w:val="WW8Num31z0"/>
    <w:qFormat/>
    <w:rPr>
      <w:rFonts w:ascii="Symbol" w:hAnsi="Symbol" w:eastAsia="StarSymbol" w:cs="Symbol"/>
      <w:sz w:val="18"/>
      <w:szCs w:val="18"/>
    </w:rPr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17z0" w:customStyle="1">
    <w:name w:val="WW8Num17z0"/>
    <w:qFormat/>
    <w:rPr>
      <w:rFonts w:ascii="Arial" w:hAnsi="Arial" w:eastAsia="Symbol" w:cs="Arial"/>
      <w:b w:val="false"/>
      <w:sz w:val="20"/>
      <w:szCs w:val="20"/>
    </w:rPr>
  </w:style>
  <w:style w:type="character" w:styleId="WW8Num78z0" w:customStyle="1">
    <w:name w:val="WW8Num78z0"/>
    <w:qFormat/>
    <w:rPr>
      <w:b/>
      <w:sz w:val="18"/>
    </w:rPr>
  </w:style>
  <w:style w:type="character" w:styleId="WW8Num78z1" w:customStyle="1">
    <w:name w:val="WW8Num78z1"/>
    <w:qFormat/>
    <w:rPr>
      <w:rFonts w:ascii="Calibri" w:hAnsi="Calibri" w:eastAsia="Arial" w:cs="Calibri"/>
      <w:b w:val="false"/>
      <w:bCs/>
      <w:sz w:val="18"/>
      <w:szCs w:val="18"/>
    </w:rPr>
  </w:style>
  <w:style w:type="character" w:styleId="WW8Num78z2" w:customStyle="1">
    <w:name w:val="WW8Num78z2"/>
    <w:qFormat/>
    <w:rPr/>
  </w:style>
  <w:style w:type="character" w:styleId="WW8Num65z0" w:customStyle="1">
    <w:name w:val="WW8Num65z0"/>
    <w:qFormat/>
    <w:rPr>
      <w:b/>
    </w:rPr>
  </w:style>
  <w:style w:type="character" w:styleId="WW8Num65z1" w:customStyle="1">
    <w:name w:val="WW8Num65z1"/>
    <w:qFormat/>
    <w:rPr>
      <w:rFonts w:ascii="Calibri" w:hAnsi="Calibri" w:eastAsia="Arial" w:cs="Calibri"/>
      <w:b w:val="false"/>
      <w:sz w:val="18"/>
      <w:szCs w:val="18"/>
    </w:rPr>
  </w:style>
  <w:style w:type="character" w:styleId="WW8Num65z2" w:customStyle="1">
    <w:name w:val="WW8Num65z2"/>
    <w:qFormat/>
    <w:rPr/>
  </w:style>
  <w:style w:type="character" w:styleId="WW8Num2z0" w:customStyle="1">
    <w:name w:val="WW8Num2z0"/>
    <w:qFormat/>
    <w:rPr>
      <w:b w:val="false"/>
      <w:i w:val="false"/>
      <w:sz w:val="18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49z0" w:customStyle="1">
    <w:name w:val="WW8Num49z0"/>
    <w:qFormat/>
    <w:rPr>
      <w:rFonts w:ascii="Liberation Serif" w:hAnsi="Liberation Serif" w:eastAsia="Times New Roman" w:cs="Liberation Serif"/>
      <w:b/>
      <w:i w:val="false"/>
      <w:sz w:val="20"/>
      <w:szCs w:val="20"/>
    </w:rPr>
  </w:style>
  <w:style w:type="character" w:styleId="WW8Num45z0" w:customStyle="1">
    <w:name w:val="WW8Num45z0"/>
    <w:qFormat/>
    <w:rPr>
      <w:rFonts w:ascii="Liberation Serif" w:hAnsi="Liberation Serif" w:eastAsia="Times New Roman" w:cs="Liberation Serif"/>
      <w:sz w:val="20"/>
      <w:szCs w:val="20"/>
    </w:rPr>
  </w:style>
  <w:style w:type="character" w:styleId="WW8Num39z0" w:customStyle="1">
    <w:name w:val="WW8Num39z0"/>
    <w:qFormat/>
    <w:rPr>
      <w:sz w:val="24"/>
    </w:rPr>
  </w:style>
  <w:style w:type="character" w:styleId="WW8Num51z0" w:customStyle="1">
    <w:name w:val="WW8Num51z0"/>
    <w:qFormat/>
    <w:rPr>
      <w:rFonts w:ascii="Liberation Serif" w:hAnsi="Liberation Serif" w:eastAsia="Times New Roman" w:cs="Liberation Serif"/>
      <w:sz w:val="20"/>
      <w:szCs w:val="20"/>
    </w:rPr>
  </w:style>
  <w:style w:type="character" w:styleId="WW8Num25z0" w:customStyle="1">
    <w:name w:val="WW8Num25z0"/>
    <w:qFormat/>
    <w:rPr>
      <w:sz w:val="20"/>
    </w:rPr>
  </w:style>
  <w:style w:type="character" w:styleId="WW8Num9z0" w:customStyle="1">
    <w:name w:val="WW8Num9z0"/>
    <w:qFormat/>
    <w:rPr>
      <w:rFonts w:ascii="Symbol" w:hAnsi="Symbol" w:eastAsia="Symbol" w:cs="Symbol"/>
      <w:b w:val="false"/>
      <w:color w:val="000000"/>
      <w:sz w:val="20"/>
      <w:szCs w:val="20"/>
      <w:lang w:val="pl-PL" w:eastAsia="ar-SA"/>
    </w:rPr>
  </w:style>
  <w:style w:type="character" w:styleId="WW8Num52z0" w:customStyle="1">
    <w:name w:val="WW8Num52z0"/>
    <w:qFormat/>
    <w:rPr>
      <w:b w:val="false"/>
      <w:sz w:val="20"/>
    </w:rPr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6z0" w:customStyle="1">
    <w:name w:val="WW8Num6z0"/>
    <w:qFormat/>
    <w:rPr/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>
      <w:rFonts w:ascii="Symbol" w:hAnsi="Symbol" w:eastAsia="Symbol" w:cs="Symbol"/>
      <w:b w:val="false"/>
    </w:rPr>
  </w:style>
  <w:style w:type="character" w:styleId="WW8Num5z0" w:customStyle="1">
    <w:name w:val="WW8Num5z0"/>
    <w:qFormat/>
    <w:rPr>
      <w:rFonts w:ascii="Arial" w:hAnsi="Arial" w:eastAsia="Tahoma" w:cs="Arial"/>
      <w:b w:val="false"/>
      <w:color w:val="000000"/>
    </w:rPr>
  </w:style>
  <w:style w:type="character" w:styleId="WW8Num3z0" w:customStyle="1">
    <w:name w:val="WW8Num3z0"/>
    <w:qFormat/>
    <w:rPr/>
  </w:style>
  <w:style w:type="character" w:styleId="Character20style" w:customStyle="1">
    <w:name w:val="Character_20_style"/>
    <w:qFormat/>
    <w:rPr/>
  </w:style>
  <w:style w:type="character" w:styleId="WW8Num24z8" w:customStyle="1">
    <w:name w:val="WW8Num24z8"/>
    <w:qFormat/>
    <w:rPr/>
  </w:style>
  <w:style w:type="character" w:styleId="WW8Num24z7" w:customStyle="1">
    <w:name w:val="WW8Num24z7"/>
    <w:qFormat/>
    <w:rPr/>
  </w:style>
  <w:style w:type="character" w:styleId="WW8Num24z6" w:customStyle="1">
    <w:name w:val="WW8Num24z6"/>
    <w:qFormat/>
    <w:rPr/>
  </w:style>
  <w:style w:type="character" w:styleId="WW8Num24z5" w:customStyle="1">
    <w:name w:val="WW8Num24z5"/>
    <w:qFormat/>
    <w:rPr/>
  </w:style>
  <w:style w:type="character" w:styleId="WW8Num24z4" w:customStyle="1">
    <w:name w:val="WW8Num24z4"/>
    <w:qFormat/>
    <w:rPr/>
  </w:style>
  <w:style w:type="character" w:styleId="WW8Num24z3" w:customStyle="1">
    <w:name w:val="WW8Num24z3"/>
    <w:qFormat/>
    <w:rPr/>
  </w:style>
  <w:style w:type="character" w:styleId="WW8Num24z2" w:customStyle="1">
    <w:name w:val="WW8Num24z2"/>
    <w:qFormat/>
    <w:rPr/>
  </w:style>
  <w:style w:type="character" w:styleId="WW8Num24z1" w:customStyle="1">
    <w:name w:val="WW8Num24z1"/>
    <w:qFormat/>
    <w:rPr/>
  </w:style>
  <w:style w:type="character" w:styleId="WW8Num24z0" w:customStyle="1">
    <w:name w:val="WW8Num24z0"/>
    <w:qFormat/>
    <w:rPr>
      <w:rFonts w:ascii="Liberation Serif" w:hAnsi="Liberation Serif" w:eastAsia="Arial" w:cs="Liberation Serif"/>
      <w:sz w:val="20"/>
      <w:szCs w:val="20"/>
    </w:rPr>
  </w:style>
  <w:style w:type="character" w:styleId="FontStyle72" w:customStyle="1">
    <w:name w:val="Font Style72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14z1" w:customStyle="1">
    <w:name w:val="WW8Num14z1"/>
    <w:qFormat/>
    <w:rPr>
      <w:rFonts w:ascii="Courier New" w:hAnsi="Courier New" w:eastAsia="Courier New" w:cs="Courier New"/>
    </w:rPr>
  </w:style>
  <w:style w:type="character" w:styleId="Mocnewyrnione">
    <w:name w:val="Mocne wyróżnione"/>
    <w:qFormat/>
    <w:rPr>
      <w:b/>
      <w:bCs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Liberation Serif" w:cs="Liberation Serif"/>
      <w:color w:val="auto"/>
      <w:kern w:val="2"/>
      <w:sz w:val="20"/>
      <w:szCs w:val="20"/>
      <w:lang w:val="pl-PL" w:eastAsia="hi-IN" w:bidi="hi-IN"/>
    </w:rPr>
  </w:style>
  <w:style w:type="paragraph" w:styleId="Textbody" w:customStyle="1">
    <w:name w:val="Text body"/>
    <w:qFormat/>
    <w:pPr>
      <w:widowControl/>
      <w:suppressAutoHyphens w:val="true"/>
      <w:bidi w:val="0"/>
      <w:spacing w:lineRule="auto" w:line="288" w:before="0" w:after="140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Caption">
    <w:name w:val="caption"/>
    <w:qFormat/>
    <w:pPr>
      <w:widowControl/>
      <w:suppressAutoHyphens w:val="true"/>
      <w:bidi w:val="0"/>
      <w:spacing w:before="120" w:after="120"/>
      <w:jc w:val="both"/>
      <w:textAlignment w:val="baseline"/>
    </w:pPr>
    <w:rPr>
      <w:rFonts w:ascii="Liberation Serif" w:hAnsi="Liberation Serif" w:eastAsia="Lucida Sans" w:cs="Liberation Serif"/>
      <w:i/>
      <w:iCs/>
      <w:color w:val="auto"/>
      <w:kern w:val="2"/>
      <w:sz w:val="24"/>
      <w:szCs w:val="24"/>
      <w:lang w:val="pl-PL" w:eastAsia="hi-IN" w:bidi="hi-IN"/>
    </w:rPr>
  </w:style>
  <w:style w:type="paragraph" w:styleId="ListParagraph">
    <w:name w:val="List Paragraph"/>
    <w:qFormat/>
    <w:pPr>
      <w:widowControl/>
      <w:suppressAutoHyphens w:val="tru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Arial" w:cs="Arial"/>
      <w:color w:val="auto"/>
      <w:kern w:val="0"/>
      <w:sz w:val="22"/>
      <w:szCs w:val="22"/>
      <w:lang w:val="pl-PL" w:eastAsia="en-US" w:bidi="hi-IN"/>
    </w:rPr>
  </w:style>
  <w:style w:type="paragraph" w:styleId="Bodytext2" w:customStyle="1">
    <w:name w:val="Body text (2)"/>
    <w:basedOn w:val="Standard"/>
    <w:qFormat/>
    <w:pPr>
      <w:widowControl w:val="false"/>
      <w:shd w:val="clear" w:color="auto" w:fill="FFFFFF"/>
      <w:spacing w:lineRule="exact" w:line="346"/>
      <w:ind w:hanging="600"/>
      <w:jc w:val="center"/>
    </w:pPr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000000"/>
      <w:kern w:val="0"/>
      <w:sz w:val="24"/>
      <w:szCs w:val="24"/>
      <w:lang w:val="pl-PL" w:eastAsia="ar-SA" w:bidi="hi-IN"/>
    </w:rPr>
  </w:style>
  <w:style w:type="paragraph" w:styleId="Addressee" w:customStyle="1">
    <w:name w:val="Addressee"/>
    <w:qFormat/>
    <w:pPr>
      <w:widowControl/>
      <w:suppressAutoHyphens w:val="true"/>
      <w:bidi w:val="0"/>
      <w:spacing w:before="0" w:after="60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Sender" w:customStyle="1">
    <w:name w:val="Sender"/>
    <w:qFormat/>
    <w:pPr>
      <w:widowControl/>
      <w:suppressAutoHyphens w:val="true"/>
      <w:bidi w:val="0"/>
      <w:spacing w:before="0" w:after="60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Footnote" w:customStyle="1">
    <w:name w:val="Footnote"/>
    <w:qFormat/>
    <w:pPr>
      <w:widowControl/>
      <w:suppressAutoHyphens w:val="true"/>
      <w:bidi w:val="0"/>
      <w:spacing w:before="0" w:after="57"/>
      <w:ind w:left="339" w:hanging="339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Endnote" w:customStyle="1">
    <w:name w:val="Endnote"/>
    <w:qFormat/>
    <w:pPr>
      <w:widowControl/>
      <w:suppressAutoHyphens w:val="true"/>
      <w:bidi w:val="0"/>
      <w:spacing w:before="0" w:after="57"/>
      <w:ind w:left="339" w:hanging="339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Textbodyindent" w:customStyle="1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  <w:textAlignment w:val="baseline"/>
    </w:pPr>
    <w:rPr>
      <w:rFonts w:ascii="Liberation Serif" w:hAnsi="Liberation Serif" w:eastAsia="Lucida Sans" w:cs="Liberation Serif"/>
      <w:i/>
      <w:iCs/>
      <w:color w:val="auto"/>
      <w:kern w:val="2"/>
      <w:sz w:val="24"/>
      <w:szCs w:val="24"/>
      <w:lang w:val="pl-PL" w:eastAsia="hi-IN" w:bidi="hi-IN"/>
    </w:rPr>
  </w:style>
  <w:style w:type="paragraph" w:styleId="Contents5" w:customStyle="1">
    <w:name w:val="Contents 5"/>
    <w:qFormat/>
    <w:pPr>
      <w:widowControl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4"/>
      <w:szCs w:val="24"/>
      <w:lang w:val="pl-PL" w:eastAsia="hi-IN" w:bidi="hi-IN"/>
    </w:rPr>
  </w:style>
  <w:style w:type="paragraph" w:styleId="Contents9" w:customStyle="1">
    <w:name w:val="Contents 9"/>
    <w:qFormat/>
    <w:pPr>
      <w:widowControl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4"/>
      <w:szCs w:val="24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  <w:textAlignment w:val="baseline"/>
    </w:pPr>
    <w:rPr>
      <w:rFonts w:ascii="Liberation Sans" w:hAnsi="Liberation Sans" w:eastAsia="Lucida Sans" w:cs="Liberation Serif"/>
      <w:color w:val="auto"/>
      <w:kern w:val="2"/>
      <w:sz w:val="28"/>
      <w:szCs w:val="28"/>
      <w:lang w:val="pl-PL" w:eastAsia="hi-IN" w:bidi="hi-IN"/>
    </w:rPr>
  </w:style>
  <w:style w:type="paragraph" w:styleId="ContentsHeading" w:customStyle="1">
    <w:name w:val="Contents Heading"/>
    <w:qFormat/>
    <w:pPr>
      <w:keepNext w:val="true"/>
      <w:widowControl/>
      <w:suppressAutoHyphens w:val="true"/>
      <w:bidi w:val="0"/>
      <w:spacing w:before="0" w:after="567"/>
      <w:jc w:val="both"/>
      <w:textAlignment w:val="baseline"/>
    </w:pPr>
    <w:rPr>
      <w:rFonts w:ascii="Liberation Sans" w:hAnsi="Liberation Sans" w:eastAsia="Lucida Sans" w:cs="Liberation Serif"/>
      <w:color w:val="auto"/>
      <w:kern w:val="2"/>
      <w:sz w:val="28"/>
      <w:szCs w:val="28"/>
      <w:lang w:val="pl-PL" w:eastAsia="hi-IN" w:bidi="hi-IN"/>
    </w:rPr>
  </w:style>
  <w:style w:type="paragraph" w:styleId="Contents1" w:customStyle="1">
    <w:name w:val="Contents 1"/>
    <w:qFormat/>
    <w:pPr>
      <w:widowControl/>
      <w:suppressAutoHyphens w:val="true"/>
      <w:bidi w:val="0"/>
      <w:spacing w:before="0" w:after="170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2"/>
      <w:szCs w:val="24"/>
      <w:lang w:val="pl-PL" w:eastAsia="hi-IN" w:bidi="hi-IN"/>
    </w:rPr>
  </w:style>
  <w:style w:type="paragraph" w:styleId="BodyText21">
    <w:name w:val="Body Text 2"/>
    <w:basedOn w:val="Standard"/>
    <w:qFormat/>
    <w:pPr>
      <w:widowControl w:val="false"/>
      <w:spacing w:lineRule="auto" w:line="480" w:before="0" w:after="120"/>
    </w:pPr>
    <w:rPr>
      <w:rFonts w:eastAsia="Lucida Sans Unicode"/>
      <w:lang w:eastAsia="pl-PL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zh-CN" w:bidi="hi-IN"/>
    </w:rPr>
  </w:style>
  <w:style w:type="paragraph" w:styleId="BodyText3">
    <w:name w:val="Body Text 3"/>
    <w:basedOn w:val="Standard"/>
    <w:qFormat/>
    <w:pPr>
      <w:widowControl w:val="false"/>
    </w:pPr>
    <w:rPr>
      <w:i/>
    </w:rPr>
  </w:style>
  <w:style w:type="paragraph" w:styleId="Tekstpodstawowywcity22" w:customStyle="1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18"/>
      <w:szCs w:val="18"/>
      <w:lang w:val="pl-PL" w:eastAsia="hi-IN" w:bidi="hi-IN"/>
    </w:rPr>
  </w:style>
  <w:style w:type="paragraph" w:styleId="Style26" w:customStyle="1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  <w:textAlignment w:val="baseline"/>
    </w:pPr>
    <w:rPr>
      <w:rFonts w:ascii="Calibri" w:hAnsi="Calibri" w:eastAsia="Lucida Sans" w:cs="Liberation Serif"/>
      <w:color w:val="auto"/>
      <w:kern w:val="2"/>
      <w:sz w:val="24"/>
      <w:szCs w:val="24"/>
      <w:lang w:val="pl-PL" w:eastAsia="hi-IN" w:bidi="hi-IN"/>
    </w:rPr>
  </w:style>
  <w:style w:type="paragraph" w:styleId="SIWZTektresc" w:customStyle="1">
    <w:name w:val="SIWZ Tek tresc"/>
    <w:qFormat/>
    <w:pPr>
      <w:widowControl/>
      <w:suppressAutoHyphens w:val="true"/>
      <w:bidi w:val="0"/>
      <w:spacing w:before="60" w:after="120"/>
      <w:jc w:val="both"/>
      <w:textAlignment w:val="baseline"/>
    </w:pPr>
    <w:rPr>
      <w:rFonts w:ascii="Arial" w:hAnsi="Arial" w:eastAsia="Lucida Sans" w:cs="Liberation Serif"/>
      <w:color w:val="auto"/>
      <w:kern w:val="2"/>
      <w:sz w:val="22"/>
      <w:szCs w:val="20"/>
      <w:lang w:val="pl-PL" w:eastAsia="hi-IN" w:bidi="hi-IN"/>
    </w:rPr>
  </w:style>
  <w:style w:type="paragraph" w:styleId="NormalWeb">
    <w:name w:val="Normal (Web)"/>
    <w:basedOn w:val="Standard"/>
    <w:qFormat/>
    <w:pPr>
      <w:spacing w:before="280" w:after="280"/>
    </w:pPr>
    <w:rPr>
      <w:rFonts w:ascii="Times New Roman" w:hAnsi="Times New Roman" w:eastAsia="Times New Roman" w:cs="Times New Roman"/>
      <w:lang w:val="en-US"/>
    </w:rPr>
  </w:style>
  <w:style w:type="paragraph" w:styleId="Tekstpodstawowy31" w:customStyle="1">
    <w:name w:val="Tekst podstawowy 31"/>
    <w:basedOn w:val="Standard"/>
    <w:qFormat/>
    <w:pPr/>
    <w:rPr>
      <w:rFonts w:ascii="Times New Roman" w:hAnsi="Times New Roman" w:eastAsia="Times New Roman" w:cs="Times New Roman"/>
      <w:kern w:val="0"/>
      <w:szCs w:val="20"/>
      <w:lang w:eastAsia="ar-SA"/>
    </w:rPr>
  </w:style>
  <w:style w:type="paragraph" w:styleId="Style42" w:customStyle="1">
    <w:name w:val="Style42"/>
    <w:basedOn w:val="Standard"/>
    <w:qFormat/>
    <w:pPr>
      <w:widowControl w:val="false"/>
      <w:spacing w:lineRule="exact" w:line="319"/>
      <w:ind w:hanging="360"/>
    </w:pPr>
    <w:rPr>
      <w:rFonts w:ascii="Calibri" w:hAnsi="Calibri" w:eastAsia="Calibri" w:cs="Calibri"/>
    </w:rPr>
  </w:style>
  <w:style w:type="paragraph" w:styleId="Tekstpodstawowywcity" w:customStyle="1">
    <w:name w:val="Tekst podstawowy wci?ty"/>
    <w:basedOn w:val="Standard"/>
    <w:qFormat/>
    <w:pPr>
      <w:widowControl w:val="false"/>
      <w:ind w:right="51" w:hanging="0"/>
    </w:pPr>
    <w:rPr/>
  </w:style>
  <w:style w:type="paragraph" w:styleId="Paragraf" w:customStyle="1">
    <w:name w:val="paragraf"/>
    <w:basedOn w:val="Standard"/>
    <w:qFormat/>
    <w:pPr>
      <w:spacing w:before="283" w:after="283"/>
      <w:jc w:val="center"/>
    </w:pPr>
    <w:rPr>
      <w:b/>
      <w:sz w:val="20"/>
    </w:rPr>
  </w:style>
  <w:style w:type="paragraph" w:styleId="Zaczniki" w:customStyle="1">
    <w:name w:val="Załączniki"/>
    <w:qFormat/>
    <w:pPr>
      <w:widowControl/>
      <w:suppressAutoHyphens w:val="true"/>
      <w:bidi w:val="0"/>
      <w:spacing w:lineRule="auto" w:line="288" w:before="0" w:after="85"/>
      <w:jc w:val="right"/>
      <w:textAlignment w:val="baseline"/>
      <w:outlineLvl w:val="1"/>
    </w:pPr>
    <w:rPr>
      <w:rFonts w:ascii="Liberation Serif" w:hAnsi="Liberation Serif" w:eastAsia="NSimSun" w:cs="Lucida Sans"/>
      <w:color w:val="000000"/>
      <w:kern w:val="2"/>
      <w:sz w:val="20"/>
      <w:szCs w:val="24"/>
      <w:lang w:val="pl-PL" w:eastAsia="zh-CN" w:bidi="hi-IN"/>
    </w:rPr>
  </w:style>
  <w:style w:type="paragraph" w:styleId="Nagwekrozdziau" w:customStyle="1">
    <w:name w:val="Nagłówek rozdziału"/>
    <w:basedOn w:val="Standard"/>
    <w:qFormat/>
    <w:pPr>
      <w:keepNext w:val="true"/>
      <w:keepLines/>
      <w:shd w:val="clear" w:color="auto" w:fill="E6E6FF"/>
      <w:spacing w:before="85" w:after="57"/>
      <w:outlineLvl w:val="0"/>
    </w:pPr>
    <w:rPr>
      <w:b/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RozdziaustppunktliteraSIWZ" w:customStyle="1">
    <w:name w:val="rozdział ustęp punkt litera SIWZ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LibreOffice/7.2.4.1$Windows_X86_64 LibreOffice_project/27d75539669ac387bb498e35313b970b7fe9c4f9</Application>
  <AppVersion>15.0000</AppVersion>
  <Pages>3</Pages>
  <Words>1354</Words>
  <Characters>8916</Characters>
  <CharactersWithSpaces>10271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2021-11-10T13:43:00Z</dcterms:created>
  <dc:creator>pawel pp. pytel</dc:creator>
  <dc:description/>
  <dc:language>pl-PL</dc:language>
  <cp:lastModifiedBy/>
  <cp:lastPrinted>2024-10-29T08:25:43Z</cp:lastPrinted>
  <dcterms:modified xsi:type="dcterms:W3CDTF">2024-10-29T08:25:41Z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