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911" w:rsidRDefault="00665911" w:rsidP="00665911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ZWK.ZPA.273.3.2024</w:t>
      </w:r>
    </w:p>
    <w:p w:rsidR="00665911" w:rsidRDefault="00665911" w:rsidP="00665911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665911" w:rsidRPr="001A26D6" w:rsidRDefault="00665911" w:rsidP="00665911">
      <w:pPr>
        <w:spacing w:after="0" w:line="240" w:lineRule="auto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1A26D6">
        <w:rPr>
          <w:rFonts w:eastAsia="Times New Roman" w:cstheme="minorHAnsi"/>
          <w:bCs/>
          <w:sz w:val="16"/>
          <w:szCs w:val="16"/>
          <w:lang w:eastAsia="pl-PL"/>
        </w:rPr>
        <w:t xml:space="preserve">Załącznik nr </w:t>
      </w:r>
      <w:r>
        <w:rPr>
          <w:rFonts w:eastAsia="Times New Roman" w:cstheme="minorHAnsi"/>
          <w:bCs/>
          <w:sz w:val="16"/>
          <w:szCs w:val="16"/>
          <w:lang w:eastAsia="pl-PL"/>
        </w:rPr>
        <w:t>6</w:t>
      </w:r>
      <w:r w:rsidRPr="001A26D6">
        <w:rPr>
          <w:rFonts w:eastAsia="Times New Roman" w:cstheme="minorHAnsi"/>
          <w:bCs/>
          <w:sz w:val="16"/>
          <w:szCs w:val="16"/>
          <w:lang w:eastAsia="pl-PL"/>
        </w:rPr>
        <w:t xml:space="preserve"> do SWZ</w:t>
      </w:r>
    </w:p>
    <w:p w:rsidR="00665911" w:rsidRPr="001A26D6" w:rsidRDefault="00665911" w:rsidP="00665911">
      <w:pPr>
        <w:spacing w:line="300" w:lineRule="atLeast"/>
        <w:jc w:val="center"/>
        <w:rPr>
          <w:rFonts w:eastAsia="Times New Roman" w:cstheme="minorHAnsi"/>
          <w:lang w:eastAsia="pl-PL"/>
        </w:rPr>
      </w:pPr>
    </w:p>
    <w:p w:rsidR="00665911" w:rsidRPr="001A26D6" w:rsidRDefault="00665911" w:rsidP="00665911">
      <w:pPr>
        <w:spacing w:line="300" w:lineRule="atLeast"/>
        <w:jc w:val="center"/>
        <w:rPr>
          <w:rFonts w:eastAsia="Times New Roman" w:cstheme="minorHAnsi"/>
          <w:b/>
          <w:lang w:eastAsia="pl-PL"/>
        </w:rPr>
      </w:pPr>
      <w:r w:rsidRPr="001A26D6">
        <w:rPr>
          <w:rFonts w:eastAsia="Times New Roman" w:cstheme="minorHAnsi"/>
          <w:b/>
          <w:lang w:eastAsia="pl-PL"/>
        </w:rPr>
        <w:t>OPIS PRZEDMIOTU ZAMÓWIENIA</w:t>
      </w:r>
    </w:p>
    <w:p w:rsidR="00665911" w:rsidRPr="001A26D6" w:rsidRDefault="00665911" w:rsidP="00665911">
      <w:pPr>
        <w:spacing w:line="300" w:lineRule="atLeast"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>Przedmiotem zamówienia jest kompleksowa dostawa gazu do jednostek podległych Zachodniopomorskiej  Wojewódzkiej Komendzie Ochotniczych Hufców Pracy w Szczecinie.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Przedmiotem zamówienia jest kompleksowa dostawa , zakup i świadczenie usług dystrybucji  gazu ziemnego o parametrach wymaganych przez Zamawiającego dla poniżej wymienionych jednostek organizacyjnych Zachodniopomorskiej Wojewódzkiej Komendy OHP w Szczecinie.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Wykaz posiadanych umów na dostawę i dystrybucję paliwa gazowego, typu dostarczonego gazu  oraz okres wypowiedzenia przedstawia poniższa tabela.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Zamawiający wymaga dostarczenia gazu ziemnego o minimalnych parametrach taryfowych określonych w poniższej tabeli.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Do ceny jednostkowej paliwa gazowego powinna być doliczona stawka podatku akcyzowego zgodnie z obowiązującymi przepisami.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Wykonawca zobowiązany jest wystawić odrębne faktury  na każdą w/w jednostkę organizacyjną na podstawie zużycia paliwa gazowego przy stałych cenach jednostkowych za </w:t>
      </w:r>
      <w:r>
        <w:rPr>
          <w:rFonts w:eastAsia="Times New Roman" w:cstheme="minorHAnsi"/>
          <w:lang w:eastAsia="pl-PL"/>
        </w:rPr>
        <w:br/>
      </w:r>
      <w:r w:rsidRPr="001A26D6">
        <w:rPr>
          <w:rFonts w:eastAsia="Times New Roman" w:cstheme="minorHAnsi"/>
          <w:lang w:eastAsia="pl-PL"/>
        </w:rPr>
        <w:t>1  kWh w całym okresie realizacji zamówienia.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Łączna ilość paliwa gazowego, która będzie dostarczana w okresie obowiązywania umowy do punktów poboru określonych dla poszczególnych części przedstawia poniższa tabela. Poniższa wartość wolumenu jest wartością szacowaną i może ulec zmianie. W przypadku różnicy między zużyciem planowanym a faktycznym , Wykonawca nie będzie z tego tytułu dochodził roszczeń finansowych innych niż te wynikające z ilości zużytego gazu oraz </w:t>
      </w:r>
      <w:proofErr w:type="spellStart"/>
      <w:r w:rsidRPr="001A26D6">
        <w:rPr>
          <w:rFonts w:eastAsia="Times New Roman" w:cstheme="minorHAnsi"/>
          <w:lang w:eastAsia="pl-PL"/>
        </w:rPr>
        <w:t>przesyłu</w:t>
      </w:r>
      <w:proofErr w:type="spellEnd"/>
      <w:r w:rsidRPr="001A26D6">
        <w:rPr>
          <w:rFonts w:eastAsia="Times New Roman" w:cstheme="minorHAnsi"/>
          <w:lang w:eastAsia="pl-PL"/>
        </w:rPr>
        <w:t xml:space="preserve"> zgodnie </w:t>
      </w:r>
      <w:r>
        <w:rPr>
          <w:rFonts w:eastAsia="Times New Roman" w:cstheme="minorHAnsi"/>
          <w:lang w:eastAsia="pl-PL"/>
        </w:rPr>
        <w:br/>
      </w:r>
      <w:r w:rsidRPr="001A26D6">
        <w:rPr>
          <w:rFonts w:eastAsia="Times New Roman" w:cstheme="minorHAnsi"/>
          <w:lang w:eastAsia="pl-PL"/>
        </w:rPr>
        <w:t xml:space="preserve">z obowiązującą Taryfą Operatora Systemu Dystrybucji.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Przedmiot zamówienia (taryfy oraz moc zamówioną dla poszczególnych lokalizacji) szczegółowo określa poniższa tabela.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Umowa zostanie zawarta na okres 12  miesięcy od dnia rozpoczęcia realizacji dostaw gazu do danej jednostki  organizacyjnej ZWK </w:t>
      </w:r>
      <w:r w:rsidRPr="00B6160E">
        <w:rPr>
          <w:rFonts w:eastAsia="Times New Roman" w:cstheme="minorHAnsi"/>
          <w:u w:val="single"/>
          <w:lang w:eastAsia="pl-PL"/>
        </w:rPr>
        <w:t>OHP (w przypadku jednostki Nosowo, 76 – 039 Biesiekierz na okres 13 miesięcy)</w:t>
      </w:r>
      <w:r w:rsidRPr="001A26D6">
        <w:rPr>
          <w:rFonts w:eastAsia="Times New Roman" w:cstheme="minorHAnsi"/>
          <w:lang w:eastAsia="pl-PL"/>
        </w:rPr>
        <w:t xml:space="preserve">. Warunkiem rozpoczęcia dostaw, jest skuteczne przeprowadzenie przez Wykonawcę procedury zmiany sprzedawcy. Zamawiający nie przeniesie żadnych dodatkowych kosztów związanych z wykonaniem tych czynności jak również kosztów wynikających z uchybień Wykonawcy wynikłych w trakcie ich realizacji. Zamawiający może dochodzić odszkodowania wynikającego z niedotrzymania terminu oraz innych poniesionych szkód z winy Wykonawcy.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lastRenderedPageBreak/>
        <w:t xml:space="preserve">Wykonawca, w oparciu o udzielone Pełnomocnictwo, zobowiązany będzie do zgłoszenia </w:t>
      </w:r>
      <w:r>
        <w:rPr>
          <w:rFonts w:eastAsia="Times New Roman" w:cstheme="minorHAnsi"/>
          <w:lang w:eastAsia="pl-PL"/>
        </w:rPr>
        <w:br/>
      </w:r>
      <w:r w:rsidRPr="001A26D6">
        <w:rPr>
          <w:rFonts w:eastAsia="Times New Roman" w:cstheme="minorHAnsi"/>
          <w:lang w:eastAsia="pl-PL"/>
        </w:rPr>
        <w:t xml:space="preserve">w imieniu własnym i Zamawiającego umowy sprzedaży paliwa gazowego właściwemu OSD zgodnie z obowiązującymi przepisami.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>Wykonawca odpowiedzialny będzie za przebieg i terminowe wykonanie zamówienia.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Wykonawca musi posiadać aktualną umowę z Operatorem Systemu </w:t>
      </w:r>
      <w:proofErr w:type="spellStart"/>
      <w:r w:rsidRPr="001A26D6">
        <w:rPr>
          <w:rFonts w:eastAsia="Times New Roman" w:cstheme="minorHAnsi"/>
          <w:lang w:eastAsia="pl-PL"/>
        </w:rPr>
        <w:t>Dystybucyjnego</w:t>
      </w:r>
      <w:proofErr w:type="spellEnd"/>
      <w:r w:rsidRPr="001A26D6">
        <w:rPr>
          <w:rFonts w:eastAsia="Times New Roman" w:cstheme="minorHAnsi"/>
          <w:lang w:eastAsia="pl-PL"/>
        </w:rPr>
        <w:t xml:space="preserve"> (chyba, ze  sam jest operatorem), działając na terenie Zamawiającego i umożliwiającą sprzedaż paliwa gazowego za pośrednictwem sieci dystrybucyjnej do punktu poboru.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Dostawa paliwa gazowego odbywać się będzie na warunkach określonych przepisami ustawy z dnia 10 kwietnia 1997r. – Prawo energetyczne (tj. Dz.U. 2018.755 ze zm.) oraz zgodnie </w:t>
      </w:r>
      <w:r>
        <w:rPr>
          <w:rFonts w:eastAsia="Times New Roman" w:cstheme="minorHAnsi"/>
          <w:lang w:eastAsia="pl-PL"/>
        </w:rPr>
        <w:br/>
      </w:r>
      <w:r w:rsidRPr="001A26D6">
        <w:rPr>
          <w:rFonts w:eastAsia="Times New Roman" w:cstheme="minorHAnsi"/>
          <w:lang w:eastAsia="pl-PL"/>
        </w:rPr>
        <w:t xml:space="preserve">z wydanymi do tej ustawy przepisami wykonawczymi.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Standardy jakościowe przedmiotu zamówienia paliwa gazowego powinny spełniać parametry techniczne zgodnie z postanowieniami ustawy Prawo energetyczne oraz rozporządzeniami wykonawczymi do tej ustawy i Polskimi Normami, które zapewniał będzie OSD.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Na podstawie umowy Wykonawca zobowiąże się do zapewnienia bilansowania handlowego </w:t>
      </w:r>
      <w:r>
        <w:rPr>
          <w:rFonts w:eastAsia="Times New Roman" w:cstheme="minorHAnsi"/>
          <w:lang w:eastAsia="pl-PL"/>
        </w:rPr>
        <w:br/>
      </w:r>
      <w:r w:rsidRPr="001A26D6">
        <w:rPr>
          <w:rFonts w:eastAsia="Times New Roman" w:cstheme="minorHAnsi"/>
          <w:lang w:eastAsia="pl-PL"/>
        </w:rPr>
        <w:t xml:space="preserve">w zakresie sprzedaży paliwa gazowego do obiektów Zamawiającego. Bilansowanie rozumiane jest jako pokrycie strat wynikających z różnic zużycia gazu prognozowanego w stosunku do rzeczywistego w danym okresie rozliczeniowym. Tym samym Wykonawca pełni funkcję Operatora Handlowego i Podmiotu odpowiedzialnego  za Bilansowanie Handlowe. </w:t>
      </w:r>
    </w:p>
    <w:p w:rsidR="00665911" w:rsidRPr="001A26D6" w:rsidRDefault="00665911" w:rsidP="00665911">
      <w:pPr>
        <w:numPr>
          <w:ilvl w:val="0"/>
          <w:numId w:val="5"/>
        </w:numPr>
        <w:spacing w:line="300" w:lineRule="atLeast"/>
        <w:contextualSpacing/>
        <w:jc w:val="both"/>
        <w:rPr>
          <w:rFonts w:eastAsia="Times New Roman" w:cstheme="minorHAnsi"/>
          <w:lang w:eastAsia="pl-PL"/>
        </w:rPr>
      </w:pPr>
      <w:r w:rsidRPr="001A26D6">
        <w:rPr>
          <w:rFonts w:eastAsia="Times New Roman" w:cstheme="minorHAnsi"/>
          <w:lang w:eastAsia="pl-PL"/>
        </w:rPr>
        <w:t xml:space="preserve">Wykonawca zwolni Zamawiającego z wszelkich kosztów i obowiązków związanych </w:t>
      </w:r>
      <w:r>
        <w:rPr>
          <w:rFonts w:eastAsia="Times New Roman" w:cstheme="minorHAnsi"/>
          <w:lang w:eastAsia="pl-PL"/>
        </w:rPr>
        <w:br/>
      </w:r>
      <w:r w:rsidRPr="001A26D6">
        <w:rPr>
          <w:rFonts w:eastAsia="Times New Roman" w:cstheme="minorHAnsi"/>
          <w:lang w:eastAsia="pl-PL"/>
        </w:rPr>
        <w:t>z bilansowaniem handlowym oraz przygotowaniem i zgłaszaniem grafików zapotrzebowania na gaz zmienny do ODS.</w:t>
      </w:r>
    </w:p>
    <w:p w:rsidR="00665911" w:rsidRDefault="00665911" w:rsidP="00665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911" w:rsidRDefault="00665911" w:rsidP="00665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911" w:rsidRPr="00B6160E" w:rsidRDefault="00665911" w:rsidP="00665911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80" w:lineRule="atLeast"/>
        <w:ind w:left="644"/>
        <w:textAlignment w:val="baseline"/>
        <w:rPr>
          <w:rFonts w:eastAsia="Times New Roman" w:cs="Tahoma"/>
          <w:b/>
          <w:sz w:val="24"/>
          <w:szCs w:val="24"/>
          <w:lang w:eastAsia="pl-PL"/>
        </w:rPr>
      </w:pPr>
      <w:r w:rsidRPr="00B6160E">
        <w:rPr>
          <w:rFonts w:eastAsia="Times New Roman" w:cs="Tahoma"/>
          <w:b/>
          <w:sz w:val="24"/>
          <w:szCs w:val="24"/>
          <w:lang w:eastAsia="pl-PL"/>
        </w:rPr>
        <w:t xml:space="preserve">Załącznik nr 1 – Wykaz punktów odbioru </w:t>
      </w:r>
    </w:p>
    <w:p w:rsidR="00665911" w:rsidRPr="00B6160E" w:rsidRDefault="00665911" w:rsidP="00665911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80" w:lineRule="atLeast"/>
        <w:ind w:left="644"/>
        <w:textAlignment w:val="baseline"/>
        <w:rPr>
          <w:rFonts w:eastAsia="Times New Roman" w:cs="Tahoma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1416"/>
        <w:gridCol w:w="998"/>
        <w:gridCol w:w="1294"/>
        <w:gridCol w:w="950"/>
        <w:gridCol w:w="1254"/>
        <w:gridCol w:w="1097"/>
        <w:gridCol w:w="1504"/>
      </w:tblGrid>
      <w:tr w:rsidR="00665911" w:rsidRPr="00B6160E" w:rsidTr="00D829DC">
        <w:tc>
          <w:tcPr>
            <w:tcW w:w="562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07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Obecny dostawca</w:t>
            </w:r>
          </w:p>
        </w:tc>
        <w:tc>
          <w:tcPr>
            <w:tcW w:w="1124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Jednostka realizująca usługę dystrybucji</w:t>
            </w:r>
          </w:p>
        </w:tc>
        <w:tc>
          <w:tcPr>
            <w:tcW w:w="960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Grupa taryfowa / moc</w:t>
            </w:r>
          </w:p>
        </w:tc>
        <w:tc>
          <w:tcPr>
            <w:tcW w:w="1300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Rodzaj gazu</w:t>
            </w:r>
          </w:p>
        </w:tc>
        <w:tc>
          <w:tcPr>
            <w:tcW w:w="1141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Roczne zużycie </w:t>
            </w:r>
          </w:p>
        </w:tc>
        <w:tc>
          <w:tcPr>
            <w:tcW w:w="1551" w:type="dxa"/>
            <w:shd w:val="clear" w:color="auto" w:fill="BDD6EE" w:themeFill="accent1" w:themeFillTint="66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Okres zakończenia umowy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ROSZM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Świnoujście, 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Kasprowicza 11 72-600 Świnoujście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J. Kazimierza 3 01-248 Warszawa</w:t>
            </w:r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BW 2.1 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2 321,00 kWh</w:t>
            </w: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31.12.2024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ROSZM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Świnoujście, 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Kasprowicza 11 72-600 Świnoujście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J. Kazimierza 3 01-248 Warszawa</w:t>
            </w:r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BW 5.1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 grzewczy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170 587,00 kWh</w:t>
            </w:r>
          </w:p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31.12.2024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OSIW Barlinek ul. Bonifacego 36, 74-320 Barlinek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J. Kazimierza 3 01-248 Warszawa</w:t>
            </w:r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BW 3.6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13 610,00 kWh</w:t>
            </w: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31.12.2024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OSIW Barlinek ul. Bonifacego 36, 74-320 Barlinek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J. Kazimierza 3 01-248 Warszawa</w:t>
            </w:r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BW 5.1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 grzewczy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486 652,00 kWh</w:t>
            </w: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31.12.2024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lastRenderedPageBreak/>
              <w:t>5.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OSIW Stargard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Jugosłowiańska 22 A 73-110 Stargard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J. Kazimierza 3 01-248 Warszawa</w:t>
            </w:r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BW 2.1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5 962,00 kWh</w:t>
            </w: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31.12.2024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OSIW Łobez 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Krótka 2 Łobez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PGNIG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J. Kazimierza 3 01-248 Warszawa</w:t>
            </w:r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BW 2.1 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6 721,00 kWh</w:t>
            </w: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31.12.2024</w:t>
            </w:r>
          </w:p>
        </w:tc>
      </w:tr>
      <w:tr w:rsidR="00665911" w:rsidRPr="00B6160E" w:rsidTr="00D829DC">
        <w:tc>
          <w:tcPr>
            <w:tcW w:w="562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17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ROSZM Nosowo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Nosowo 1</w:t>
            </w:r>
          </w:p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76 – 036 Biesiekierz </w:t>
            </w:r>
          </w:p>
        </w:tc>
        <w:tc>
          <w:tcPr>
            <w:tcW w:w="1007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G.EN GAZ</w:t>
            </w:r>
          </w:p>
        </w:tc>
        <w:tc>
          <w:tcPr>
            <w:tcW w:w="1124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G.EN GAZ Energia</w:t>
            </w:r>
            <w:r w:rsidR="00B46F99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 xml:space="preserve"> sp. z o.o., </w:t>
            </w:r>
            <w:r w:rsidR="00B46F99" w:rsidRPr="00B46F99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ul. Domaniewska 37, 02-672 Warszawa</w:t>
            </w:r>
            <w:bookmarkStart w:id="0" w:name="_GoBack"/>
            <w:bookmarkEnd w:id="0"/>
          </w:p>
        </w:tc>
        <w:tc>
          <w:tcPr>
            <w:tcW w:w="96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W.</w:t>
            </w:r>
            <w:r w:rsidR="00B46F99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00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ziemny</w:t>
            </w:r>
          </w:p>
        </w:tc>
        <w:tc>
          <w:tcPr>
            <w:tcW w:w="1141" w:type="dxa"/>
          </w:tcPr>
          <w:p w:rsidR="00665911" w:rsidRPr="00B6160E" w:rsidRDefault="00665911" w:rsidP="00D829DC">
            <w:pPr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311 224,00 kWh</w:t>
            </w:r>
          </w:p>
        </w:tc>
        <w:tc>
          <w:tcPr>
            <w:tcW w:w="1551" w:type="dxa"/>
          </w:tcPr>
          <w:p w:rsidR="00665911" w:rsidRPr="00B6160E" w:rsidRDefault="00665911" w:rsidP="00D829DC">
            <w:pPr>
              <w:jc w:val="center"/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</w:pPr>
            <w:r w:rsidRPr="00B6160E">
              <w:rPr>
                <w:rFonts w:ascii="Gill Sans CE" w:eastAsia="Times New Roman" w:hAnsi="Gill Sans CE" w:cs="Arial"/>
                <w:sz w:val="16"/>
                <w:szCs w:val="16"/>
                <w:lang w:eastAsia="pl-PL"/>
              </w:rPr>
              <w:t>30.11.2024 r.</w:t>
            </w:r>
          </w:p>
        </w:tc>
      </w:tr>
    </w:tbl>
    <w:p w:rsidR="00F46EEA" w:rsidRPr="00E80043" w:rsidRDefault="00F46EEA" w:rsidP="00665911">
      <w:pPr>
        <w:pStyle w:val="Nagwek"/>
      </w:pPr>
    </w:p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CE">
    <w:altName w:val="Lucida Sans Unicode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594"/>
    <w:multiLevelType w:val="hybridMultilevel"/>
    <w:tmpl w:val="5022B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6591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46F99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3770"/>
    <w:rsid w:val="00E84E24"/>
    <w:rsid w:val="00E932E8"/>
    <w:rsid w:val="00EB0D37"/>
    <w:rsid w:val="00EC4680"/>
    <w:rsid w:val="00ED721A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5E6E1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5911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1A566-438A-4E5F-B4C6-34772A7D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3</TotalTime>
  <Pages>3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3</cp:revision>
  <cp:lastPrinted>2022-08-03T09:44:00Z</cp:lastPrinted>
  <dcterms:created xsi:type="dcterms:W3CDTF">2024-10-25T13:23:00Z</dcterms:created>
  <dcterms:modified xsi:type="dcterms:W3CDTF">2024-10-28T11:24:00Z</dcterms:modified>
</cp:coreProperties>
</file>