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DE9D9" w:themeColor="accent6" w:themeTint="33"/>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E619F6">
            <w:pPr>
              <w:tabs>
                <w:tab w:val="left" w:pos="408"/>
              </w:tabs>
              <w:ind w:left="360"/>
              <w:jc w:val="center"/>
              <w:rPr>
                <w:b/>
                <w:sz w:val="6"/>
                <w:szCs w:val="6"/>
              </w:rPr>
            </w:pPr>
          </w:p>
          <w:p w14:paraId="668B8C98" w14:textId="1135B132" w:rsidR="00CF579B" w:rsidRPr="009C6825" w:rsidRDefault="00CF579B" w:rsidP="00E619F6">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E619F6">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E619F6">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E619F6">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E619F6">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E619F6">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A639C4" w:rsidRDefault="009E1376" w:rsidP="00E619F6">
            <w:pPr>
              <w:tabs>
                <w:tab w:val="left" w:pos="408"/>
              </w:tabs>
              <w:jc w:val="center"/>
              <w:rPr>
                <w:b/>
              </w:rPr>
            </w:pPr>
          </w:p>
        </w:tc>
        <w:tc>
          <w:tcPr>
            <w:tcW w:w="7796" w:type="dxa"/>
            <w:shd w:val="clear" w:color="auto" w:fill="auto"/>
          </w:tcPr>
          <w:p w14:paraId="0C6CF8EF" w14:textId="77777777" w:rsidR="00E619F6" w:rsidRDefault="00E619F6" w:rsidP="00E619F6">
            <w:pPr>
              <w:ind w:left="300" w:hanging="300"/>
              <w:jc w:val="both"/>
              <w:rPr>
                <w:b/>
              </w:rPr>
            </w:pPr>
          </w:p>
          <w:p w14:paraId="7EBB23AB" w14:textId="0B746C57" w:rsidR="009E1376" w:rsidRPr="00A639C4" w:rsidRDefault="009E1376" w:rsidP="00E619F6">
            <w:pPr>
              <w:ind w:left="300" w:hanging="300"/>
              <w:jc w:val="both"/>
              <w:rPr>
                <w:b/>
              </w:rPr>
            </w:pPr>
            <w:r w:rsidRPr="00A639C4">
              <w:rPr>
                <w:b/>
              </w:rPr>
              <w:t>Pełna nazwa zamówienia:</w:t>
            </w:r>
          </w:p>
          <w:p w14:paraId="7284C721" w14:textId="3E8D03B7" w:rsidR="00E6333B" w:rsidRDefault="00925D57" w:rsidP="00F15997">
            <w:pPr>
              <w:jc w:val="center"/>
              <w:rPr>
                <w:b/>
                <w:bCs/>
                <w:iCs/>
                <w:color w:val="000000"/>
                <w:sz w:val="24"/>
                <w:szCs w:val="24"/>
              </w:rPr>
            </w:pPr>
            <w:r w:rsidRPr="00293B88">
              <w:rPr>
                <w:b/>
                <w:bCs/>
                <w:iCs/>
                <w:color w:val="000000"/>
                <w:sz w:val="24"/>
                <w:szCs w:val="24"/>
              </w:rPr>
              <w:t xml:space="preserve">Serwis, obsługa i konserwacja 2 szt. pompowni </w:t>
            </w:r>
            <w:r w:rsidR="00F15997" w:rsidRPr="00293B88">
              <w:rPr>
                <w:b/>
                <w:bCs/>
                <w:iCs/>
                <w:color w:val="000000"/>
                <w:sz w:val="24"/>
                <w:szCs w:val="24"/>
              </w:rPr>
              <w:t xml:space="preserve">ścieków zlokalizowanych w </w:t>
            </w:r>
            <w:r w:rsidRPr="00293B88">
              <w:rPr>
                <w:b/>
                <w:bCs/>
                <w:iCs/>
                <w:color w:val="000000"/>
                <w:sz w:val="24"/>
                <w:szCs w:val="24"/>
              </w:rPr>
              <w:t xml:space="preserve">ciągu </w:t>
            </w:r>
            <w:r w:rsidR="00F15997" w:rsidRPr="00293B88">
              <w:rPr>
                <w:b/>
                <w:bCs/>
                <w:iCs/>
                <w:color w:val="000000"/>
                <w:sz w:val="24"/>
                <w:szCs w:val="24"/>
              </w:rPr>
              <w:t xml:space="preserve">drogi wojewódzkiej </w:t>
            </w:r>
            <w:r w:rsidRPr="00293B88">
              <w:rPr>
                <w:b/>
                <w:bCs/>
                <w:iCs/>
                <w:color w:val="000000"/>
                <w:sz w:val="24"/>
                <w:szCs w:val="24"/>
              </w:rPr>
              <w:t>nr 877</w:t>
            </w:r>
            <w:r w:rsidR="00F15997" w:rsidRPr="00293B88">
              <w:rPr>
                <w:b/>
                <w:bCs/>
                <w:iCs/>
                <w:color w:val="000000"/>
                <w:sz w:val="24"/>
                <w:szCs w:val="24"/>
              </w:rPr>
              <w:br/>
              <w:t xml:space="preserve"> w m. Łańcut pod torowiskiem linii kolejowej nr 91</w:t>
            </w:r>
          </w:p>
          <w:p w14:paraId="519B4AC8" w14:textId="77777777" w:rsidR="00293B88" w:rsidRPr="00293B88" w:rsidRDefault="00293B88" w:rsidP="00F15997">
            <w:pPr>
              <w:jc w:val="center"/>
              <w:rPr>
                <w:b/>
                <w:color w:val="000000"/>
                <w:sz w:val="24"/>
                <w:szCs w:val="24"/>
              </w:rPr>
            </w:pPr>
          </w:p>
          <w:p w14:paraId="7A3913D1" w14:textId="77777777" w:rsidR="009E1376" w:rsidRPr="00A639C4" w:rsidRDefault="009E1376" w:rsidP="00E619F6">
            <w:pPr>
              <w:ind w:left="300" w:hanging="300"/>
              <w:jc w:val="both"/>
              <w:rPr>
                <w:bCs/>
              </w:rPr>
            </w:pPr>
            <w:r w:rsidRPr="00A639C4">
              <w:rPr>
                <w:bCs/>
              </w:rPr>
              <w:t xml:space="preserve">W/w nazwy należy używać na każdym etapie prowadzonego postępowania. </w:t>
            </w:r>
          </w:p>
          <w:p w14:paraId="7ABA3C6C" w14:textId="4A7D4724" w:rsidR="009E1376" w:rsidRPr="00A639C4" w:rsidRDefault="009E1376" w:rsidP="00E619F6">
            <w:pPr>
              <w:ind w:left="34"/>
              <w:jc w:val="both"/>
              <w:rPr>
                <w:bCs/>
              </w:rPr>
            </w:pPr>
            <w:r w:rsidRPr="00A639C4">
              <w:rPr>
                <w:bCs/>
              </w:rPr>
              <w:t xml:space="preserve">Z uwagi na możliwość wpisania ograniczonej liczby znaków w platformie </w:t>
            </w:r>
            <w:r w:rsidR="008E05D4">
              <w:rPr>
                <w:bCs/>
              </w:rPr>
              <w:br/>
            </w:r>
            <w:r w:rsidRPr="00A639C4">
              <w:rPr>
                <w:bCs/>
              </w:rPr>
              <w:t>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E619F6">
            <w:pPr>
              <w:tabs>
                <w:tab w:val="left" w:pos="408"/>
              </w:tabs>
              <w:rPr>
                <w:b/>
              </w:rPr>
            </w:pPr>
          </w:p>
        </w:tc>
      </w:tr>
      <w:tr w:rsidR="000A578E" w:rsidRPr="00A639C4" w14:paraId="6EA5BC02" w14:textId="77777777" w:rsidTr="00A639C4">
        <w:tc>
          <w:tcPr>
            <w:tcW w:w="1384" w:type="dxa"/>
            <w:vMerge/>
            <w:shd w:val="clear" w:color="auto" w:fill="auto"/>
          </w:tcPr>
          <w:p w14:paraId="5A0C33ED" w14:textId="77777777" w:rsidR="000A578E" w:rsidRPr="00A639C4" w:rsidRDefault="000A578E" w:rsidP="00E619F6">
            <w:pPr>
              <w:tabs>
                <w:tab w:val="left" w:pos="408"/>
              </w:tabs>
              <w:jc w:val="center"/>
              <w:rPr>
                <w:b/>
              </w:rPr>
            </w:pPr>
          </w:p>
        </w:tc>
        <w:tc>
          <w:tcPr>
            <w:tcW w:w="7796" w:type="dxa"/>
            <w:shd w:val="clear" w:color="auto" w:fill="auto"/>
          </w:tcPr>
          <w:p w14:paraId="6E66CB94" w14:textId="77777777" w:rsidR="00E619F6" w:rsidRDefault="00E619F6" w:rsidP="00E619F6">
            <w:pPr>
              <w:ind w:left="300" w:hanging="300"/>
              <w:jc w:val="both"/>
              <w:rPr>
                <w:b/>
              </w:rPr>
            </w:pPr>
          </w:p>
          <w:p w14:paraId="4C6456B4" w14:textId="4B96AC8F" w:rsidR="000A578E" w:rsidRDefault="000A578E" w:rsidP="00E619F6">
            <w:pPr>
              <w:ind w:left="300" w:hanging="300"/>
              <w:jc w:val="both"/>
              <w:rPr>
                <w:b/>
              </w:rPr>
            </w:pPr>
            <w:r w:rsidRPr="000E368E">
              <w:rPr>
                <w:b/>
              </w:rPr>
              <w:t>Opis przedmiotu zamówienia</w:t>
            </w:r>
            <w:r>
              <w:rPr>
                <w:b/>
              </w:rPr>
              <w:t>:</w:t>
            </w:r>
          </w:p>
          <w:p w14:paraId="3F5DBCF4" w14:textId="77777777" w:rsidR="00FD251C" w:rsidRDefault="00FD251C" w:rsidP="00FD251C">
            <w:pPr>
              <w:tabs>
                <w:tab w:val="left" w:pos="408"/>
              </w:tabs>
              <w:jc w:val="both"/>
              <w:rPr>
                <w:bCs/>
              </w:rPr>
            </w:pPr>
          </w:p>
          <w:p w14:paraId="778DDD29" w14:textId="0DB5F411" w:rsidR="00E6333B" w:rsidRDefault="00925D57" w:rsidP="00E6333B">
            <w:pPr>
              <w:jc w:val="both"/>
              <w:rPr>
                <w:bCs/>
                <w:color w:val="000000"/>
              </w:rPr>
            </w:pPr>
            <w:r>
              <w:rPr>
                <w:bCs/>
                <w:color w:val="000000"/>
              </w:rPr>
              <w:t xml:space="preserve">- serwis, obsługa i konserwacja 2 </w:t>
            </w:r>
            <w:proofErr w:type="spellStart"/>
            <w:r>
              <w:rPr>
                <w:bCs/>
                <w:color w:val="000000"/>
              </w:rPr>
              <w:t>szt</w:t>
            </w:r>
            <w:proofErr w:type="spellEnd"/>
            <w:r>
              <w:rPr>
                <w:bCs/>
                <w:color w:val="000000"/>
              </w:rPr>
              <w:t xml:space="preserve"> pompowni </w:t>
            </w:r>
            <w:r w:rsidR="00F15997">
              <w:rPr>
                <w:bCs/>
                <w:color w:val="000000"/>
              </w:rPr>
              <w:t>ścieków</w:t>
            </w:r>
            <w:r>
              <w:rPr>
                <w:bCs/>
                <w:color w:val="000000"/>
              </w:rPr>
              <w:t xml:space="preserve"> obejmujący czynności serwisowe stałe (abonament) </w:t>
            </w:r>
            <w:r w:rsidR="00615911">
              <w:rPr>
                <w:bCs/>
                <w:color w:val="000000"/>
              </w:rPr>
              <w:t xml:space="preserve"> od dat</w:t>
            </w:r>
            <w:r w:rsidR="00D95ABB">
              <w:rPr>
                <w:bCs/>
                <w:color w:val="000000"/>
              </w:rPr>
              <w:t>y</w:t>
            </w:r>
            <w:r w:rsidR="00615911">
              <w:rPr>
                <w:bCs/>
                <w:color w:val="000000"/>
              </w:rPr>
              <w:t xml:space="preserve"> podpisania umowy do 31.12.2024r.</w:t>
            </w:r>
            <w:r>
              <w:rPr>
                <w:bCs/>
                <w:color w:val="000000"/>
              </w:rPr>
              <w:t xml:space="preserve"> </w:t>
            </w:r>
          </w:p>
          <w:p w14:paraId="7D12F949" w14:textId="77777777" w:rsidR="00777783" w:rsidRPr="0031102F" w:rsidRDefault="00777783" w:rsidP="00E619F6">
            <w:pPr>
              <w:tabs>
                <w:tab w:val="left" w:pos="408"/>
              </w:tabs>
              <w:rPr>
                <w:color w:val="FF0000"/>
              </w:rPr>
            </w:pPr>
          </w:p>
          <w:p w14:paraId="0C90C54C" w14:textId="41D4D9C7" w:rsidR="000A578E" w:rsidRDefault="000A578E" w:rsidP="00E619F6">
            <w:pPr>
              <w:jc w:val="both"/>
            </w:pPr>
            <w:r>
              <w:t>Opis Przedmiotu Zamówienia</w:t>
            </w:r>
            <w:r w:rsidRPr="007B75D4">
              <w:t xml:space="preserve"> oraz sposób realizacji zamówienia zawiera </w:t>
            </w:r>
            <w:r w:rsidRPr="006D551E">
              <w:rPr>
                <w:b/>
                <w:bCs/>
              </w:rPr>
              <w:t>OPZ</w:t>
            </w:r>
            <w:r w:rsidR="00777783">
              <w:rPr>
                <w:b/>
                <w:bCs/>
              </w:rPr>
              <w:t xml:space="preserve"> </w:t>
            </w:r>
            <w:r w:rsidRPr="007B75D4">
              <w:t>stanowiąc</w:t>
            </w:r>
            <w:r w:rsidR="000C5D0B">
              <w:t>y</w:t>
            </w:r>
            <w:r w:rsidRPr="007B75D4">
              <w:t xml:space="preserve"> </w:t>
            </w:r>
            <w:r>
              <w:rPr>
                <w:b/>
              </w:rPr>
              <w:t xml:space="preserve">Załącznik </w:t>
            </w:r>
            <w:r w:rsidRPr="007B75D4">
              <w:rPr>
                <w:b/>
              </w:rPr>
              <w:t>do SWZ</w:t>
            </w:r>
            <w:r w:rsidRPr="007B75D4">
              <w:t>.</w:t>
            </w:r>
          </w:p>
          <w:p w14:paraId="2130F7F8" w14:textId="55218D0B" w:rsidR="00CC10AD" w:rsidRPr="00A639C4" w:rsidRDefault="00CC10AD" w:rsidP="00E6333B">
            <w:pPr>
              <w:widowControl/>
              <w:autoSpaceDE/>
              <w:autoSpaceDN/>
              <w:adjustRightInd/>
              <w:jc w:val="both"/>
              <w:rPr>
                <w:b/>
              </w:rPr>
            </w:pPr>
          </w:p>
        </w:tc>
      </w:tr>
      <w:tr w:rsidR="00777783" w:rsidRPr="00A639C4" w14:paraId="65569BC4" w14:textId="77777777" w:rsidTr="00A639C4">
        <w:tc>
          <w:tcPr>
            <w:tcW w:w="1384" w:type="dxa"/>
            <w:vMerge/>
            <w:shd w:val="clear" w:color="auto" w:fill="auto"/>
          </w:tcPr>
          <w:p w14:paraId="0E5A35B9" w14:textId="77777777" w:rsidR="00777783" w:rsidRPr="00A639C4" w:rsidRDefault="00777783" w:rsidP="00E619F6">
            <w:pPr>
              <w:tabs>
                <w:tab w:val="left" w:pos="408"/>
              </w:tabs>
              <w:jc w:val="center"/>
              <w:rPr>
                <w:b/>
              </w:rPr>
            </w:pPr>
          </w:p>
        </w:tc>
        <w:tc>
          <w:tcPr>
            <w:tcW w:w="7796" w:type="dxa"/>
            <w:shd w:val="clear" w:color="auto" w:fill="auto"/>
          </w:tcPr>
          <w:p w14:paraId="35616D41" w14:textId="77777777" w:rsidR="00E619F6" w:rsidRDefault="00E619F6" w:rsidP="00E619F6">
            <w:pPr>
              <w:ind w:left="300" w:hanging="300"/>
              <w:jc w:val="both"/>
              <w:rPr>
                <w:b/>
              </w:rPr>
            </w:pPr>
          </w:p>
          <w:p w14:paraId="5CFF46B7" w14:textId="789CE09A" w:rsidR="00777783" w:rsidRPr="00A639C4" w:rsidRDefault="00777783" w:rsidP="00E619F6">
            <w:pPr>
              <w:ind w:left="300" w:hanging="300"/>
              <w:jc w:val="both"/>
              <w:rPr>
                <w:b/>
              </w:rPr>
            </w:pPr>
            <w:r w:rsidRPr="00A639C4">
              <w:rPr>
                <w:b/>
              </w:rPr>
              <w:t>Oznaczenie wg Wspólnego Słownika Zamówień (CPV)</w:t>
            </w:r>
          </w:p>
          <w:p w14:paraId="77279EA3" w14:textId="77777777" w:rsidR="00E619F6" w:rsidRDefault="00E619F6" w:rsidP="00E619F6">
            <w:pPr>
              <w:ind w:left="300" w:hanging="300"/>
              <w:jc w:val="both"/>
              <w:rPr>
                <w:b/>
              </w:rPr>
            </w:pPr>
          </w:p>
          <w:p w14:paraId="60D5CE6C" w14:textId="77777777" w:rsidR="00925D57" w:rsidRPr="00972594" w:rsidRDefault="00925D57" w:rsidP="00925D57">
            <w:pPr>
              <w:pStyle w:val="Akapitzlist"/>
              <w:numPr>
                <w:ilvl w:val="0"/>
                <w:numId w:val="10"/>
              </w:numPr>
              <w:tabs>
                <w:tab w:val="left" w:pos="408"/>
              </w:tabs>
              <w:jc w:val="both"/>
            </w:pPr>
            <w:r w:rsidRPr="00972594">
              <w:t>45232410 - roboty w zakresie kanalizacji ściekowej</w:t>
            </w:r>
          </w:p>
          <w:p w14:paraId="055CE4B2" w14:textId="77777777" w:rsidR="00925D57" w:rsidRPr="00972594" w:rsidRDefault="00925D57" w:rsidP="00925D57">
            <w:pPr>
              <w:pStyle w:val="Akapitzlist"/>
              <w:numPr>
                <w:ilvl w:val="0"/>
                <w:numId w:val="10"/>
              </w:numPr>
              <w:tabs>
                <w:tab w:val="left" w:pos="408"/>
              </w:tabs>
              <w:jc w:val="both"/>
            </w:pPr>
            <w:r w:rsidRPr="00972594">
              <w:t>50511000 - usługi w zakresie napraw i konserwacji pomp</w:t>
            </w:r>
          </w:p>
          <w:p w14:paraId="57BE43E0" w14:textId="77777777" w:rsidR="00925D57" w:rsidRPr="00972594" w:rsidRDefault="00925D57" w:rsidP="00925D57">
            <w:pPr>
              <w:pStyle w:val="Akapitzlist"/>
              <w:numPr>
                <w:ilvl w:val="0"/>
                <w:numId w:val="10"/>
              </w:numPr>
              <w:tabs>
                <w:tab w:val="left" w:pos="408"/>
              </w:tabs>
              <w:jc w:val="both"/>
            </w:pPr>
            <w:r w:rsidRPr="00972594">
              <w:t>50512000 - usługi w zakresie napraw i konserwacji zaworów</w:t>
            </w:r>
          </w:p>
          <w:p w14:paraId="393EBF98" w14:textId="77777777" w:rsidR="00925D57" w:rsidRPr="00972594" w:rsidRDefault="00925D57" w:rsidP="00925D57">
            <w:pPr>
              <w:pStyle w:val="Akapitzlist"/>
              <w:numPr>
                <w:ilvl w:val="0"/>
                <w:numId w:val="10"/>
              </w:numPr>
              <w:tabs>
                <w:tab w:val="left" w:pos="408"/>
              </w:tabs>
              <w:jc w:val="both"/>
            </w:pPr>
            <w:r w:rsidRPr="00972594">
              <w:t>50532000 - usługi w zakresie napraw i konserwacji maszyn elektrycznych, aparatury i podobnych urządzeń</w:t>
            </w:r>
          </w:p>
          <w:p w14:paraId="3748EE2E" w14:textId="77777777" w:rsidR="00925D57" w:rsidRPr="00972594" w:rsidRDefault="00925D57" w:rsidP="00925D57">
            <w:pPr>
              <w:pStyle w:val="Akapitzlist"/>
              <w:numPr>
                <w:ilvl w:val="0"/>
                <w:numId w:val="10"/>
              </w:numPr>
              <w:tabs>
                <w:tab w:val="left" w:pos="408"/>
              </w:tabs>
              <w:jc w:val="both"/>
            </w:pPr>
            <w:r w:rsidRPr="00972594">
              <w:t xml:space="preserve">65320000 - eksploatacja instalacji elektrycznych </w:t>
            </w:r>
          </w:p>
          <w:p w14:paraId="35CBC523" w14:textId="0342CE90" w:rsidR="00E6333B" w:rsidRPr="00A639C4" w:rsidRDefault="00E6333B" w:rsidP="00E6333B">
            <w:pPr>
              <w:rPr>
                <w:b/>
              </w:rPr>
            </w:pPr>
          </w:p>
        </w:tc>
      </w:tr>
      <w:tr w:rsidR="00777783" w:rsidRPr="00A639C4" w14:paraId="3A8A3E00" w14:textId="77777777" w:rsidTr="00A639C4">
        <w:tc>
          <w:tcPr>
            <w:tcW w:w="1384" w:type="dxa"/>
            <w:vMerge/>
            <w:shd w:val="clear" w:color="auto" w:fill="auto"/>
          </w:tcPr>
          <w:p w14:paraId="50BFF663" w14:textId="77777777" w:rsidR="00777783" w:rsidRPr="00A639C4" w:rsidRDefault="00777783" w:rsidP="00E619F6">
            <w:pPr>
              <w:tabs>
                <w:tab w:val="left" w:pos="408"/>
              </w:tabs>
              <w:jc w:val="center"/>
              <w:rPr>
                <w:b/>
              </w:rPr>
            </w:pPr>
          </w:p>
        </w:tc>
        <w:tc>
          <w:tcPr>
            <w:tcW w:w="7796" w:type="dxa"/>
            <w:shd w:val="clear" w:color="auto" w:fill="auto"/>
          </w:tcPr>
          <w:p w14:paraId="56A55507" w14:textId="77777777" w:rsidR="00E619F6" w:rsidRDefault="00E619F6" w:rsidP="00E619F6">
            <w:pPr>
              <w:ind w:left="300" w:hanging="300"/>
              <w:jc w:val="both"/>
              <w:rPr>
                <w:b/>
              </w:rPr>
            </w:pPr>
          </w:p>
          <w:p w14:paraId="08E1CD76" w14:textId="08C708B2" w:rsidR="00777783" w:rsidRPr="00A639C4" w:rsidRDefault="00777783" w:rsidP="00E619F6">
            <w:pPr>
              <w:ind w:left="300" w:hanging="300"/>
              <w:jc w:val="both"/>
              <w:rPr>
                <w:b/>
              </w:rPr>
            </w:pPr>
            <w:r w:rsidRPr="00A639C4">
              <w:rPr>
                <w:b/>
              </w:rPr>
              <w:t>Sposób realizacji zamówienia</w:t>
            </w:r>
          </w:p>
          <w:p w14:paraId="5993CE9B" w14:textId="77777777" w:rsidR="00777783" w:rsidRDefault="00777783" w:rsidP="00E619F6">
            <w:pPr>
              <w:tabs>
                <w:tab w:val="left" w:pos="408"/>
              </w:tabs>
              <w:jc w:val="both"/>
            </w:pPr>
            <w:r w:rsidRPr="00A639C4">
              <w:t>Realizacja przedmiotu zamówienia musi być zgodna z ofertą i SWZ, w szczególności:</w:t>
            </w:r>
            <w:r>
              <w:t xml:space="preserve"> </w:t>
            </w:r>
          </w:p>
          <w:p w14:paraId="4D3809E5" w14:textId="77777777" w:rsidR="007607B8" w:rsidRPr="00B07530" w:rsidRDefault="007607B8" w:rsidP="007607B8">
            <w:pPr>
              <w:pStyle w:val="Akapitzlist"/>
              <w:numPr>
                <w:ilvl w:val="0"/>
                <w:numId w:val="9"/>
              </w:numPr>
              <w:tabs>
                <w:tab w:val="left" w:pos="408"/>
              </w:tabs>
              <w:jc w:val="both"/>
            </w:pPr>
            <w:r w:rsidRPr="00B07530">
              <w:t>Projektowanymi postanowieniami umowy w sprawie zamówienia publicznego,</w:t>
            </w:r>
          </w:p>
          <w:p w14:paraId="79E0762C" w14:textId="7C1DED3E" w:rsidR="007607B8" w:rsidRPr="00B07530" w:rsidRDefault="00615911" w:rsidP="007607B8">
            <w:pPr>
              <w:numPr>
                <w:ilvl w:val="0"/>
                <w:numId w:val="9"/>
              </w:numPr>
              <w:jc w:val="both"/>
            </w:pPr>
            <w:r>
              <w:t>Kosztorysem Ofertowym</w:t>
            </w:r>
            <w:r w:rsidR="007607B8" w:rsidRPr="00B07530">
              <w:t xml:space="preserve"> (</w:t>
            </w:r>
            <w:r>
              <w:t>KO</w:t>
            </w:r>
            <w:r w:rsidR="007607B8" w:rsidRPr="00B07530">
              <w:t>),</w:t>
            </w:r>
          </w:p>
          <w:p w14:paraId="332269F9" w14:textId="77777777" w:rsidR="007607B8" w:rsidRPr="00B07530" w:rsidRDefault="007607B8" w:rsidP="007607B8">
            <w:pPr>
              <w:numPr>
                <w:ilvl w:val="0"/>
                <w:numId w:val="9"/>
              </w:numPr>
              <w:jc w:val="both"/>
            </w:pPr>
            <w:r>
              <w:t>Opisem Przedmiotu Zamówienia</w:t>
            </w:r>
          </w:p>
          <w:p w14:paraId="6F5C1478" w14:textId="524801D9" w:rsidR="008E05D4" w:rsidRPr="00A639C4" w:rsidRDefault="008E05D4" w:rsidP="00E619F6">
            <w:pPr>
              <w:tabs>
                <w:tab w:val="left" w:pos="408"/>
              </w:tabs>
              <w:rPr>
                <w:b/>
              </w:rPr>
            </w:pPr>
          </w:p>
        </w:tc>
      </w:tr>
      <w:tr w:rsidR="00777783" w:rsidRPr="00A639C4" w14:paraId="7D5B7BE2" w14:textId="77777777" w:rsidTr="00A639C4">
        <w:tc>
          <w:tcPr>
            <w:tcW w:w="1384" w:type="dxa"/>
            <w:vMerge/>
            <w:shd w:val="clear" w:color="auto" w:fill="auto"/>
          </w:tcPr>
          <w:p w14:paraId="275DDF89" w14:textId="77777777" w:rsidR="00777783" w:rsidRPr="00A639C4" w:rsidRDefault="00777783" w:rsidP="00E619F6">
            <w:pPr>
              <w:tabs>
                <w:tab w:val="left" w:pos="408"/>
              </w:tabs>
              <w:jc w:val="center"/>
              <w:rPr>
                <w:b/>
              </w:rPr>
            </w:pPr>
          </w:p>
        </w:tc>
        <w:tc>
          <w:tcPr>
            <w:tcW w:w="7796" w:type="dxa"/>
            <w:shd w:val="clear" w:color="auto" w:fill="auto"/>
          </w:tcPr>
          <w:p w14:paraId="0207EA56" w14:textId="77777777" w:rsidR="00E619F6" w:rsidRDefault="00E619F6" w:rsidP="00E619F6">
            <w:pPr>
              <w:tabs>
                <w:tab w:val="left" w:pos="408"/>
              </w:tabs>
              <w:jc w:val="both"/>
              <w:rPr>
                <w:b/>
              </w:rPr>
            </w:pPr>
          </w:p>
          <w:p w14:paraId="571B31EB" w14:textId="1FBBC882" w:rsidR="00777783" w:rsidRPr="00A639C4" w:rsidRDefault="00777783" w:rsidP="00E619F6">
            <w:pPr>
              <w:tabs>
                <w:tab w:val="left" w:pos="408"/>
              </w:tabs>
              <w:jc w:val="both"/>
              <w:rPr>
                <w:b/>
              </w:rPr>
            </w:pPr>
            <w:r w:rsidRPr="00A639C4">
              <w:rPr>
                <w:b/>
              </w:rPr>
              <w:t>Okres gwarancji i rękojmi za wady</w:t>
            </w:r>
          </w:p>
          <w:p w14:paraId="6EF7236F" w14:textId="4EB8695D" w:rsidR="00777783" w:rsidRDefault="00F012BF" w:rsidP="00E619F6">
            <w:pPr>
              <w:ind w:left="300" w:hanging="300"/>
              <w:jc w:val="both"/>
              <w:rPr>
                <w:b/>
              </w:rPr>
            </w:pPr>
            <w:r>
              <w:rPr>
                <w:b/>
              </w:rPr>
              <w:t>Nie dotyczy</w:t>
            </w:r>
          </w:p>
          <w:p w14:paraId="071775CD" w14:textId="77777777" w:rsidR="00E6333B" w:rsidRDefault="00E6333B" w:rsidP="00E619F6">
            <w:pPr>
              <w:ind w:left="300" w:hanging="300"/>
              <w:jc w:val="both"/>
              <w:rPr>
                <w:b/>
              </w:rPr>
            </w:pPr>
          </w:p>
          <w:p w14:paraId="57554596" w14:textId="079182CB" w:rsidR="00925D57" w:rsidRPr="00A639C4" w:rsidRDefault="00925D57" w:rsidP="00E619F6">
            <w:pPr>
              <w:ind w:left="300" w:hanging="300"/>
              <w:jc w:val="both"/>
              <w:rPr>
                <w:b/>
              </w:rPr>
            </w:pPr>
          </w:p>
        </w:tc>
      </w:tr>
      <w:tr w:rsidR="00777783" w:rsidRPr="00A639C4" w14:paraId="65A68816" w14:textId="77777777" w:rsidTr="00A639C4">
        <w:tc>
          <w:tcPr>
            <w:tcW w:w="1384" w:type="dxa"/>
            <w:vMerge/>
            <w:shd w:val="clear" w:color="auto" w:fill="auto"/>
          </w:tcPr>
          <w:p w14:paraId="15B37764" w14:textId="77777777" w:rsidR="00777783" w:rsidRPr="00A639C4" w:rsidRDefault="00777783" w:rsidP="00E619F6">
            <w:pPr>
              <w:tabs>
                <w:tab w:val="left" w:pos="408"/>
              </w:tabs>
              <w:jc w:val="center"/>
              <w:rPr>
                <w:b/>
              </w:rPr>
            </w:pPr>
          </w:p>
        </w:tc>
        <w:tc>
          <w:tcPr>
            <w:tcW w:w="7796" w:type="dxa"/>
            <w:shd w:val="clear" w:color="auto" w:fill="auto"/>
          </w:tcPr>
          <w:p w14:paraId="47DB638F" w14:textId="77777777" w:rsidR="00E619F6" w:rsidRPr="00F012BF" w:rsidRDefault="00E619F6" w:rsidP="00E619F6">
            <w:pPr>
              <w:widowControl/>
              <w:autoSpaceDE/>
              <w:autoSpaceDN/>
              <w:adjustRightInd/>
              <w:contextualSpacing/>
              <w:jc w:val="both"/>
              <w:rPr>
                <w:rFonts w:eastAsia="Calibri"/>
                <w:b/>
                <w:strike/>
                <w:lang w:eastAsia="en-US"/>
              </w:rPr>
            </w:pPr>
          </w:p>
          <w:p w14:paraId="4B799091" w14:textId="04B5A72F" w:rsidR="00777783" w:rsidRPr="00EF7A13" w:rsidRDefault="00777783" w:rsidP="00E619F6">
            <w:pPr>
              <w:widowControl/>
              <w:autoSpaceDE/>
              <w:autoSpaceDN/>
              <w:adjustRightInd/>
              <w:contextualSpacing/>
              <w:jc w:val="both"/>
              <w:rPr>
                <w:rFonts w:eastAsia="Calibri"/>
                <w:b/>
                <w:lang w:eastAsia="en-US"/>
              </w:rPr>
            </w:pPr>
            <w:r w:rsidRPr="00EF7A13">
              <w:rPr>
                <w:rFonts w:eastAsia="Calibri"/>
                <w:b/>
                <w:lang w:eastAsia="en-US"/>
              </w:rPr>
              <w:t xml:space="preserve">Kwota, jaką Zamawiający zamierza przeznaczyć na sfinansowanie zamówienia </w:t>
            </w:r>
          </w:p>
          <w:p w14:paraId="11ABE45E" w14:textId="77777777" w:rsidR="00777783" w:rsidRPr="00EF7A13" w:rsidRDefault="00777783" w:rsidP="00E619F6">
            <w:pPr>
              <w:widowControl/>
              <w:autoSpaceDE/>
              <w:autoSpaceDN/>
              <w:adjustRightInd/>
              <w:contextualSpacing/>
              <w:jc w:val="both"/>
              <w:rPr>
                <w:rFonts w:eastAsia="Calibri"/>
                <w:bCs/>
                <w:lang w:eastAsia="en-US"/>
              </w:rPr>
            </w:pPr>
            <w:r w:rsidRPr="00EF7A13">
              <w:rPr>
                <w:rFonts w:eastAsia="Calibri"/>
                <w:bCs/>
                <w:lang w:eastAsia="en-US"/>
              </w:rPr>
              <w:t xml:space="preserve">Na podstawie art.  222 ust.  4. </w:t>
            </w:r>
            <w:proofErr w:type="spellStart"/>
            <w:r w:rsidRPr="00EF7A13">
              <w:rPr>
                <w:rFonts w:eastAsia="Calibri"/>
                <w:bCs/>
                <w:lang w:eastAsia="en-US"/>
              </w:rPr>
              <w:t>Pzp</w:t>
            </w:r>
            <w:proofErr w:type="spellEnd"/>
            <w:r w:rsidRPr="00EF7A13">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0A64ADE3" w14:textId="77777777" w:rsidR="00777783" w:rsidRPr="00F012BF" w:rsidRDefault="00777783" w:rsidP="00E619F6">
            <w:pPr>
              <w:tabs>
                <w:tab w:val="left" w:pos="408"/>
              </w:tabs>
              <w:jc w:val="both"/>
              <w:rPr>
                <w:b/>
                <w:strike/>
              </w:rPr>
            </w:pPr>
          </w:p>
          <w:p w14:paraId="72571671" w14:textId="3B82CC2F" w:rsidR="00A75A6F" w:rsidRPr="00925D57" w:rsidRDefault="008E05D4" w:rsidP="00CC10AD">
            <w:pPr>
              <w:tabs>
                <w:tab w:val="left" w:pos="408"/>
              </w:tabs>
              <w:jc w:val="both"/>
              <w:rPr>
                <w:rFonts w:eastAsiaTheme="minorEastAsia"/>
                <w:color w:val="000000"/>
              </w:rPr>
            </w:pPr>
            <w:r w:rsidRPr="00925D57">
              <w:rPr>
                <w:rFonts w:eastAsia="Calibri"/>
                <w:bCs/>
                <w:lang w:eastAsia="en-US"/>
              </w:rPr>
              <w:t>Zamawiający zamierza przeznaczyć na sfinansowanie przedmiotowego zamówienia kwotę</w:t>
            </w:r>
            <w:r w:rsidRPr="00925D57">
              <w:rPr>
                <w:rFonts w:eastAsia="Calibri"/>
                <w:b/>
                <w:lang w:eastAsia="en-US"/>
              </w:rPr>
              <w:t xml:space="preserve"> </w:t>
            </w:r>
            <w:r w:rsidR="00925D57">
              <w:rPr>
                <w:rFonts w:eastAsia="Calibri"/>
                <w:b/>
                <w:lang w:eastAsia="en-US"/>
              </w:rPr>
              <w:t>8 856,00 zł</w:t>
            </w:r>
            <w:r w:rsidRPr="00925D57">
              <w:rPr>
                <w:rFonts w:eastAsia="Calibri"/>
                <w:b/>
                <w:lang w:eastAsia="en-US"/>
              </w:rPr>
              <w:t xml:space="preserve"> brutto</w:t>
            </w:r>
            <w:r w:rsidRPr="00925D57">
              <w:rPr>
                <w:rFonts w:eastAsia="Calibri"/>
                <w:bCs/>
                <w:lang w:eastAsia="en-US"/>
              </w:rPr>
              <w:t xml:space="preserve"> </w:t>
            </w:r>
          </w:p>
          <w:p w14:paraId="20F80362" w14:textId="7C5A4FEE" w:rsidR="00CC10AD" w:rsidRPr="00F012BF" w:rsidRDefault="00CC10AD" w:rsidP="00CC10AD">
            <w:pPr>
              <w:tabs>
                <w:tab w:val="left" w:pos="408"/>
              </w:tabs>
              <w:jc w:val="both"/>
              <w:rPr>
                <w:b/>
                <w:strike/>
              </w:rPr>
            </w:pP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E619F6">
            <w:pPr>
              <w:tabs>
                <w:tab w:val="left" w:pos="408"/>
              </w:tabs>
              <w:jc w:val="center"/>
              <w:rPr>
                <w:b/>
              </w:rPr>
            </w:pPr>
          </w:p>
        </w:tc>
        <w:tc>
          <w:tcPr>
            <w:tcW w:w="7796" w:type="dxa"/>
            <w:shd w:val="clear" w:color="auto" w:fill="auto"/>
          </w:tcPr>
          <w:p w14:paraId="4CAB8A9D" w14:textId="77777777" w:rsidR="00E619F6" w:rsidRDefault="00E619F6" w:rsidP="00E619F6">
            <w:pPr>
              <w:tabs>
                <w:tab w:val="left" w:pos="408"/>
              </w:tabs>
              <w:jc w:val="both"/>
              <w:rPr>
                <w:b/>
                <w:bCs/>
              </w:rPr>
            </w:pPr>
          </w:p>
          <w:p w14:paraId="4C6AFAFF" w14:textId="4687393C" w:rsidR="009E1376" w:rsidRPr="00A639C4" w:rsidRDefault="009E1376" w:rsidP="00E619F6">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639C4" w:rsidRDefault="009E1376" w:rsidP="00E619F6">
            <w:pPr>
              <w:tabs>
                <w:tab w:val="left" w:pos="408"/>
              </w:tabs>
              <w:jc w:val="both"/>
              <w:rPr>
                <w:b/>
                <w:bCs/>
              </w:rPr>
            </w:pPr>
          </w:p>
          <w:p w14:paraId="11BEB272" w14:textId="0840671B" w:rsidR="009E1376" w:rsidRPr="00A639C4" w:rsidRDefault="009E1376" w:rsidP="00E619F6">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E619F6">
            <w:pPr>
              <w:tabs>
                <w:tab w:val="right" w:pos="9354"/>
              </w:tabs>
              <w:rPr>
                <w:color w:val="000000"/>
              </w:rPr>
            </w:pPr>
          </w:p>
          <w:p w14:paraId="6519BA6A" w14:textId="7867A3C9" w:rsidR="009E1376" w:rsidRPr="00A639C4" w:rsidRDefault="009E1376" w:rsidP="00E619F6">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alternatywnych.</w:t>
            </w:r>
          </w:p>
          <w:p w14:paraId="271162BB" w14:textId="77777777" w:rsidR="009E1376" w:rsidRPr="00A639C4" w:rsidRDefault="009E1376" w:rsidP="00E619F6">
            <w:pPr>
              <w:tabs>
                <w:tab w:val="right" w:pos="9354"/>
              </w:tabs>
              <w:rPr>
                <w:color w:val="000000"/>
              </w:rPr>
            </w:pPr>
            <w:r w:rsidRPr="00A639C4">
              <w:rPr>
                <w:color w:val="000000"/>
              </w:rPr>
              <w:t xml:space="preserve">Zastosowanie mają zwłaszcza: </w:t>
            </w:r>
          </w:p>
          <w:p w14:paraId="61055AD3" w14:textId="0AF0D0CF" w:rsidR="009E1376" w:rsidRPr="00A639C4" w:rsidRDefault="00A639C4" w:rsidP="00E619F6">
            <w:pPr>
              <w:tabs>
                <w:tab w:val="right" w:pos="9354"/>
              </w:tabs>
              <w:jc w:val="both"/>
              <w:rPr>
                <w:color w:val="000000"/>
              </w:rPr>
            </w:pPr>
            <w:r>
              <w:rPr>
                <w:color w:val="000000"/>
              </w:rPr>
              <w:t xml:space="preserve">- </w:t>
            </w:r>
            <w:r w:rsidR="009E1376" w:rsidRPr="00A639C4">
              <w:rPr>
                <w:color w:val="000000"/>
              </w:rPr>
              <w:t xml:space="preserve">art. 35 ust. 2 pkt 1 ,art. 36 a, art. 68 ust. 3 ,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E619F6">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E619F6">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A639C4" w:rsidRDefault="009E1376" w:rsidP="00E619F6">
            <w:pPr>
              <w:tabs>
                <w:tab w:val="left" w:pos="408"/>
              </w:tabs>
              <w:jc w:val="both"/>
            </w:pPr>
            <w:bookmarkStart w:id="0" w:name="_Hlk92972944"/>
          </w:p>
          <w:p w14:paraId="5C1F1B2E" w14:textId="77777777" w:rsidR="00A639C4" w:rsidRDefault="009E1376" w:rsidP="00E619F6">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6BF17E60" w:rsidR="008E05D4" w:rsidRPr="00E619F6" w:rsidRDefault="008E05D4" w:rsidP="00E619F6">
            <w:pPr>
              <w:tabs>
                <w:tab w:val="left" w:pos="408"/>
              </w:tabs>
              <w:jc w:val="both"/>
            </w:pPr>
          </w:p>
        </w:tc>
      </w:tr>
      <w:tr w:rsidR="009E1376" w:rsidRPr="00A639C4" w14:paraId="1A817A04" w14:textId="77777777" w:rsidTr="00A639C4">
        <w:tc>
          <w:tcPr>
            <w:tcW w:w="1384" w:type="dxa"/>
            <w:vMerge/>
            <w:shd w:val="clear" w:color="auto" w:fill="auto"/>
          </w:tcPr>
          <w:p w14:paraId="00AD4B69" w14:textId="77777777" w:rsidR="009E1376" w:rsidRPr="00A639C4" w:rsidRDefault="009E1376" w:rsidP="00E619F6">
            <w:pPr>
              <w:tabs>
                <w:tab w:val="left" w:pos="408"/>
              </w:tabs>
              <w:jc w:val="center"/>
              <w:rPr>
                <w:b/>
              </w:rPr>
            </w:pPr>
          </w:p>
        </w:tc>
        <w:tc>
          <w:tcPr>
            <w:tcW w:w="7796" w:type="dxa"/>
            <w:shd w:val="clear" w:color="auto" w:fill="auto"/>
          </w:tcPr>
          <w:p w14:paraId="65A94B88" w14:textId="77777777" w:rsidR="00EF7A13" w:rsidRDefault="00EF7A13" w:rsidP="00E619F6">
            <w:pPr>
              <w:tabs>
                <w:tab w:val="left" w:pos="408"/>
              </w:tabs>
              <w:jc w:val="both"/>
              <w:rPr>
                <w:b/>
                <w:bCs/>
              </w:rPr>
            </w:pPr>
          </w:p>
          <w:p w14:paraId="5FDDE85E" w14:textId="2A8A24CF" w:rsidR="009E1376" w:rsidRPr="00A639C4" w:rsidRDefault="009E1376" w:rsidP="00E619F6">
            <w:pPr>
              <w:tabs>
                <w:tab w:val="left" w:pos="408"/>
              </w:tabs>
              <w:jc w:val="both"/>
              <w:rPr>
                <w:b/>
                <w:bCs/>
              </w:rPr>
            </w:pPr>
            <w:r w:rsidRPr="00A639C4">
              <w:rPr>
                <w:b/>
                <w:bCs/>
              </w:rPr>
              <w:t xml:space="preserve">Organizacja ruchu: </w:t>
            </w:r>
          </w:p>
          <w:p w14:paraId="5A414546" w14:textId="77777777" w:rsidR="00925D57" w:rsidRPr="005B2EA2" w:rsidRDefault="00925D57" w:rsidP="00925D57">
            <w:pPr>
              <w:tabs>
                <w:tab w:val="left" w:pos="408"/>
              </w:tabs>
              <w:jc w:val="both"/>
            </w:pPr>
            <w:r w:rsidRPr="005B2EA2">
              <w:t>Wykonawca, na podstawie sporządzonego i zatwierdzonego projektu tymczasowej organizacji ruchu, zobowiązany jest powiadomić Organ Ruchu, Podkarpacki Zarząd Dróg Wojewódzkich i Komendę Wojewódzką Policji o dacie wprowadzenia organizacji ruchu na czas robót, zachowując siedmiodniowy termin wyprzedzający. Przedmiotowe powiadomienie z</w:t>
            </w:r>
            <w:r>
              <w:t> </w:t>
            </w:r>
            <w:r w:rsidRPr="005B2EA2">
              <w:t>zachowaniem wskazanego terminu wyprzedzającego dotyczy każdorazowej zmiany organizacji ruchu na czas prowadzenia robót oraz wprowadzenia stałej organizacji ruchu.</w:t>
            </w:r>
          </w:p>
          <w:p w14:paraId="150B7B9A" w14:textId="77777777" w:rsidR="00925D57" w:rsidRPr="005B2EA2" w:rsidRDefault="00925D57" w:rsidP="00925D57">
            <w:pPr>
              <w:tabs>
                <w:tab w:val="left" w:pos="408"/>
              </w:tabs>
              <w:jc w:val="both"/>
            </w:pPr>
            <w:r w:rsidRPr="005B2EA2">
              <w:t>Wykonawca zobowiązany jest do:</w:t>
            </w:r>
          </w:p>
          <w:p w14:paraId="74918F5F" w14:textId="77777777" w:rsidR="00925D57" w:rsidRPr="005B2EA2" w:rsidRDefault="00925D57" w:rsidP="00925D57">
            <w:pPr>
              <w:tabs>
                <w:tab w:val="left" w:pos="408"/>
              </w:tabs>
              <w:jc w:val="both"/>
            </w:pPr>
            <w:r w:rsidRPr="005B2EA2">
              <w:t>- likwidacji oznakowania czasowego robót po ich zakończeniu,</w:t>
            </w:r>
          </w:p>
          <w:p w14:paraId="0F3613D8" w14:textId="77777777" w:rsidR="00925D57" w:rsidRPr="005B2EA2" w:rsidRDefault="00925D57" w:rsidP="00925D57">
            <w:pPr>
              <w:tabs>
                <w:tab w:val="left" w:pos="408"/>
              </w:tabs>
              <w:jc w:val="both"/>
            </w:pPr>
            <w:r w:rsidRPr="005B2EA2">
              <w:t>- usunięcia z rozbudowywanej drogi maszyn drogowych i urządzeń w czasie przerw w prowadzonych pracach lub dokonania zabezpieczenia na poboczach lub parkingach w sposób akceptowany przez Inspektora.</w:t>
            </w:r>
          </w:p>
          <w:p w14:paraId="28A40157" w14:textId="77777777" w:rsidR="00925D57" w:rsidRPr="005B2EA2" w:rsidRDefault="00925D57" w:rsidP="00925D57">
            <w:pPr>
              <w:tabs>
                <w:tab w:val="left" w:pos="408"/>
              </w:tabs>
              <w:jc w:val="both"/>
            </w:pPr>
            <w:r w:rsidRPr="005B2EA2">
              <w:t xml:space="preserve">- poinformowania mieszkańców i osób prowadzących działalność gospodarczą w rejonie robót o spodziewanych utrudnieniach              w ruchu drogowym poprzez </w:t>
            </w:r>
            <w:r w:rsidRPr="005B2EA2">
              <w:lastRenderedPageBreak/>
              <w:t>przekazanie informacji w sposób zwyczajowo przyjęty,</w:t>
            </w:r>
          </w:p>
          <w:p w14:paraId="36D41F1A" w14:textId="77777777" w:rsidR="00925D57" w:rsidRPr="005B2EA2" w:rsidRDefault="00925D57" w:rsidP="00925D57">
            <w:pPr>
              <w:tabs>
                <w:tab w:val="left" w:pos="408"/>
              </w:tabs>
              <w:jc w:val="both"/>
            </w:pPr>
            <w:r w:rsidRPr="005B2EA2">
              <w:t>- zaplanowania prowadzenia prac w systemie wielozmianowym oraz w dniach wolnych</w:t>
            </w:r>
            <w:r>
              <w:t xml:space="preserve"> </w:t>
            </w:r>
            <w:r w:rsidRPr="005B2EA2">
              <w:t>od pracy celem skrócenia czasu występowania utrudnień.</w:t>
            </w:r>
          </w:p>
          <w:p w14:paraId="1332AF73" w14:textId="77777777" w:rsidR="00CC10AD" w:rsidRPr="00A639C4" w:rsidRDefault="00CC10AD" w:rsidP="00E619F6">
            <w:pPr>
              <w:tabs>
                <w:tab w:val="left" w:pos="408"/>
              </w:tabs>
              <w:jc w:val="both"/>
              <w:rPr>
                <w:b/>
                <w:bCs/>
              </w:rPr>
            </w:pPr>
          </w:p>
        </w:tc>
      </w:tr>
      <w:tr w:rsidR="009E1376" w:rsidRPr="00A639C4" w14:paraId="1D1D1909" w14:textId="77777777" w:rsidTr="00A639C4">
        <w:tc>
          <w:tcPr>
            <w:tcW w:w="1384" w:type="dxa"/>
            <w:vMerge/>
            <w:shd w:val="clear" w:color="auto" w:fill="auto"/>
          </w:tcPr>
          <w:p w14:paraId="3263727A" w14:textId="77777777" w:rsidR="009E1376" w:rsidRPr="00A639C4" w:rsidRDefault="009E1376" w:rsidP="00E619F6">
            <w:pPr>
              <w:tabs>
                <w:tab w:val="left" w:pos="408"/>
              </w:tabs>
              <w:jc w:val="center"/>
              <w:rPr>
                <w:b/>
              </w:rPr>
            </w:pPr>
          </w:p>
        </w:tc>
        <w:tc>
          <w:tcPr>
            <w:tcW w:w="7796" w:type="dxa"/>
            <w:shd w:val="clear" w:color="auto" w:fill="auto"/>
          </w:tcPr>
          <w:p w14:paraId="0702A138" w14:textId="77777777" w:rsidR="00E619F6" w:rsidRDefault="00E619F6" w:rsidP="00E619F6">
            <w:pPr>
              <w:tabs>
                <w:tab w:val="left" w:pos="408"/>
              </w:tabs>
              <w:jc w:val="both"/>
              <w:rPr>
                <w:b/>
                <w:bCs/>
              </w:rPr>
            </w:pPr>
          </w:p>
          <w:p w14:paraId="0B1FC49E" w14:textId="38E6BD8D" w:rsidR="009E1376" w:rsidRPr="00A639C4" w:rsidRDefault="009E1376" w:rsidP="00E619F6">
            <w:pPr>
              <w:tabs>
                <w:tab w:val="left" w:pos="408"/>
              </w:tabs>
              <w:jc w:val="both"/>
              <w:rPr>
                <w:b/>
                <w:bCs/>
              </w:rPr>
            </w:pPr>
            <w:r w:rsidRPr="00A639C4">
              <w:rPr>
                <w:b/>
                <w:bCs/>
              </w:rPr>
              <w:t>Równoważność</w:t>
            </w:r>
          </w:p>
          <w:p w14:paraId="4B3890CD" w14:textId="77B9EEA8" w:rsidR="009E1376" w:rsidRPr="00A639C4" w:rsidRDefault="009E1376" w:rsidP="00E619F6">
            <w:pPr>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A639C4">
              <w:br/>
            </w:r>
            <w:r w:rsidRPr="00A639C4">
              <w:t>w wyżej wymienionych dokumentach.</w:t>
            </w:r>
          </w:p>
          <w:p w14:paraId="5417F5F1" w14:textId="25779094" w:rsidR="009E1376" w:rsidRPr="00A639C4" w:rsidRDefault="009E1376" w:rsidP="00E619F6">
            <w:pPr>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w:t>
            </w:r>
            <w:r w:rsidR="005D1AAE">
              <w:rPr>
                <w:b/>
                <w:color w:val="000000"/>
              </w:rPr>
              <w:br/>
            </w:r>
            <w:r w:rsidRPr="00A639C4">
              <w:rPr>
                <w:b/>
                <w:color w:val="000000"/>
              </w:rPr>
              <w:t>z załącznikami towarzyszy zwrot: „lub równoważne”.</w:t>
            </w:r>
          </w:p>
          <w:p w14:paraId="35E222DE" w14:textId="77777777" w:rsidR="00E619F6" w:rsidRDefault="009E1376" w:rsidP="00E619F6">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w:t>
            </w:r>
            <w:r w:rsidR="00A639C4">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C2B886A" w14:textId="51ECD232" w:rsidR="00CC10AD" w:rsidRPr="00A75A6F" w:rsidRDefault="00CC10AD" w:rsidP="00E619F6">
            <w:pPr>
              <w:tabs>
                <w:tab w:val="left" w:pos="408"/>
              </w:tabs>
              <w:jc w:val="both"/>
              <w:rPr>
                <w:color w:val="000000"/>
              </w:rPr>
            </w:pPr>
          </w:p>
        </w:tc>
      </w:tr>
      <w:tr w:rsidR="00265C7D" w:rsidRPr="00A639C4" w14:paraId="74E3F54E" w14:textId="77777777" w:rsidTr="00A639C4">
        <w:tc>
          <w:tcPr>
            <w:tcW w:w="1384" w:type="dxa"/>
            <w:shd w:val="clear" w:color="auto" w:fill="BFBFBF" w:themeFill="background1" w:themeFillShade="BF"/>
          </w:tcPr>
          <w:p w14:paraId="51F189A6" w14:textId="6CBD9CE1" w:rsidR="00265C7D" w:rsidRPr="00A639C4" w:rsidRDefault="00265C7D" w:rsidP="00E619F6">
            <w:pPr>
              <w:tabs>
                <w:tab w:val="left" w:pos="408"/>
              </w:tabs>
              <w:jc w:val="center"/>
              <w:rPr>
                <w:b/>
              </w:rPr>
            </w:pPr>
            <w:r>
              <w:rPr>
                <w:b/>
              </w:rPr>
              <w:t>3.1</w:t>
            </w:r>
            <w:r w:rsidR="002B7221">
              <w:rPr>
                <w:b/>
              </w:rPr>
              <w:t xml:space="preserve"> IDW</w:t>
            </w:r>
          </w:p>
        </w:tc>
        <w:tc>
          <w:tcPr>
            <w:tcW w:w="7796" w:type="dxa"/>
            <w:shd w:val="clear" w:color="auto" w:fill="BFBFBF" w:themeFill="background1" w:themeFillShade="BF"/>
          </w:tcPr>
          <w:p w14:paraId="3A3A97F2" w14:textId="4CE2F9B9" w:rsidR="00265C7D" w:rsidRPr="00A639C4" w:rsidRDefault="00265C7D" w:rsidP="00E619F6">
            <w:pPr>
              <w:jc w:val="both"/>
              <w:rPr>
                <w:b/>
                <w:bCs/>
              </w:rPr>
            </w:pPr>
            <w:r>
              <w:rPr>
                <w:b/>
                <w:bCs/>
              </w:rPr>
              <w:t>M</w:t>
            </w:r>
            <w:r w:rsidRPr="00265C7D">
              <w:rPr>
                <w:b/>
                <w:bCs/>
              </w:rPr>
              <w:t>ożliwość negocjacji</w:t>
            </w:r>
          </w:p>
        </w:tc>
      </w:tr>
      <w:tr w:rsidR="00265C7D" w:rsidRPr="00A639C4" w14:paraId="56C45A99" w14:textId="77777777" w:rsidTr="00265C7D">
        <w:tc>
          <w:tcPr>
            <w:tcW w:w="1384" w:type="dxa"/>
            <w:shd w:val="clear" w:color="auto" w:fill="auto"/>
          </w:tcPr>
          <w:p w14:paraId="281CC30D" w14:textId="77777777" w:rsidR="00265C7D" w:rsidRPr="00A639C4" w:rsidRDefault="00265C7D" w:rsidP="00E619F6">
            <w:pPr>
              <w:tabs>
                <w:tab w:val="left" w:pos="408"/>
              </w:tabs>
              <w:jc w:val="center"/>
              <w:rPr>
                <w:b/>
              </w:rPr>
            </w:pPr>
          </w:p>
        </w:tc>
        <w:tc>
          <w:tcPr>
            <w:tcW w:w="7796" w:type="dxa"/>
            <w:shd w:val="clear" w:color="auto" w:fill="auto"/>
          </w:tcPr>
          <w:p w14:paraId="1DBD8A6E" w14:textId="77777777" w:rsidR="00E619F6" w:rsidRDefault="00E619F6" w:rsidP="00E619F6">
            <w:pPr>
              <w:jc w:val="both"/>
            </w:pPr>
          </w:p>
          <w:p w14:paraId="499FF639" w14:textId="3A0CF270" w:rsidR="00265C7D" w:rsidRDefault="00265C7D" w:rsidP="00E619F6">
            <w:pPr>
              <w:jc w:val="both"/>
            </w:pPr>
            <w:r>
              <w:t>Zamawiający przewiduje możliwość prowadzenia negocjacji w celu ulepszenia treści ofert, które podlegają ocenie w ramach kryteriów oceny ofert tj.:</w:t>
            </w:r>
          </w:p>
          <w:p w14:paraId="0A90D528" w14:textId="77777777" w:rsidR="00265C7D" w:rsidRDefault="00265C7D" w:rsidP="00E619F6">
            <w:pPr>
              <w:pStyle w:val="Akapitzlist"/>
              <w:numPr>
                <w:ilvl w:val="0"/>
                <w:numId w:val="33"/>
              </w:numPr>
              <w:jc w:val="both"/>
            </w:pPr>
            <w:r>
              <w:t xml:space="preserve">cena </w:t>
            </w:r>
          </w:p>
          <w:p w14:paraId="72739266" w14:textId="593E4F9A" w:rsidR="008E05D4" w:rsidRPr="000A578E" w:rsidRDefault="008E05D4" w:rsidP="008E05D4">
            <w:pPr>
              <w:pStyle w:val="Akapitzlist"/>
              <w:ind w:left="720"/>
              <w:jc w:val="both"/>
            </w:pPr>
          </w:p>
        </w:tc>
      </w:tr>
      <w:tr w:rsidR="009E1376" w:rsidRPr="00A639C4" w14:paraId="67762414" w14:textId="77777777" w:rsidTr="00A639C4">
        <w:tc>
          <w:tcPr>
            <w:tcW w:w="1384" w:type="dxa"/>
            <w:shd w:val="clear" w:color="auto" w:fill="BFBFBF" w:themeFill="background1" w:themeFillShade="BF"/>
          </w:tcPr>
          <w:p w14:paraId="7A6F6403" w14:textId="5C478B20" w:rsidR="009E1376" w:rsidRPr="00A639C4" w:rsidRDefault="009E1376" w:rsidP="00E619F6">
            <w:pPr>
              <w:tabs>
                <w:tab w:val="left" w:pos="408"/>
              </w:tabs>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9E1376" w:rsidRPr="00A639C4" w:rsidRDefault="009E1376" w:rsidP="00E619F6">
            <w:pPr>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bookmarkEnd w:id="1"/>
      <w:tr w:rsidR="00E6333B" w:rsidRPr="00A639C4" w14:paraId="2727A62A" w14:textId="77777777" w:rsidTr="00A639C4">
        <w:tc>
          <w:tcPr>
            <w:tcW w:w="1384" w:type="dxa"/>
            <w:shd w:val="clear" w:color="auto" w:fill="auto"/>
          </w:tcPr>
          <w:p w14:paraId="1D8CBF62" w14:textId="77777777" w:rsidR="00E6333B" w:rsidRPr="00A639C4" w:rsidRDefault="00E6333B" w:rsidP="00E6333B">
            <w:pPr>
              <w:tabs>
                <w:tab w:val="left" w:pos="408"/>
              </w:tabs>
              <w:jc w:val="center"/>
              <w:rPr>
                <w:b/>
              </w:rPr>
            </w:pPr>
          </w:p>
        </w:tc>
        <w:tc>
          <w:tcPr>
            <w:tcW w:w="7796" w:type="dxa"/>
            <w:shd w:val="clear" w:color="auto" w:fill="auto"/>
          </w:tcPr>
          <w:p w14:paraId="39686BF4" w14:textId="77777777" w:rsidR="00E6333B" w:rsidRDefault="00E6333B" w:rsidP="00E6333B">
            <w:pPr>
              <w:jc w:val="both"/>
            </w:pPr>
          </w:p>
          <w:p w14:paraId="76023D44" w14:textId="60D94BFB" w:rsidR="00E6333B" w:rsidRDefault="00E6333B" w:rsidP="00E6333B">
            <w:pPr>
              <w:jc w:val="both"/>
            </w:pPr>
            <w:r>
              <w:t xml:space="preserve">Zamawiający zgodnie z art. 441 ust.1 </w:t>
            </w:r>
            <w:proofErr w:type="spellStart"/>
            <w:r>
              <w:t>Pzp</w:t>
            </w:r>
            <w:proofErr w:type="spellEnd"/>
            <w:r w:rsidR="00F012BF">
              <w:t xml:space="preserve"> </w:t>
            </w:r>
            <w:r w:rsidR="00F012BF" w:rsidRPr="00EF7A13">
              <w:rPr>
                <w:b/>
              </w:rPr>
              <w:t>nie</w:t>
            </w:r>
            <w:r w:rsidRPr="00EF7A13">
              <w:rPr>
                <w:b/>
              </w:rPr>
              <w:t xml:space="preserve"> przewiduje</w:t>
            </w:r>
            <w:r>
              <w:t xml:space="preserve"> możliwoś</w:t>
            </w:r>
            <w:r w:rsidR="00EF7A13">
              <w:t>ci</w:t>
            </w:r>
            <w:r>
              <w:t xml:space="preserve"> skorzystania </w:t>
            </w:r>
            <w:r w:rsidR="00EF7A13">
              <w:t xml:space="preserve">                       </w:t>
            </w:r>
            <w:r>
              <w:t xml:space="preserve">z „prawa opcji” </w:t>
            </w:r>
          </w:p>
          <w:p w14:paraId="3B96E6F9" w14:textId="08EDC47C" w:rsidR="00E6333B" w:rsidRPr="00EF7A13" w:rsidRDefault="00E6333B" w:rsidP="00EF7A13">
            <w:pPr>
              <w:jc w:val="both"/>
              <w:rPr>
                <w:b/>
                <w:bCs/>
              </w:rPr>
            </w:pPr>
          </w:p>
        </w:tc>
      </w:tr>
      <w:tr w:rsidR="00E6333B" w:rsidRPr="00A639C4" w14:paraId="214B6BF8" w14:textId="77777777" w:rsidTr="00A639C4">
        <w:tc>
          <w:tcPr>
            <w:tcW w:w="1384" w:type="dxa"/>
            <w:shd w:val="clear" w:color="auto" w:fill="BFBFBF" w:themeFill="background1" w:themeFillShade="BF"/>
          </w:tcPr>
          <w:p w14:paraId="4D350397" w14:textId="7FC52D83" w:rsidR="00E6333B" w:rsidRPr="00A639C4" w:rsidRDefault="00E6333B" w:rsidP="00E6333B">
            <w:pPr>
              <w:tabs>
                <w:tab w:val="left" w:pos="408"/>
              </w:tabs>
              <w:jc w:val="center"/>
              <w:rPr>
                <w:b/>
              </w:rPr>
            </w:pPr>
            <w:r w:rsidRPr="00A639C4">
              <w:rPr>
                <w:b/>
              </w:rPr>
              <w:t>Pkt 3.10 IDW</w:t>
            </w:r>
          </w:p>
        </w:tc>
        <w:tc>
          <w:tcPr>
            <w:tcW w:w="7796" w:type="dxa"/>
            <w:shd w:val="clear" w:color="auto" w:fill="BFBFBF" w:themeFill="background1" w:themeFillShade="BF"/>
          </w:tcPr>
          <w:p w14:paraId="37E68364" w14:textId="1FDD83F7" w:rsidR="00E6333B" w:rsidRPr="00A639C4" w:rsidRDefault="00E6333B" w:rsidP="00E6333B">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25D57" w:rsidRPr="00A639C4" w14:paraId="60A709E1" w14:textId="77777777" w:rsidTr="00A639C4">
        <w:tc>
          <w:tcPr>
            <w:tcW w:w="1384" w:type="dxa"/>
            <w:tcBorders>
              <w:bottom w:val="single" w:sz="4" w:space="0" w:color="auto"/>
            </w:tcBorders>
            <w:shd w:val="clear" w:color="auto" w:fill="auto"/>
          </w:tcPr>
          <w:p w14:paraId="6579DE5C" w14:textId="77777777" w:rsidR="00925D57" w:rsidRPr="00A639C4" w:rsidRDefault="00925D57" w:rsidP="00925D57">
            <w:pPr>
              <w:tabs>
                <w:tab w:val="left" w:pos="408"/>
              </w:tabs>
              <w:rPr>
                <w:b/>
              </w:rPr>
            </w:pPr>
          </w:p>
        </w:tc>
        <w:tc>
          <w:tcPr>
            <w:tcW w:w="7796" w:type="dxa"/>
            <w:tcBorders>
              <w:bottom w:val="single" w:sz="4" w:space="0" w:color="auto"/>
            </w:tcBorders>
            <w:shd w:val="clear" w:color="auto" w:fill="auto"/>
          </w:tcPr>
          <w:p w14:paraId="18CE6CD3" w14:textId="77777777" w:rsidR="00925D57" w:rsidRPr="000E368E" w:rsidRDefault="00925D57" w:rsidP="00925D57">
            <w:pPr>
              <w:jc w:val="both"/>
              <w:rPr>
                <w:b/>
              </w:rPr>
            </w:pPr>
          </w:p>
          <w:p w14:paraId="4231A37C" w14:textId="77777777" w:rsidR="00925D57" w:rsidRPr="000E368E" w:rsidRDefault="00925D57" w:rsidP="00925D57">
            <w:pPr>
              <w:jc w:val="both"/>
              <w:rPr>
                <w:b/>
                <w:bCs/>
              </w:rPr>
            </w:pPr>
            <w:r w:rsidRPr="000E368E">
              <w:rPr>
                <w:b/>
                <w:bCs/>
              </w:rPr>
              <w:t xml:space="preserve">Szczegółowe wymagania o których mowa w art. 95 </w:t>
            </w:r>
            <w:proofErr w:type="spellStart"/>
            <w:r w:rsidRPr="000E368E">
              <w:rPr>
                <w:b/>
                <w:bCs/>
              </w:rPr>
              <w:t>Pzp</w:t>
            </w:r>
            <w:proofErr w:type="spellEnd"/>
            <w:r w:rsidRPr="000E368E">
              <w:rPr>
                <w:b/>
                <w:bCs/>
              </w:rPr>
              <w:t xml:space="preserve"> dotyczące realizacji zamówienia oraz egzekwowania wymogu zatrudnienia na podstawie stosunku pracy:</w:t>
            </w:r>
          </w:p>
          <w:p w14:paraId="055994CE" w14:textId="77777777" w:rsidR="00925D57" w:rsidRDefault="00925D57" w:rsidP="00925D57">
            <w:pPr>
              <w:jc w:val="both"/>
              <w:rPr>
                <w:b/>
              </w:rPr>
            </w:pPr>
          </w:p>
          <w:p w14:paraId="58AE649F" w14:textId="77777777" w:rsidR="00925D57" w:rsidRDefault="00925D57" w:rsidP="00925D57">
            <w:pPr>
              <w:jc w:val="both"/>
              <w:rPr>
                <w:bCs/>
              </w:rPr>
            </w:pPr>
            <w:r w:rsidRPr="000E368E">
              <w:t xml:space="preserve">Zamawiający </w:t>
            </w:r>
            <w:r w:rsidRPr="0027230C">
              <w:rPr>
                <w:b/>
                <w:u w:val="single"/>
              </w:rPr>
              <w:t>wymaga</w:t>
            </w:r>
            <w:r w:rsidRPr="000E368E">
              <w:t xml:space="preserve"> zatrudnienia na </w:t>
            </w:r>
            <w:r w:rsidRPr="0027230C">
              <w:rPr>
                <w:bCs/>
              </w:rPr>
              <w:t>podstawie stosunku pracy</w:t>
            </w:r>
            <w:r>
              <w:rPr>
                <w:bCs/>
              </w:rPr>
              <w:t>.</w:t>
            </w:r>
          </w:p>
          <w:p w14:paraId="35571409" w14:textId="77777777" w:rsidR="00925D57" w:rsidRPr="000E368E" w:rsidRDefault="00925D57" w:rsidP="00925D57">
            <w:pPr>
              <w:jc w:val="both"/>
              <w:rPr>
                <w:b/>
              </w:rPr>
            </w:pPr>
          </w:p>
          <w:p w14:paraId="68A862CD" w14:textId="77777777" w:rsidR="00925D57" w:rsidRPr="000E368E" w:rsidRDefault="00925D57" w:rsidP="00925D57">
            <w:pPr>
              <w:jc w:val="both"/>
              <w:rPr>
                <w:b/>
              </w:rPr>
            </w:pPr>
            <w:r w:rsidRPr="000E368E">
              <w:rPr>
                <w:b/>
              </w:rPr>
              <w:t xml:space="preserve">1) </w:t>
            </w:r>
            <w:r w:rsidRPr="002731E2">
              <w:rPr>
                <w:b/>
              </w:rPr>
              <w:t>rodzaj czynności niezbędnych do realizacji zamówienia, których dotyczą wymagania zatrudnienia na podstawie stosunku pracy przez wykonawcę lub podwykonawcę osób wykonujących czynności w trakcie realizacji zamówienia;</w:t>
            </w:r>
          </w:p>
          <w:p w14:paraId="1EE341E5" w14:textId="77777777" w:rsidR="00925D57" w:rsidRDefault="00925D57" w:rsidP="00925D57">
            <w:pPr>
              <w:jc w:val="both"/>
            </w:pPr>
          </w:p>
          <w:p w14:paraId="0F63A57E" w14:textId="77777777" w:rsidR="00925D57" w:rsidRDefault="00925D57" w:rsidP="00925D57">
            <w:pPr>
              <w:jc w:val="both"/>
            </w:pPr>
            <w:r w:rsidRPr="000E368E">
              <w:lastRenderedPageBreak/>
              <w:t xml:space="preserve">Zamawiający wymaga zatrudnienia na </w:t>
            </w:r>
            <w:r w:rsidRPr="0027230C">
              <w:rPr>
                <w:bCs/>
              </w:rPr>
              <w:t>podstawie stosunku pracy</w:t>
            </w:r>
            <w:r w:rsidRPr="000E368E">
              <w:t xml:space="preserve"> przez wykonawcę lub podwykonawcę osób </w:t>
            </w:r>
            <w:bookmarkStart w:id="2" w:name="_Hlk1632458"/>
            <w:r w:rsidRPr="000E368E">
              <w:t xml:space="preserve">wykonujących czynności </w:t>
            </w:r>
            <w:r>
              <w:t>w trakcie realizacji zamówienia:</w:t>
            </w:r>
          </w:p>
          <w:p w14:paraId="7CD08832" w14:textId="77777777" w:rsidR="00925D57" w:rsidRPr="000D4DDC" w:rsidRDefault="00925D57" w:rsidP="00925D57">
            <w:pPr>
              <w:jc w:val="both"/>
              <w:rPr>
                <w:sz w:val="8"/>
                <w:szCs w:val="8"/>
              </w:rPr>
            </w:pPr>
          </w:p>
          <w:bookmarkEnd w:id="2"/>
          <w:p w14:paraId="6705D38F" w14:textId="77777777" w:rsidR="00925D57" w:rsidRPr="00846C8A" w:rsidRDefault="00925D57" w:rsidP="00925D57">
            <w:pPr>
              <w:jc w:val="both"/>
              <w:rPr>
                <w:b/>
                <w:bCs/>
              </w:rPr>
            </w:pPr>
            <w:r w:rsidRPr="00846C8A">
              <w:rPr>
                <w:b/>
                <w:bCs/>
              </w:rPr>
              <w:t>- pracownik fizyczny</w:t>
            </w:r>
            <w:r>
              <w:rPr>
                <w:b/>
                <w:bCs/>
              </w:rPr>
              <w:t>, elektryk</w:t>
            </w:r>
          </w:p>
          <w:p w14:paraId="6591F647" w14:textId="77777777" w:rsidR="00925D57" w:rsidRDefault="00925D57" w:rsidP="00925D57">
            <w:pPr>
              <w:jc w:val="both"/>
            </w:pPr>
          </w:p>
          <w:p w14:paraId="2BA20020" w14:textId="77777777" w:rsidR="00925D57" w:rsidRPr="000E368E" w:rsidRDefault="00925D57" w:rsidP="00925D57">
            <w:pPr>
              <w:jc w:val="both"/>
              <w:rPr>
                <w:b/>
              </w:rPr>
            </w:pPr>
            <w:r w:rsidRPr="000E368E">
              <w:rPr>
                <w:b/>
              </w:rPr>
              <w:t>2) sposób weryfikacji zatrudnienia tych osób;</w:t>
            </w:r>
          </w:p>
          <w:p w14:paraId="00EB888C" w14:textId="77777777" w:rsidR="00925D57" w:rsidRPr="000E368E" w:rsidRDefault="00925D57" w:rsidP="00925D57">
            <w:pPr>
              <w:jc w:val="both"/>
            </w:pPr>
          </w:p>
          <w:p w14:paraId="66E209D2" w14:textId="77777777" w:rsidR="00925D57" w:rsidRPr="000E368E" w:rsidRDefault="00925D57" w:rsidP="00925D57">
            <w:pPr>
              <w:jc w:val="both"/>
            </w:pPr>
            <w:r w:rsidRPr="000E368E">
              <w:t xml:space="preserve">Wykonawca </w:t>
            </w:r>
            <w:r>
              <w:t>(w</w:t>
            </w:r>
            <w:r w:rsidRPr="000E368E">
              <w:t xml:space="preserve"> celu weryfikacji zatrudnienia w/w osób</w:t>
            </w:r>
            <w:r>
              <w:t>) poprzez złożenie oferty oświadcza</w:t>
            </w:r>
            <w:r w:rsidRPr="000E368E">
              <w:t xml:space="preserve">, że osoby wykonujące w/w czynności w trakcie realizacji zamówienia będą zatrudnione na podstawie </w:t>
            </w:r>
            <w:r w:rsidRPr="0027230C">
              <w:rPr>
                <w:bCs/>
              </w:rPr>
              <w:t>stosunku pracy</w:t>
            </w:r>
            <w:r w:rsidRPr="000E368E">
              <w:t>.</w:t>
            </w:r>
          </w:p>
          <w:p w14:paraId="089FA884" w14:textId="77777777" w:rsidR="00925D57" w:rsidRPr="000E368E" w:rsidRDefault="00925D57" w:rsidP="00925D57">
            <w:pPr>
              <w:jc w:val="both"/>
              <w:rPr>
                <w:b/>
              </w:rPr>
            </w:pPr>
          </w:p>
          <w:p w14:paraId="70108C1E" w14:textId="77777777" w:rsidR="00925D57" w:rsidRPr="000E368E" w:rsidRDefault="00925D57" w:rsidP="00925D57">
            <w:pPr>
              <w:jc w:val="both"/>
              <w:rPr>
                <w:b/>
              </w:rPr>
            </w:pPr>
            <w:r w:rsidRPr="000E368E">
              <w:rPr>
                <w:b/>
              </w:rPr>
              <w:t>3) uprawnienia zamawiającego w zakresie kontroli spełniania przez wykonawcę wymagań związanych z zatrudnianiem tych osób oraz sankcji z tytułu niespełnienia tych wymagań.</w:t>
            </w:r>
          </w:p>
          <w:p w14:paraId="45DC55A2" w14:textId="77777777" w:rsidR="00925D57" w:rsidRPr="000E368E" w:rsidRDefault="00925D57" w:rsidP="00925D57">
            <w:pPr>
              <w:jc w:val="both"/>
            </w:pPr>
          </w:p>
          <w:p w14:paraId="30CDEFB6" w14:textId="77777777" w:rsidR="00925D57" w:rsidRPr="000E368E" w:rsidRDefault="00925D57" w:rsidP="00925D57">
            <w:pPr>
              <w:jc w:val="both"/>
            </w:pPr>
            <w:r w:rsidRPr="000E368E">
              <w:t>Zamawiający ma prawo do skontrolowania Wykonawcy</w:t>
            </w:r>
            <w:r>
              <w:t xml:space="preserve"> w zakresie zatrudnienia osób, </w:t>
            </w:r>
            <w:r w:rsidRPr="000E368E">
              <w:t xml:space="preserve">o których mowa w art. 95 Ustawy </w:t>
            </w:r>
            <w:proofErr w:type="spellStart"/>
            <w:r>
              <w:t>Pzp</w:t>
            </w:r>
            <w:proofErr w:type="spellEnd"/>
            <w:r>
              <w:t xml:space="preserve"> </w:t>
            </w:r>
            <w:r w:rsidRPr="000E368E">
              <w:t xml:space="preserve">wzywając go na piśmie do przekazania informacji w terminie 14 dni od otrzymania takiego wezwania. W przypadku gdy Wykonawca nie dochowa ww. terminu Zamawiający obciąży Wykonawcę karami umownymi w wysokości </w:t>
            </w:r>
            <w:r>
              <w:t>1 000 zł</w:t>
            </w:r>
            <w:r w:rsidRPr="000E368E">
              <w:t xml:space="preserve"> za każdy dzień zwłoki</w:t>
            </w:r>
            <w:r>
              <w:t>.</w:t>
            </w:r>
          </w:p>
          <w:p w14:paraId="51B67B5A" w14:textId="77777777" w:rsidR="00925D57" w:rsidRPr="00A639C4" w:rsidRDefault="00925D57" w:rsidP="00925D57">
            <w:pPr>
              <w:jc w:val="both"/>
            </w:pPr>
          </w:p>
        </w:tc>
      </w:tr>
      <w:tr w:rsidR="00E6333B" w:rsidRPr="00A639C4" w14:paraId="32227B2D" w14:textId="77777777" w:rsidTr="00A639C4">
        <w:tc>
          <w:tcPr>
            <w:tcW w:w="1384" w:type="dxa"/>
            <w:shd w:val="clear" w:color="auto" w:fill="BFBFBF" w:themeFill="background1" w:themeFillShade="BF"/>
          </w:tcPr>
          <w:p w14:paraId="5200B712" w14:textId="2FC0D74A" w:rsidR="00E6333B" w:rsidRPr="00A639C4" w:rsidRDefault="00E6333B" w:rsidP="00E6333B">
            <w:pPr>
              <w:tabs>
                <w:tab w:val="left" w:pos="408"/>
              </w:tabs>
              <w:jc w:val="center"/>
              <w:rPr>
                <w:b/>
              </w:rPr>
            </w:pPr>
            <w:r w:rsidRPr="00A639C4">
              <w:rPr>
                <w:b/>
              </w:rPr>
              <w:lastRenderedPageBreak/>
              <w:t>Pkt 4.2 IDW</w:t>
            </w:r>
          </w:p>
        </w:tc>
        <w:tc>
          <w:tcPr>
            <w:tcW w:w="7796" w:type="dxa"/>
            <w:shd w:val="clear" w:color="auto" w:fill="BFBFBF" w:themeFill="background1" w:themeFillShade="BF"/>
          </w:tcPr>
          <w:p w14:paraId="007C0D9A" w14:textId="25C5FB76" w:rsidR="00E6333B" w:rsidRPr="00A639C4" w:rsidRDefault="00E6333B" w:rsidP="00E6333B">
            <w:pPr>
              <w:tabs>
                <w:tab w:val="left" w:pos="408"/>
              </w:tabs>
              <w:rPr>
                <w:b/>
              </w:rPr>
            </w:pPr>
            <w:r w:rsidRPr="00A639C4">
              <w:rPr>
                <w:b/>
              </w:rPr>
              <w:t>Składanie ofert częściowych</w:t>
            </w:r>
          </w:p>
        </w:tc>
      </w:tr>
      <w:tr w:rsidR="00E6333B" w:rsidRPr="00A639C4" w14:paraId="555BB7B8" w14:textId="77777777" w:rsidTr="00A639C4">
        <w:tc>
          <w:tcPr>
            <w:tcW w:w="1384" w:type="dxa"/>
            <w:shd w:val="clear" w:color="auto" w:fill="auto"/>
          </w:tcPr>
          <w:p w14:paraId="7F7FF4A8" w14:textId="3DAAC5AF" w:rsidR="00E6333B" w:rsidRPr="00A639C4" w:rsidRDefault="00E6333B" w:rsidP="00E6333B">
            <w:pPr>
              <w:tabs>
                <w:tab w:val="left" w:pos="408"/>
              </w:tabs>
              <w:jc w:val="center"/>
              <w:rPr>
                <w:b/>
              </w:rPr>
            </w:pPr>
          </w:p>
        </w:tc>
        <w:tc>
          <w:tcPr>
            <w:tcW w:w="7796" w:type="dxa"/>
            <w:shd w:val="clear" w:color="auto" w:fill="auto"/>
          </w:tcPr>
          <w:p w14:paraId="4653EB28" w14:textId="77777777" w:rsidR="00E6333B" w:rsidRDefault="00E6333B" w:rsidP="00E6333B">
            <w:pPr>
              <w:tabs>
                <w:tab w:val="left" w:pos="408"/>
              </w:tabs>
              <w:rPr>
                <w:bCs/>
              </w:rPr>
            </w:pPr>
          </w:p>
          <w:p w14:paraId="1C712C82" w14:textId="77777777" w:rsidR="00E6333B" w:rsidRPr="00CC10AD" w:rsidRDefault="00E6333B" w:rsidP="00E6333B">
            <w:pPr>
              <w:tabs>
                <w:tab w:val="left" w:pos="408"/>
              </w:tabs>
              <w:rPr>
                <w:b/>
                <w:u w:val="single"/>
              </w:rPr>
            </w:pPr>
            <w:r w:rsidRPr="00CC10AD">
              <w:rPr>
                <w:b/>
                <w:u w:val="single"/>
              </w:rPr>
              <w:t>Zamawiający nie dopuszcza składania ofert  częściowych.</w:t>
            </w:r>
          </w:p>
          <w:p w14:paraId="223E88AB" w14:textId="77777777" w:rsidR="00E6333B" w:rsidRPr="000E368E" w:rsidRDefault="00E6333B" w:rsidP="00E6333B">
            <w:pPr>
              <w:tabs>
                <w:tab w:val="left" w:pos="408"/>
              </w:tabs>
              <w:rPr>
                <w:bCs/>
              </w:rPr>
            </w:pPr>
          </w:p>
          <w:p w14:paraId="3CC53BF0" w14:textId="77777777" w:rsidR="00E6333B" w:rsidRDefault="00E6333B" w:rsidP="00E6333B">
            <w:pPr>
              <w:tabs>
                <w:tab w:val="left" w:pos="16874"/>
                <w:tab w:val="left" w:pos="17157"/>
              </w:tabs>
              <w:jc w:val="both"/>
              <w:rPr>
                <w:rFonts w:cstheme="minorHAnsi"/>
              </w:rPr>
            </w:pPr>
            <w:r w:rsidRPr="006F2F79">
              <w:rPr>
                <w:rFonts w:cstheme="minorHAnsi"/>
              </w:rPr>
              <w:t xml:space="preserve">Przedmiot zamówienia nie został podzielony na części. </w:t>
            </w:r>
          </w:p>
          <w:p w14:paraId="75992F51" w14:textId="77777777" w:rsidR="00E6333B" w:rsidRDefault="00E6333B" w:rsidP="00E6333B">
            <w:pPr>
              <w:tabs>
                <w:tab w:val="left" w:pos="16874"/>
                <w:tab w:val="left" w:pos="17157"/>
              </w:tabs>
              <w:jc w:val="both"/>
              <w:rPr>
                <w:rFonts w:cstheme="minorHAnsi"/>
                <w:color w:val="000000"/>
              </w:rPr>
            </w:pPr>
            <w:r>
              <w:rPr>
                <w:rFonts w:cstheme="minorHAnsi"/>
                <w:color w:val="000000"/>
              </w:rPr>
              <w:t xml:space="preserve">Zamawiający przed </w:t>
            </w:r>
            <w:r w:rsidRPr="00436996">
              <w:rPr>
                <w:rFonts w:cstheme="minorHAnsi"/>
                <w:color w:val="000000"/>
              </w:rPr>
              <w:t xml:space="preserve">ogłoszeniem </w:t>
            </w:r>
            <w:r>
              <w:rPr>
                <w:rFonts w:cstheme="minorHAnsi"/>
                <w:color w:val="000000"/>
              </w:rPr>
              <w:t>postępowania</w:t>
            </w:r>
            <w:r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14:paraId="4BB17951" w14:textId="728804FE" w:rsidR="00721C5C" w:rsidRPr="001619D5" w:rsidRDefault="00721C5C" w:rsidP="00E6333B">
            <w:pPr>
              <w:tabs>
                <w:tab w:val="left" w:pos="16874"/>
                <w:tab w:val="left" w:pos="17157"/>
              </w:tabs>
              <w:jc w:val="both"/>
              <w:rPr>
                <w:rFonts w:cstheme="minorHAnsi"/>
              </w:rPr>
            </w:pPr>
            <w:r w:rsidRPr="00721C5C">
              <w:rPr>
                <w:rFonts w:cstheme="minorHAnsi"/>
              </w:rPr>
              <w:t xml:space="preserve">Lokalizacja pompowni, w bliskim sąsiedztwie pozostałych dwóch przepompowni obsługiwanych i serwisowanych na zlecenie Zamawiającego, pozwala na wykonanie usługi w jednym czasie.  </w:t>
            </w:r>
          </w:p>
          <w:p w14:paraId="10B91B0F" w14:textId="77777777" w:rsidR="00E6333B" w:rsidRPr="00436996" w:rsidRDefault="00E6333B" w:rsidP="00E6333B">
            <w:pPr>
              <w:jc w:val="both"/>
              <w:rPr>
                <w:rFonts w:cstheme="minorHAnsi"/>
                <w:color w:val="000000"/>
              </w:rPr>
            </w:pPr>
            <w:r w:rsidRPr="00436996">
              <w:rPr>
                <w:rFonts w:cstheme="minorHAnsi"/>
                <w:color w:val="000000"/>
              </w:rPr>
              <w:t xml:space="preserve">Zamawiający wskazuje, że nie jest zobowiązany do dokonywania podziału zamówienia na części za wszelką cenę – tj. po to, żeby podziału dokonać, niezależnie od tego w jaki sposób i jaką metodologią. </w:t>
            </w:r>
          </w:p>
          <w:p w14:paraId="284FBFD4" w14:textId="77777777" w:rsidR="00E6333B" w:rsidRDefault="00E6333B" w:rsidP="00E6333B">
            <w:pPr>
              <w:jc w:val="both"/>
              <w:rPr>
                <w:rFonts w:cstheme="minorHAnsi"/>
                <w:color w:val="000000"/>
              </w:rPr>
            </w:pPr>
            <w:r w:rsidRPr="00436996">
              <w:rPr>
                <w:rFonts w:cstheme="minorHAnsi"/>
                <w:color w:val="000000"/>
              </w:rPr>
              <w:t xml:space="preserve">Przepisy ustawy </w:t>
            </w:r>
            <w:proofErr w:type="spellStart"/>
            <w:r>
              <w:t>Pzp</w:t>
            </w:r>
            <w:proofErr w:type="spellEnd"/>
            <w:r>
              <w:t xml:space="preserve">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 wytłumaczyć obiektywnie podjętą przez siebie decyzję o sposobie udzielenia zamówienia.</w:t>
            </w:r>
          </w:p>
          <w:p w14:paraId="167EF665" w14:textId="77777777" w:rsidR="00E6333B" w:rsidRPr="00436996" w:rsidRDefault="00E6333B" w:rsidP="00E6333B">
            <w:pPr>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proofErr w:type="spellStart"/>
            <w:r>
              <w:rPr>
                <w:rFonts w:cstheme="minorHAnsi"/>
                <w:color w:val="000000"/>
              </w:rPr>
              <w:t>Pzp</w:t>
            </w:r>
            <w:proofErr w:type="spellEnd"/>
            <w:r>
              <w:rPr>
                <w:rFonts w:cstheme="minorHAnsi"/>
                <w:color w:val="000000"/>
              </w:rPr>
              <w:t xml:space="preserve"> </w:t>
            </w:r>
            <w:r w:rsidRPr="00436996">
              <w:rPr>
                <w:rFonts w:cstheme="minorHAnsi"/>
                <w:color w:val="000000"/>
              </w:rPr>
              <w:t>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1FBF3405" w14:textId="77777777" w:rsidR="00E6333B" w:rsidRPr="00436996" w:rsidRDefault="00E6333B" w:rsidP="00E6333B">
            <w:pPr>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w:t>
            </w:r>
            <w:r w:rsidRPr="00436996">
              <w:rPr>
                <w:rFonts w:cstheme="minorHAnsi"/>
                <w:color w:val="000000"/>
              </w:rPr>
              <w:lastRenderedPageBreak/>
              <w:t xml:space="preserve">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14:paraId="053B678E" w14:textId="77777777" w:rsidR="00E6333B" w:rsidRDefault="00E6333B" w:rsidP="00E6333B">
            <w:pPr>
              <w:jc w:val="both"/>
              <w:rPr>
                <w:rFonts w:cstheme="minorHAnsi"/>
                <w:color w:val="000000"/>
              </w:rPr>
            </w:pPr>
            <w:r w:rsidRPr="00436996">
              <w:rPr>
                <w:rFonts w:cstheme="minorHAnsi"/>
                <w:color w:val="000000"/>
              </w:rPr>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14:paraId="53006DDA" w14:textId="77777777" w:rsidR="00E6333B" w:rsidRPr="00436996" w:rsidRDefault="00E6333B" w:rsidP="00E6333B">
            <w:pPr>
              <w:jc w:val="both"/>
              <w:rPr>
                <w:rFonts w:cstheme="minorHAnsi"/>
                <w:color w:val="000000"/>
              </w:rPr>
            </w:pPr>
            <w:r w:rsidRPr="00436996">
              <w:rPr>
                <w:rFonts w:cstheme="minorHAnsi"/>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52833809" w14:textId="77777777" w:rsidR="00E6333B" w:rsidRPr="00436996" w:rsidRDefault="00E6333B" w:rsidP="00E6333B">
            <w:pPr>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14:paraId="0F098412" w14:textId="77777777" w:rsidR="00E6333B" w:rsidRPr="00436996" w:rsidRDefault="00E6333B" w:rsidP="00E6333B">
            <w:pPr>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7B1C4EFF" w14:textId="77777777" w:rsidR="00E6333B" w:rsidRPr="00436996" w:rsidRDefault="00E6333B" w:rsidP="00E6333B">
            <w:pPr>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14:paraId="080F9024" w14:textId="77777777" w:rsidR="00E6333B" w:rsidRPr="00436996" w:rsidRDefault="00E6333B" w:rsidP="00E6333B">
            <w:pPr>
              <w:jc w:val="both"/>
              <w:rPr>
                <w:rFonts w:cstheme="minorHAnsi"/>
                <w:color w:val="000000"/>
              </w:rPr>
            </w:pPr>
            <w:r w:rsidRPr="00436996">
              <w:rPr>
                <w:rFonts w:cstheme="minorHAnsi"/>
                <w:color w:val="000000"/>
              </w:rPr>
              <w:t>Zamawiający uznał, że niedokonanie podziału przedmiotu zamówienia na części nie ma wpływu na konkurencyjność, nie utrudnia dostępu do zamówienia MŚP i jest determinowane specyfiką zamówienia (okolicznościami danego przypadku), w</w:t>
            </w:r>
            <w:r>
              <w:rPr>
                <w:rFonts w:cstheme="minorHAnsi"/>
                <w:color w:val="000000"/>
              </w:rPr>
              <w:t> </w:t>
            </w:r>
            <w:r w:rsidRPr="00436996">
              <w:rPr>
                <w:rFonts w:cstheme="minorHAnsi"/>
                <w:color w:val="000000"/>
              </w:rPr>
              <w:t>szczególności rodzajem przedmiotu zamówienia, jego specyfiką, planowanym sposobem realizacji zamówienia i jego zakresem. Zamówienie ma zwiększyć konkurencyjność, ale nie kosztem interesów zamawiającego.</w:t>
            </w:r>
          </w:p>
          <w:p w14:paraId="58196029" w14:textId="77777777" w:rsidR="00E6333B" w:rsidRPr="00436996" w:rsidRDefault="00E6333B" w:rsidP="00E6333B">
            <w:pPr>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14:paraId="608AEFBE" w14:textId="77777777" w:rsidR="00E6333B" w:rsidRPr="00436996" w:rsidRDefault="00E6333B" w:rsidP="00E6333B">
            <w:pPr>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Pr>
                <w:rFonts w:cstheme="minorHAnsi"/>
                <w:color w:val="000000"/>
              </w:rPr>
              <w:t>.</w:t>
            </w:r>
          </w:p>
          <w:p w14:paraId="4D1C269C" w14:textId="77777777" w:rsidR="00E6333B" w:rsidRPr="00436996" w:rsidRDefault="00E6333B" w:rsidP="00E6333B">
            <w:pPr>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4C021FAA" w14:textId="77777777" w:rsidR="00E6333B" w:rsidRPr="00436996" w:rsidRDefault="00E6333B" w:rsidP="00E6333B">
            <w:pPr>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14:paraId="0885934E" w14:textId="77777777" w:rsidR="00E6333B" w:rsidRPr="00436996" w:rsidRDefault="00E6333B" w:rsidP="00E6333B">
            <w:pPr>
              <w:jc w:val="both"/>
              <w:rPr>
                <w:rFonts w:cstheme="minorHAnsi"/>
                <w:color w:val="000000"/>
              </w:rPr>
            </w:pPr>
            <w:r w:rsidRPr="00436996">
              <w:rPr>
                <w:rFonts w:cstheme="minorHAnsi"/>
                <w:color w:val="000000"/>
              </w:rPr>
              <w:t>Natomiast Zamawiający nie powołuje wyłącznie na korzyści organizacyjne, wynikające z prowadzenia jednego, a nie większej liczby postępowań o udzielenie zamówienia publicznego. Nie mają też znaczenia obawy Zamawiającego związane z</w:t>
            </w:r>
            <w:r>
              <w:rPr>
                <w:rFonts w:cstheme="minorHAnsi"/>
                <w:color w:val="000000"/>
              </w:rPr>
              <w:t> </w:t>
            </w:r>
            <w:r w:rsidRPr="00436996">
              <w:rPr>
                <w:rFonts w:cstheme="minorHAnsi"/>
                <w:color w:val="000000"/>
              </w:rPr>
              <w:t xml:space="preserve">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w:t>
            </w:r>
            <w:r>
              <w:rPr>
                <w:rFonts w:cstheme="minorHAnsi"/>
                <w:color w:val="000000"/>
              </w:rPr>
              <w:t> </w:t>
            </w:r>
            <w:r w:rsidRPr="00436996">
              <w:rPr>
                <w:rFonts w:cstheme="minorHAnsi"/>
                <w:color w:val="000000"/>
              </w:rPr>
              <w:t xml:space="preserve">tym bardziej wygoda zamawiającego. W opinii Zamawiającego przyczyny niedokonania podziału nie są błahe oraz łatwe do </w:t>
            </w:r>
            <w:r w:rsidRPr="00436996">
              <w:rPr>
                <w:rFonts w:cstheme="minorHAnsi"/>
                <w:color w:val="000000"/>
              </w:rPr>
              <w:lastRenderedPageBreak/>
              <w:t xml:space="preserve">usunięcia. </w:t>
            </w:r>
          </w:p>
          <w:p w14:paraId="0770C2F3" w14:textId="77777777" w:rsidR="00E6333B" w:rsidRPr="00436996" w:rsidRDefault="00E6333B" w:rsidP="00E6333B">
            <w:pPr>
              <w:jc w:val="both"/>
              <w:rPr>
                <w:rFonts w:cstheme="minorHAnsi"/>
                <w:color w:val="000000"/>
              </w:rPr>
            </w:pPr>
            <w:r w:rsidRPr="00436996">
              <w:rPr>
                <w:rFonts w:cstheme="minorHAnsi"/>
                <w:color w:val="000000"/>
              </w:rPr>
              <w:t xml:space="preserve">Istotne jest również to, że Zamawiający nie wyłączył z udziału w postępowaniu podmiotów działających wspólnie ani podwykonawstwa – w żaden sposób nie ogranicza to możliwości złożenia oferty </w:t>
            </w:r>
          </w:p>
          <w:p w14:paraId="0BF38CD1" w14:textId="77777777" w:rsidR="00E6333B" w:rsidRDefault="00E6333B" w:rsidP="00E6333B">
            <w:pPr>
              <w:jc w:val="both"/>
              <w:rPr>
                <w:rFonts w:cstheme="minorHAnsi"/>
                <w:color w:val="000000"/>
              </w:rPr>
            </w:pPr>
            <w:r w:rsidRPr="00436996">
              <w:rPr>
                <w:rFonts w:cstheme="minorHAnsi"/>
                <w:color w:val="000000"/>
              </w:rPr>
              <w:t>W świetle powyższego, decyzja o tym, aby całość zamówienia została zrealizowana przez jednego wykonawcę była w</w:t>
            </w:r>
            <w:r>
              <w:rPr>
                <w:rFonts w:cstheme="minorHAnsi"/>
                <w:color w:val="000000"/>
              </w:rPr>
              <w:t> </w:t>
            </w:r>
            <w:r w:rsidRPr="00436996">
              <w:rPr>
                <w:rFonts w:cstheme="minorHAnsi"/>
                <w:color w:val="000000"/>
              </w:rPr>
              <w:t>pełni uzasadniona.</w:t>
            </w:r>
          </w:p>
          <w:p w14:paraId="09F3499D" w14:textId="77777777" w:rsidR="00E6333B" w:rsidRPr="00A639C4" w:rsidRDefault="00E6333B" w:rsidP="00E6333B">
            <w:pPr>
              <w:tabs>
                <w:tab w:val="left" w:pos="408"/>
              </w:tabs>
              <w:jc w:val="both"/>
              <w:rPr>
                <w:bCs/>
              </w:rPr>
            </w:pPr>
          </w:p>
        </w:tc>
      </w:tr>
      <w:tr w:rsidR="00E6333B"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E6333B" w:rsidRPr="00A639C4" w:rsidRDefault="00E6333B" w:rsidP="00E6333B">
            <w:pPr>
              <w:tabs>
                <w:tab w:val="left" w:pos="408"/>
              </w:tabs>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E6333B" w:rsidRPr="00A639C4" w:rsidRDefault="00E6333B" w:rsidP="00E6333B">
            <w:pPr>
              <w:rPr>
                <w:b/>
              </w:rPr>
            </w:pPr>
            <w:r w:rsidRPr="00A639C4">
              <w:rPr>
                <w:b/>
              </w:rPr>
              <w:t xml:space="preserve">Informacje dotyczące  zamówień o których mowa w art. 305 </w:t>
            </w:r>
            <w:proofErr w:type="spellStart"/>
            <w:r w:rsidRPr="00A639C4">
              <w:rPr>
                <w:b/>
              </w:rPr>
              <w:t>Pzp</w:t>
            </w:r>
            <w:proofErr w:type="spellEnd"/>
          </w:p>
        </w:tc>
      </w:tr>
      <w:tr w:rsidR="00E6333B" w:rsidRPr="00A639C4" w14:paraId="5B099D95" w14:textId="77777777" w:rsidTr="00A639C4">
        <w:tc>
          <w:tcPr>
            <w:tcW w:w="1384" w:type="dxa"/>
            <w:tcBorders>
              <w:bottom w:val="single" w:sz="4" w:space="0" w:color="auto"/>
            </w:tcBorders>
            <w:shd w:val="clear" w:color="auto" w:fill="auto"/>
          </w:tcPr>
          <w:p w14:paraId="3AA3E3B6" w14:textId="5505CB73" w:rsidR="00E6333B" w:rsidRPr="00A639C4" w:rsidRDefault="00E6333B" w:rsidP="00E6333B">
            <w:pPr>
              <w:tabs>
                <w:tab w:val="left" w:pos="408"/>
              </w:tabs>
              <w:rPr>
                <w:b/>
              </w:rPr>
            </w:pPr>
          </w:p>
        </w:tc>
        <w:tc>
          <w:tcPr>
            <w:tcW w:w="7796" w:type="dxa"/>
            <w:tcBorders>
              <w:bottom w:val="single" w:sz="4" w:space="0" w:color="auto"/>
            </w:tcBorders>
            <w:shd w:val="clear" w:color="auto" w:fill="auto"/>
          </w:tcPr>
          <w:p w14:paraId="46548F2A" w14:textId="77777777" w:rsidR="00E6333B" w:rsidRDefault="00E6333B" w:rsidP="00E6333B">
            <w:pPr>
              <w:jc w:val="both"/>
              <w:rPr>
                <w:rFonts w:eastAsiaTheme="minorHAnsi"/>
                <w:lang w:eastAsia="en-US"/>
              </w:rPr>
            </w:pPr>
          </w:p>
          <w:p w14:paraId="548EBC12" w14:textId="13C5CA80" w:rsidR="00E6333B" w:rsidRPr="00A639C4" w:rsidRDefault="00E6333B" w:rsidP="00E6333B">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w:t>
            </w:r>
            <w:r>
              <w:t>ń</w:t>
            </w:r>
            <w:r w:rsidRPr="00A639C4">
              <w:t xml:space="preserve">, o których mowa w art. 305 pkt.1 w zw. z art. 214 ust. 1 pkt 7  </w:t>
            </w:r>
            <w:proofErr w:type="spellStart"/>
            <w:r w:rsidRPr="00A639C4">
              <w:t>Pzp</w:t>
            </w:r>
            <w:proofErr w:type="spellEnd"/>
          </w:p>
          <w:p w14:paraId="1B06481F" w14:textId="77777777" w:rsidR="00E6333B" w:rsidRPr="00A639C4" w:rsidRDefault="00E6333B" w:rsidP="00E6333B">
            <w:pPr>
              <w:widowControl/>
              <w:rPr>
                <w:bCs/>
              </w:rPr>
            </w:pPr>
          </w:p>
        </w:tc>
      </w:tr>
      <w:tr w:rsidR="00E6333B" w:rsidRPr="00A639C4" w14:paraId="6BE6590F" w14:textId="77777777" w:rsidTr="00A639C4">
        <w:trPr>
          <w:trHeight w:val="164"/>
        </w:trPr>
        <w:tc>
          <w:tcPr>
            <w:tcW w:w="1384" w:type="dxa"/>
            <w:shd w:val="clear" w:color="auto" w:fill="BFBFBF" w:themeFill="background1" w:themeFillShade="BF"/>
          </w:tcPr>
          <w:p w14:paraId="1AEF528B" w14:textId="77777777" w:rsidR="00E6333B" w:rsidRPr="00A639C4" w:rsidRDefault="00E6333B" w:rsidP="00E6333B">
            <w:pPr>
              <w:jc w:val="center"/>
              <w:rPr>
                <w:b/>
              </w:rPr>
            </w:pPr>
            <w:r w:rsidRPr="00A639C4">
              <w:rPr>
                <w:b/>
              </w:rPr>
              <w:t>Pkt 5.1 IDW</w:t>
            </w:r>
          </w:p>
        </w:tc>
        <w:tc>
          <w:tcPr>
            <w:tcW w:w="7796" w:type="dxa"/>
            <w:shd w:val="clear" w:color="auto" w:fill="BFBFBF" w:themeFill="background1" w:themeFillShade="BF"/>
          </w:tcPr>
          <w:p w14:paraId="777C055B" w14:textId="5A8D8F2E" w:rsidR="00E6333B" w:rsidRPr="00A639C4" w:rsidRDefault="00E6333B" w:rsidP="00E6333B">
            <w:pPr>
              <w:rPr>
                <w:b/>
              </w:rPr>
            </w:pPr>
            <w:r w:rsidRPr="00A639C4">
              <w:rPr>
                <w:b/>
              </w:rPr>
              <w:t>Wizja lokalna</w:t>
            </w:r>
          </w:p>
        </w:tc>
      </w:tr>
      <w:tr w:rsidR="00E6333B" w:rsidRPr="00A639C4" w14:paraId="2987B09E" w14:textId="77777777" w:rsidTr="00A639C4">
        <w:tc>
          <w:tcPr>
            <w:tcW w:w="1384" w:type="dxa"/>
            <w:tcBorders>
              <w:bottom w:val="single" w:sz="4" w:space="0" w:color="auto"/>
            </w:tcBorders>
            <w:shd w:val="clear" w:color="auto" w:fill="auto"/>
          </w:tcPr>
          <w:p w14:paraId="7EF38EF4" w14:textId="77777777" w:rsidR="00E6333B" w:rsidRPr="00A639C4" w:rsidRDefault="00E6333B" w:rsidP="00E6333B"/>
        </w:tc>
        <w:tc>
          <w:tcPr>
            <w:tcW w:w="7796" w:type="dxa"/>
            <w:tcBorders>
              <w:bottom w:val="single" w:sz="4" w:space="0" w:color="auto"/>
            </w:tcBorders>
            <w:shd w:val="clear" w:color="auto" w:fill="auto"/>
          </w:tcPr>
          <w:p w14:paraId="439FCCCF" w14:textId="77777777" w:rsidR="002F0BD2" w:rsidRDefault="002F0BD2" w:rsidP="002F0BD2">
            <w:pPr>
              <w:rPr>
                <w:b/>
              </w:rPr>
            </w:pPr>
          </w:p>
          <w:p w14:paraId="64810560" w14:textId="77777777" w:rsidR="002F0BD2" w:rsidRDefault="002F0BD2" w:rsidP="002F0BD2">
            <w:pPr>
              <w:rPr>
                <w:b/>
              </w:rPr>
            </w:pPr>
          </w:p>
          <w:p w14:paraId="1A6ED23C" w14:textId="77777777" w:rsidR="002F0BD2" w:rsidRPr="002F0BD2" w:rsidRDefault="002F0BD2" w:rsidP="002F0BD2">
            <w:pPr>
              <w:rPr>
                <w:bCs/>
              </w:rPr>
            </w:pPr>
            <w:r w:rsidRPr="002F0BD2">
              <w:rPr>
                <w:b/>
              </w:rPr>
              <w:t xml:space="preserve">Zamawiający </w:t>
            </w:r>
            <w:r w:rsidRPr="002F0BD2">
              <w:rPr>
                <w:b/>
                <w:u w:val="single"/>
              </w:rPr>
              <w:t>nie wymaga</w:t>
            </w:r>
            <w:r w:rsidRPr="002F0BD2">
              <w:rPr>
                <w:b/>
              </w:rPr>
              <w:t xml:space="preserve"> złożenia oferty po odbyciu wizji lokalnej</w:t>
            </w:r>
            <w:r w:rsidRPr="002F0BD2">
              <w:rPr>
                <w:bCs/>
              </w:rPr>
              <w:t>.</w:t>
            </w:r>
          </w:p>
          <w:p w14:paraId="288413ED" w14:textId="77777777" w:rsidR="002F0BD2" w:rsidRPr="002F0BD2" w:rsidRDefault="002F0BD2" w:rsidP="002F0BD2">
            <w:pPr>
              <w:spacing w:line="276" w:lineRule="auto"/>
              <w:jc w:val="both"/>
            </w:pPr>
          </w:p>
          <w:p w14:paraId="25AF9ADD" w14:textId="44B82E75" w:rsidR="00E6333B" w:rsidRDefault="002F0BD2" w:rsidP="002F0BD2">
            <w:pPr>
              <w:jc w:val="both"/>
              <w:rPr>
                <w:b/>
              </w:rPr>
            </w:pPr>
            <w:r w:rsidRPr="002F0BD2">
              <w:rPr>
                <w:b/>
              </w:rPr>
              <w:t xml:space="preserve">Zamawiający </w:t>
            </w:r>
            <w:r w:rsidRPr="002F0BD2">
              <w:rPr>
                <w:b/>
                <w:u w:val="single"/>
              </w:rPr>
              <w:t>nie wymaga</w:t>
            </w:r>
            <w:r w:rsidRPr="002F0BD2">
              <w:rPr>
                <w:b/>
              </w:rPr>
              <w:t xml:space="preserve"> złożenia oferty po sprawdzeniu przez wykonawcę dokumentów niezbędnych do realizacji zamówienia dostępnych na miejscu </w:t>
            </w:r>
            <w:r>
              <w:rPr>
                <w:b/>
              </w:rPr>
              <w:t xml:space="preserve">                       </w:t>
            </w:r>
            <w:r w:rsidRPr="002F0BD2">
              <w:rPr>
                <w:b/>
              </w:rPr>
              <w:t>u Zamawiającego.</w:t>
            </w:r>
          </w:p>
          <w:p w14:paraId="4E9E49F2" w14:textId="6DFD338D" w:rsidR="002F0BD2" w:rsidRPr="00A639C4" w:rsidRDefault="002F0BD2" w:rsidP="002F0BD2">
            <w:pPr>
              <w:jc w:val="both"/>
            </w:pPr>
          </w:p>
        </w:tc>
      </w:tr>
      <w:tr w:rsidR="00E6333B" w:rsidRPr="00A639C4" w14:paraId="6E3431A4" w14:textId="77777777" w:rsidTr="00A639C4">
        <w:tc>
          <w:tcPr>
            <w:tcW w:w="1384" w:type="dxa"/>
            <w:shd w:val="clear" w:color="auto" w:fill="BFBFBF" w:themeFill="background1" w:themeFillShade="BF"/>
          </w:tcPr>
          <w:p w14:paraId="3FE3F7D8" w14:textId="4FD0D68D" w:rsidR="00E6333B" w:rsidRPr="00A639C4" w:rsidRDefault="00E6333B" w:rsidP="00E6333B">
            <w:pPr>
              <w:tabs>
                <w:tab w:val="left" w:pos="408"/>
              </w:tabs>
              <w:jc w:val="center"/>
              <w:rPr>
                <w:b/>
              </w:rPr>
            </w:pPr>
            <w:r w:rsidRPr="00A639C4">
              <w:rPr>
                <w:b/>
              </w:rPr>
              <w:t>6.2 IDW</w:t>
            </w:r>
          </w:p>
        </w:tc>
        <w:tc>
          <w:tcPr>
            <w:tcW w:w="7796" w:type="dxa"/>
            <w:shd w:val="clear" w:color="auto" w:fill="BFBFBF" w:themeFill="background1" w:themeFillShade="BF"/>
          </w:tcPr>
          <w:p w14:paraId="68F0CD7D" w14:textId="68B58EBD" w:rsidR="00E6333B" w:rsidRPr="00A639C4" w:rsidRDefault="00E6333B" w:rsidP="00E6333B">
            <w:pPr>
              <w:rPr>
                <w:b/>
              </w:rPr>
            </w:pPr>
            <w:r w:rsidRPr="00A639C4">
              <w:rPr>
                <w:b/>
              </w:rPr>
              <w:t>Obowiązek osobistego wykonania przez Wykonawcę kluczowych części zamówienia</w:t>
            </w:r>
          </w:p>
          <w:p w14:paraId="27A7DF74" w14:textId="77777777" w:rsidR="00E6333B" w:rsidRPr="00A639C4" w:rsidRDefault="00E6333B" w:rsidP="00E6333B">
            <w:pPr>
              <w:rPr>
                <w:b/>
              </w:rPr>
            </w:pPr>
          </w:p>
        </w:tc>
      </w:tr>
      <w:tr w:rsidR="00E6333B" w:rsidRPr="00A639C4" w14:paraId="032FACC3" w14:textId="77777777" w:rsidTr="00A639C4">
        <w:tc>
          <w:tcPr>
            <w:tcW w:w="1384" w:type="dxa"/>
            <w:shd w:val="clear" w:color="auto" w:fill="auto"/>
          </w:tcPr>
          <w:p w14:paraId="59307303" w14:textId="77777777" w:rsidR="00E6333B" w:rsidRPr="00A639C4" w:rsidRDefault="00E6333B" w:rsidP="00E6333B">
            <w:pPr>
              <w:tabs>
                <w:tab w:val="left" w:pos="408"/>
              </w:tabs>
              <w:jc w:val="center"/>
              <w:rPr>
                <w:b/>
              </w:rPr>
            </w:pPr>
          </w:p>
        </w:tc>
        <w:tc>
          <w:tcPr>
            <w:tcW w:w="7796" w:type="dxa"/>
            <w:shd w:val="clear" w:color="auto" w:fill="auto"/>
          </w:tcPr>
          <w:p w14:paraId="739AB36E" w14:textId="77777777" w:rsidR="00E6333B" w:rsidRDefault="00E6333B" w:rsidP="00E6333B">
            <w:pPr>
              <w:pStyle w:val="arimr"/>
              <w:widowControl/>
              <w:suppressAutoHyphens/>
              <w:snapToGrid/>
              <w:spacing w:line="240" w:lineRule="auto"/>
              <w:jc w:val="both"/>
              <w:rPr>
                <w:rFonts w:ascii="Arial" w:hAnsi="Arial" w:cs="Arial"/>
                <w:sz w:val="20"/>
                <w:lang w:val="pl-PL"/>
              </w:rPr>
            </w:pPr>
          </w:p>
          <w:p w14:paraId="673EE58C" w14:textId="73C6CA1A" w:rsidR="00E6333B" w:rsidRPr="00CC10AD" w:rsidRDefault="00E6333B" w:rsidP="00E6333B">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6333B" w:rsidRPr="00A639C4" w:rsidRDefault="00E6333B" w:rsidP="00E6333B">
            <w:pPr>
              <w:pStyle w:val="arimr"/>
              <w:widowControl/>
              <w:suppressAutoHyphens/>
              <w:snapToGrid/>
              <w:spacing w:line="240" w:lineRule="auto"/>
              <w:jc w:val="both"/>
              <w:rPr>
                <w:rFonts w:ascii="Arial" w:hAnsi="Arial" w:cs="Arial"/>
                <w:b/>
                <w:sz w:val="20"/>
              </w:rPr>
            </w:pPr>
          </w:p>
        </w:tc>
      </w:tr>
      <w:tr w:rsidR="00E6333B" w:rsidRPr="00A639C4" w14:paraId="3567789B" w14:textId="77777777" w:rsidTr="00A639C4">
        <w:tc>
          <w:tcPr>
            <w:tcW w:w="1384" w:type="dxa"/>
            <w:shd w:val="clear" w:color="auto" w:fill="BFBFBF" w:themeFill="background1" w:themeFillShade="BF"/>
          </w:tcPr>
          <w:p w14:paraId="558F5FDC" w14:textId="436113FD" w:rsidR="00E6333B" w:rsidRPr="00A639C4" w:rsidRDefault="00E6333B" w:rsidP="00E6333B">
            <w:pPr>
              <w:tabs>
                <w:tab w:val="left" w:pos="408"/>
              </w:tabs>
              <w:jc w:val="center"/>
              <w:rPr>
                <w:b/>
              </w:rPr>
            </w:pPr>
            <w:r w:rsidRPr="00A639C4">
              <w:rPr>
                <w:b/>
              </w:rPr>
              <w:t>Pkt 7.1 IDW</w:t>
            </w:r>
          </w:p>
        </w:tc>
        <w:tc>
          <w:tcPr>
            <w:tcW w:w="7796" w:type="dxa"/>
            <w:shd w:val="clear" w:color="auto" w:fill="BFBFBF" w:themeFill="background1" w:themeFillShade="BF"/>
          </w:tcPr>
          <w:p w14:paraId="303326E2" w14:textId="7053D133" w:rsidR="00E6333B" w:rsidRPr="00A639C4" w:rsidRDefault="00E6333B" w:rsidP="00E6333B">
            <w:pPr>
              <w:rPr>
                <w:bCs/>
              </w:rPr>
            </w:pPr>
            <w:r w:rsidRPr="00A639C4">
              <w:rPr>
                <w:b/>
              </w:rPr>
              <w:t>Termin wykonania zamówienia</w:t>
            </w:r>
          </w:p>
        </w:tc>
      </w:tr>
      <w:tr w:rsidR="00A52EC8" w:rsidRPr="00A639C4" w14:paraId="0385F7B7" w14:textId="77777777" w:rsidTr="00A639C4">
        <w:tc>
          <w:tcPr>
            <w:tcW w:w="1384" w:type="dxa"/>
            <w:tcBorders>
              <w:bottom w:val="single" w:sz="4" w:space="0" w:color="auto"/>
            </w:tcBorders>
            <w:shd w:val="clear" w:color="auto" w:fill="auto"/>
          </w:tcPr>
          <w:p w14:paraId="5D8A973E" w14:textId="77777777" w:rsidR="00A52EC8" w:rsidRPr="00A639C4" w:rsidRDefault="00A52EC8" w:rsidP="00A52EC8">
            <w:pPr>
              <w:tabs>
                <w:tab w:val="left" w:pos="408"/>
              </w:tabs>
              <w:rPr>
                <w:b/>
              </w:rPr>
            </w:pPr>
          </w:p>
        </w:tc>
        <w:tc>
          <w:tcPr>
            <w:tcW w:w="7796" w:type="dxa"/>
            <w:tcBorders>
              <w:bottom w:val="single" w:sz="4" w:space="0" w:color="auto"/>
            </w:tcBorders>
            <w:shd w:val="clear" w:color="auto" w:fill="auto"/>
          </w:tcPr>
          <w:p w14:paraId="27EE8265" w14:textId="77777777" w:rsidR="00A52EC8" w:rsidRPr="00161D74" w:rsidRDefault="00A52EC8" w:rsidP="00A52EC8">
            <w:pPr>
              <w:jc w:val="both"/>
            </w:pPr>
          </w:p>
          <w:p w14:paraId="040D11AB" w14:textId="77777777" w:rsidR="00A52EC8" w:rsidRPr="00161D74" w:rsidRDefault="00A52EC8" w:rsidP="00A52EC8">
            <w:pPr>
              <w:rPr>
                <w:b/>
              </w:rPr>
            </w:pPr>
            <w:r w:rsidRPr="00161D74">
              <w:rPr>
                <w:b/>
              </w:rPr>
              <w:t>Termin wykonania zamówienia: 31.12.2024 r.</w:t>
            </w:r>
          </w:p>
          <w:p w14:paraId="2BFCC31F" w14:textId="77777777" w:rsidR="00161D74" w:rsidRPr="00161D74" w:rsidRDefault="00161D74" w:rsidP="00A52EC8">
            <w:pPr>
              <w:tabs>
                <w:tab w:val="center" w:pos="4536"/>
              </w:tabs>
              <w:jc w:val="both"/>
            </w:pPr>
          </w:p>
          <w:p w14:paraId="046B90B6" w14:textId="4487E22D" w:rsidR="00A52EC8" w:rsidRPr="00161D74" w:rsidRDefault="00161D74" w:rsidP="00A52EC8">
            <w:pPr>
              <w:tabs>
                <w:tab w:val="center" w:pos="4536"/>
              </w:tabs>
              <w:jc w:val="both"/>
            </w:pPr>
            <w:r w:rsidRPr="00161D74">
              <w:t>Zamawiający planuje z początkiem roku 2025 przekazać odcinek drogi do Starosty Łańcuckiego.</w:t>
            </w:r>
          </w:p>
          <w:p w14:paraId="1AD64FE2" w14:textId="77777777" w:rsidR="00161D74" w:rsidRPr="00161D74" w:rsidRDefault="00161D74" w:rsidP="00A52EC8">
            <w:pPr>
              <w:tabs>
                <w:tab w:val="center" w:pos="4536"/>
              </w:tabs>
              <w:jc w:val="both"/>
            </w:pPr>
          </w:p>
          <w:p w14:paraId="57F0A22F" w14:textId="77777777" w:rsidR="00A52EC8" w:rsidRPr="00161D74" w:rsidRDefault="00A52EC8" w:rsidP="00A52EC8">
            <w:pPr>
              <w:tabs>
                <w:tab w:val="center" w:pos="4536"/>
              </w:tabs>
              <w:jc w:val="both"/>
            </w:pPr>
            <w:r w:rsidRPr="00161D74">
              <w:t>Zamawiający jest jednostką budżetową, finansowaną przez Samorząd Województwa Podkarpackiego.</w:t>
            </w:r>
          </w:p>
          <w:p w14:paraId="458ABAF1" w14:textId="233E6EE6" w:rsidR="00A52EC8" w:rsidRPr="00161D74" w:rsidRDefault="00A52EC8" w:rsidP="00A52EC8">
            <w:pPr>
              <w:tabs>
                <w:tab w:val="center" w:pos="4536"/>
              </w:tabs>
              <w:jc w:val="both"/>
            </w:pPr>
            <w:r w:rsidRPr="00161D74">
              <w:t xml:space="preserve">Zamawiający jako jednostka sektora finansów publicznych zawiera umowy, których przedmiotem są usługi, dostawy lub roboty budowlane, na zasadach określonych </w:t>
            </w:r>
            <w:r w:rsidR="00800F99" w:rsidRPr="00161D74">
              <w:t xml:space="preserve">                      </w:t>
            </w:r>
            <w:r w:rsidRPr="00161D74">
              <w:t xml:space="preserve">w przepisach o zamówieniach publicznych. </w:t>
            </w:r>
          </w:p>
          <w:p w14:paraId="76328F88" w14:textId="77777777" w:rsidR="00A52EC8" w:rsidRPr="00161D74" w:rsidRDefault="00A52EC8" w:rsidP="00A52EC8">
            <w:pPr>
              <w:tabs>
                <w:tab w:val="center" w:pos="4536"/>
              </w:tabs>
              <w:jc w:val="both"/>
            </w:pPr>
            <w:r w:rsidRPr="00161D74">
              <w:t xml:space="preserve">Podstawą gospodarki finansowej jednostki samorządu terytorialnego w danym roku budżetowym jest uchwała budżetowa. </w:t>
            </w:r>
          </w:p>
          <w:p w14:paraId="0CB94866" w14:textId="77777777" w:rsidR="00A52EC8" w:rsidRPr="00161D74" w:rsidRDefault="00A52EC8" w:rsidP="00A52EC8">
            <w:pPr>
              <w:tabs>
                <w:tab w:val="center" w:pos="4536"/>
              </w:tabs>
              <w:jc w:val="both"/>
            </w:pPr>
            <w:r w:rsidRPr="00161D74">
              <w:t>Zamawiający ponosi wydatki publiczne  na cele i w wysokościach ustalonych w:</w:t>
            </w:r>
          </w:p>
          <w:p w14:paraId="3B1B2B6D" w14:textId="77777777" w:rsidR="00A52EC8" w:rsidRPr="00161D74" w:rsidRDefault="00A52EC8" w:rsidP="00A52EC8">
            <w:pPr>
              <w:tabs>
                <w:tab w:val="center" w:pos="4536"/>
              </w:tabs>
              <w:jc w:val="both"/>
            </w:pPr>
            <w:r w:rsidRPr="00161D74">
              <w:t>1)</w:t>
            </w:r>
            <w:hyperlink r:id="rId8" w:anchor="/search-hypertext/17569559_art(44)_1?pit=2021-03-09" w:history="1">
              <w:r w:rsidRPr="00161D74">
                <w:t>ustawie</w:t>
              </w:r>
            </w:hyperlink>
            <w:r w:rsidRPr="00161D74">
              <w:t xml:space="preserve"> budżetowej;</w:t>
            </w:r>
          </w:p>
          <w:p w14:paraId="1C5DBB2F" w14:textId="77777777" w:rsidR="00A52EC8" w:rsidRPr="00161D74" w:rsidRDefault="00A52EC8" w:rsidP="00A52EC8">
            <w:pPr>
              <w:tabs>
                <w:tab w:val="center" w:pos="4536"/>
              </w:tabs>
              <w:jc w:val="both"/>
            </w:pPr>
            <w:r w:rsidRPr="00161D74">
              <w:t>2)uchwale budżetowej jednostki samorządu terytorialnego;</w:t>
            </w:r>
          </w:p>
          <w:p w14:paraId="52E2B198" w14:textId="77777777" w:rsidR="00A52EC8" w:rsidRPr="00161D74" w:rsidRDefault="00A52EC8" w:rsidP="00A52EC8">
            <w:pPr>
              <w:tabs>
                <w:tab w:val="center" w:pos="4536"/>
              </w:tabs>
              <w:jc w:val="both"/>
            </w:pPr>
            <w:r w:rsidRPr="00161D74">
              <w:t>3)planie finansowym jednostki sektora finansów publicznych.</w:t>
            </w:r>
          </w:p>
          <w:p w14:paraId="5DC404E9" w14:textId="77777777" w:rsidR="00A52EC8" w:rsidRPr="00161D74" w:rsidRDefault="00A52EC8" w:rsidP="00A52EC8">
            <w:pPr>
              <w:tabs>
                <w:tab w:val="center" w:pos="4536"/>
              </w:tabs>
              <w:jc w:val="both"/>
            </w:pPr>
            <w:r w:rsidRPr="00161D7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0D6DC95D" w14:textId="77777777" w:rsidR="003F141C" w:rsidRPr="00161D74" w:rsidRDefault="003F141C" w:rsidP="00A52EC8">
            <w:pPr>
              <w:tabs>
                <w:tab w:val="center" w:pos="4536"/>
              </w:tabs>
              <w:jc w:val="both"/>
            </w:pPr>
          </w:p>
          <w:p w14:paraId="47D29FCB" w14:textId="77777777" w:rsidR="003F141C" w:rsidRPr="00161D74" w:rsidRDefault="003F141C" w:rsidP="00A52EC8">
            <w:pPr>
              <w:tabs>
                <w:tab w:val="center" w:pos="4536"/>
              </w:tabs>
              <w:jc w:val="both"/>
            </w:pPr>
          </w:p>
          <w:p w14:paraId="43FD3FAD" w14:textId="77777777" w:rsidR="00A52EC8" w:rsidRPr="00161D74" w:rsidRDefault="00A52EC8" w:rsidP="00A52EC8">
            <w:pPr>
              <w:spacing w:before="100" w:beforeAutospacing="1" w:after="100" w:afterAutospacing="1"/>
              <w:jc w:val="both"/>
            </w:pPr>
            <w:r w:rsidRPr="00161D74">
              <w:lastRenderedPageBreak/>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6580B24D" w14:textId="77777777" w:rsidR="00A52EC8" w:rsidRPr="00161D74" w:rsidRDefault="00A52EC8" w:rsidP="00A52EC8">
            <w:pPr>
              <w:spacing w:before="100" w:beforeAutospacing="1" w:after="100" w:afterAutospacing="1"/>
            </w:pPr>
            <w:r w:rsidRPr="00161D74">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154527BD" w14:textId="77777777" w:rsidR="00A52EC8" w:rsidRPr="00161D74" w:rsidRDefault="00A52EC8" w:rsidP="00A52EC8">
            <w:pPr>
              <w:tabs>
                <w:tab w:val="center" w:pos="4536"/>
              </w:tabs>
              <w:jc w:val="both"/>
            </w:pPr>
            <w:r w:rsidRPr="00161D74">
              <w:t>W związku z faktem, że Zamawiający:</w:t>
            </w:r>
          </w:p>
          <w:p w14:paraId="1912497E" w14:textId="77777777" w:rsidR="00A52EC8" w:rsidRPr="00161D74" w:rsidRDefault="00A52EC8" w:rsidP="00A52EC8">
            <w:pPr>
              <w:pStyle w:val="Akapitzlist"/>
              <w:widowControl/>
              <w:numPr>
                <w:ilvl w:val="0"/>
                <w:numId w:val="29"/>
              </w:numPr>
              <w:tabs>
                <w:tab w:val="center" w:pos="4536"/>
              </w:tabs>
              <w:autoSpaceDE/>
              <w:autoSpaceDN/>
              <w:adjustRightInd/>
              <w:spacing w:after="200"/>
              <w:contextualSpacing/>
              <w:jc w:val="both"/>
            </w:pPr>
            <w:r w:rsidRPr="00161D7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D9A135A" w14:textId="77777777" w:rsidR="00A52EC8" w:rsidRPr="00161D74" w:rsidRDefault="00A52EC8" w:rsidP="00A52EC8">
            <w:pPr>
              <w:pStyle w:val="Akapitzlist"/>
              <w:widowControl/>
              <w:numPr>
                <w:ilvl w:val="0"/>
                <w:numId w:val="29"/>
              </w:numPr>
              <w:tabs>
                <w:tab w:val="center" w:pos="4536"/>
              </w:tabs>
              <w:autoSpaceDE/>
              <w:autoSpaceDN/>
              <w:adjustRightInd/>
              <w:spacing w:after="200"/>
              <w:contextualSpacing/>
              <w:jc w:val="both"/>
            </w:pPr>
            <w:r w:rsidRPr="00161D74">
              <w:t xml:space="preserve">jako jednostka sektora finansów publicznych może zaciągać zobowiązania do sfinansowania w danym roku do wysokości wynikającej z planu wydatków, </w:t>
            </w:r>
          </w:p>
          <w:p w14:paraId="4AE566D2" w14:textId="77777777" w:rsidR="00A52EC8" w:rsidRPr="00161D74" w:rsidRDefault="00A52EC8" w:rsidP="00A52EC8">
            <w:pPr>
              <w:pStyle w:val="Akapitzlist"/>
              <w:widowControl/>
              <w:numPr>
                <w:ilvl w:val="0"/>
                <w:numId w:val="29"/>
              </w:numPr>
              <w:tabs>
                <w:tab w:val="center" w:pos="4536"/>
              </w:tabs>
              <w:autoSpaceDE/>
              <w:autoSpaceDN/>
              <w:adjustRightInd/>
              <w:spacing w:after="200"/>
              <w:contextualSpacing/>
              <w:jc w:val="both"/>
            </w:pPr>
            <w:r w:rsidRPr="00161D74">
              <w:t xml:space="preserve">nie posiada uchwały zezwalającej na zaciągnięcie zobowiązania wieloletniego </w:t>
            </w:r>
          </w:p>
          <w:p w14:paraId="5DA65B55" w14:textId="77777777" w:rsidR="00A52EC8" w:rsidRPr="00161D74" w:rsidRDefault="00A52EC8" w:rsidP="00A52EC8">
            <w:pPr>
              <w:tabs>
                <w:tab w:val="center" w:pos="4536"/>
              </w:tabs>
              <w:jc w:val="both"/>
            </w:pPr>
            <w:r w:rsidRPr="00161D74">
              <w:t xml:space="preserve">oraz mając na uwadze specyfikę przedmiotu zamówienia wskazanie daty wykonania umowy jest uzasadnione obiektywną przyczyną ( art. 436 ust. 1 </w:t>
            </w:r>
            <w:proofErr w:type="spellStart"/>
            <w:r w:rsidRPr="00161D74">
              <w:t>Pzp</w:t>
            </w:r>
            <w:proofErr w:type="spellEnd"/>
            <w:r w:rsidRPr="00161D74">
              <w:t xml:space="preserve">).  </w:t>
            </w:r>
          </w:p>
          <w:p w14:paraId="14A11A98" w14:textId="6590C703" w:rsidR="00A52EC8" w:rsidRPr="00161D74" w:rsidRDefault="00A52EC8" w:rsidP="00A52EC8">
            <w:pPr>
              <w:tabs>
                <w:tab w:val="center" w:pos="4536"/>
              </w:tabs>
              <w:jc w:val="both"/>
              <w:rPr>
                <w:bCs/>
              </w:rPr>
            </w:pPr>
          </w:p>
        </w:tc>
      </w:tr>
      <w:tr w:rsidR="00A52EC8" w:rsidRPr="00A639C4" w14:paraId="5C3DF8E2" w14:textId="77777777" w:rsidTr="00A639C4">
        <w:tc>
          <w:tcPr>
            <w:tcW w:w="1384" w:type="dxa"/>
            <w:shd w:val="clear" w:color="auto" w:fill="BFBFBF" w:themeFill="background1" w:themeFillShade="BF"/>
          </w:tcPr>
          <w:p w14:paraId="457CC753" w14:textId="2F3C5D21" w:rsidR="00A52EC8" w:rsidRPr="00A639C4" w:rsidRDefault="00A52EC8" w:rsidP="00A52EC8">
            <w:pPr>
              <w:tabs>
                <w:tab w:val="left" w:pos="408"/>
              </w:tabs>
              <w:jc w:val="center"/>
              <w:rPr>
                <w:b/>
              </w:rPr>
            </w:pPr>
            <w:r w:rsidRPr="00A639C4">
              <w:rPr>
                <w:b/>
              </w:rPr>
              <w:lastRenderedPageBreak/>
              <w:t>Pkt 8.</w:t>
            </w:r>
            <w:r>
              <w:rPr>
                <w:b/>
              </w:rPr>
              <w:t>1</w:t>
            </w:r>
            <w:r w:rsidRPr="00A639C4">
              <w:rPr>
                <w:b/>
              </w:rPr>
              <w:t xml:space="preserve"> IDW</w:t>
            </w:r>
          </w:p>
        </w:tc>
        <w:tc>
          <w:tcPr>
            <w:tcW w:w="7796" w:type="dxa"/>
            <w:shd w:val="clear" w:color="auto" w:fill="BFBFBF" w:themeFill="background1" w:themeFillShade="BF"/>
          </w:tcPr>
          <w:p w14:paraId="5EF79C8F" w14:textId="77777777" w:rsidR="00A52EC8" w:rsidRPr="00A639C4" w:rsidRDefault="00A52EC8" w:rsidP="00A52EC8">
            <w:pPr>
              <w:rPr>
                <w:b/>
                <w:bCs/>
              </w:rPr>
            </w:pPr>
            <w:r w:rsidRPr="00A639C4">
              <w:rPr>
                <w:b/>
              </w:rPr>
              <w:t xml:space="preserve">Warunki udziału w postępowaniu o udzielenie zamówienia </w:t>
            </w:r>
          </w:p>
        </w:tc>
      </w:tr>
      <w:tr w:rsidR="00A52EC8" w:rsidRPr="00A639C4" w14:paraId="78420147" w14:textId="77777777" w:rsidTr="00A639C4">
        <w:tc>
          <w:tcPr>
            <w:tcW w:w="1384" w:type="dxa"/>
            <w:tcBorders>
              <w:bottom w:val="single" w:sz="4" w:space="0" w:color="auto"/>
            </w:tcBorders>
            <w:shd w:val="clear" w:color="auto" w:fill="auto"/>
          </w:tcPr>
          <w:p w14:paraId="5081D543" w14:textId="77777777" w:rsidR="00A52EC8" w:rsidRPr="00A639C4" w:rsidRDefault="00A52EC8" w:rsidP="00A52EC8">
            <w:pPr>
              <w:tabs>
                <w:tab w:val="left" w:pos="408"/>
              </w:tabs>
              <w:rPr>
                <w:b/>
              </w:rPr>
            </w:pPr>
          </w:p>
        </w:tc>
        <w:tc>
          <w:tcPr>
            <w:tcW w:w="7796" w:type="dxa"/>
            <w:tcBorders>
              <w:bottom w:val="single" w:sz="4" w:space="0" w:color="auto"/>
            </w:tcBorders>
            <w:shd w:val="clear" w:color="auto" w:fill="auto"/>
          </w:tcPr>
          <w:p w14:paraId="001B3532" w14:textId="77777777" w:rsidR="00FB77CA" w:rsidRPr="00FB77CA" w:rsidRDefault="00FB77CA" w:rsidP="00FB77CA">
            <w:pPr>
              <w:widowControl/>
              <w:autoSpaceDE/>
              <w:autoSpaceDN/>
              <w:adjustRightInd/>
              <w:spacing w:before="240"/>
              <w:ind w:right="20"/>
              <w:jc w:val="both"/>
              <w:rPr>
                <w:rFonts w:eastAsiaTheme="minorHAnsi"/>
                <w:lang w:eastAsia="en-US"/>
              </w:rPr>
            </w:pPr>
            <w:r w:rsidRPr="00FB77CA">
              <w:rPr>
                <w:rFonts w:eastAsiaTheme="minorHAnsi"/>
                <w:lang w:eastAsia="en-US"/>
              </w:rPr>
              <w:t>O udzielenie zamówienia mogą ubiegać się Wykonawcy, którzy spełniają warunki dotyczące:</w:t>
            </w:r>
          </w:p>
          <w:p w14:paraId="2ED45E8F" w14:textId="77777777" w:rsidR="00FB77CA" w:rsidRPr="00FB77CA" w:rsidRDefault="00FB77CA" w:rsidP="00FB77CA">
            <w:pPr>
              <w:widowControl/>
              <w:numPr>
                <w:ilvl w:val="0"/>
                <w:numId w:val="4"/>
              </w:numPr>
              <w:autoSpaceDE/>
              <w:autoSpaceDN/>
              <w:adjustRightInd/>
              <w:spacing w:before="120"/>
              <w:ind w:left="850" w:right="23" w:hanging="425"/>
              <w:jc w:val="both"/>
              <w:rPr>
                <w:rFonts w:eastAsiaTheme="minorHAnsi"/>
                <w:lang w:eastAsia="en-US"/>
              </w:rPr>
            </w:pPr>
            <w:r w:rsidRPr="00FB77CA">
              <w:rPr>
                <w:rFonts w:eastAsiaTheme="minorHAnsi"/>
                <w:b/>
                <w:lang w:eastAsia="en-US"/>
              </w:rPr>
              <w:t>zdolności do występowania w obrocie gospodarczym:</w:t>
            </w:r>
          </w:p>
          <w:p w14:paraId="243C71EA" w14:textId="77777777" w:rsidR="00FB77CA" w:rsidRPr="00FB77CA" w:rsidRDefault="00FB77CA" w:rsidP="00FB77CA">
            <w:pPr>
              <w:widowControl/>
              <w:autoSpaceDE/>
              <w:autoSpaceDN/>
              <w:adjustRightInd/>
              <w:ind w:right="20"/>
              <w:jc w:val="both"/>
              <w:rPr>
                <w:rFonts w:eastAsiaTheme="minorHAnsi"/>
                <w:sz w:val="16"/>
                <w:szCs w:val="16"/>
                <w:lang w:eastAsia="en-US"/>
              </w:rPr>
            </w:pPr>
          </w:p>
          <w:p w14:paraId="3DEAD754" w14:textId="77777777" w:rsidR="00FB77CA" w:rsidRPr="00FB77CA" w:rsidRDefault="00FB77CA" w:rsidP="00FB77CA">
            <w:pPr>
              <w:widowControl/>
              <w:autoSpaceDE/>
              <w:autoSpaceDN/>
              <w:adjustRightInd/>
              <w:ind w:right="20"/>
              <w:jc w:val="both"/>
              <w:rPr>
                <w:rFonts w:eastAsiaTheme="minorHAnsi"/>
                <w:lang w:eastAsia="en-US"/>
              </w:rPr>
            </w:pPr>
            <w:r w:rsidRPr="00FB77CA">
              <w:rPr>
                <w:rFonts w:eastAsiaTheme="minorHAnsi"/>
                <w:lang w:eastAsia="en-US"/>
              </w:rPr>
              <w:t xml:space="preserve">Zamawiający </w:t>
            </w:r>
            <w:r w:rsidRPr="00FB77CA">
              <w:rPr>
                <w:rFonts w:eastAsiaTheme="minorHAnsi"/>
                <w:b/>
                <w:u w:val="single"/>
                <w:lang w:eastAsia="en-US"/>
              </w:rPr>
              <w:t>nie stawia</w:t>
            </w:r>
            <w:r w:rsidRPr="00FB77CA">
              <w:rPr>
                <w:rFonts w:eastAsiaTheme="minorHAnsi"/>
                <w:lang w:eastAsia="en-US"/>
              </w:rPr>
              <w:t xml:space="preserve"> warunku w powyższym zakresie.</w:t>
            </w:r>
          </w:p>
          <w:p w14:paraId="755389A1" w14:textId="77777777" w:rsidR="00FB77CA" w:rsidRPr="00FB77CA" w:rsidRDefault="00FB77CA" w:rsidP="00FB77CA">
            <w:pPr>
              <w:widowControl/>
              <w:autoSpaceDE/>
              <w:autoSpaceDN/>
              <w:adjustRightInd/>
              <w:ind w:left="868" w:right="20"/>
              <w:jc w:val="both"/>
              <w:rPr>
                <w:rFonts w:eastAsiaTheme="minorHAnsi"/>
                <w:lang w:eastAsia="en-US"/>
              </w:rPr>
            </w:pPr>
          </w:p>
          <w:p w14:paraId="20D3D6B5" w14:textId="77777777" w:rsidR="00FB77CA" w:rsidRPr="00FB77CA" w:rsidRDefault="00FB77CA" w:rsidP="00FB77CA">
            <w:pPr>
              <w:widowControl/>
              <w:numPr>
                <w:ilvl w:val="0"/>
                <w:numId w:val="4"/>
              </w:numPr>
              <w:autoSpaceDE/>
              <w:autoSpaceDN/>
              <w:adjustRightInd/>
              <w:ind w:left="852" w:right="20" w:hanging="426"/>
              <w:jc w:val="both"/>
              <w:rPr>
                <w:rFonts w:eastAsiaTheme="minorHAnsi"/>
                <w:b/>
                <w:lang w:eastAsia="en-US"/>
              </w:rPr>
            </w:pPr>
            <w:r w:rsidRPr="00FB77CA">
              <w:rPr>
                <w:rFonts w:eastAsiaTheme="minorHAnsi"/>
                <w:b/>
                <w:lang w:eastAsia="en-US"/>
              </w:rPr>
              <w:t>uprawnień do prowadzenia określonej działalności gospodarczej lub zawodowej, o ile wynika to z odrębnych przepisów:</w:t>
            </w:r>
          </w:p>
          <w:p w14:paraId="79E0A2E9" w14:textId="77777777" w:rsidR="00FB77CA" w:rsidRPr="00FB77CA" w:rsidRDefault="00FB77CA" w:rsidP="00FB77CA">
            <w:pPr>
              <w:widowControl/>
              <w:autoSpaceDE/>
              <w:autoSpaceDN/>
              <w:adjustRightInd/>
              <w:ind w:right="20"/>
              <w:jc w:val="both"/>
              <w:rPr>
                <w:rFonts w:eastAsiaTheme="minorHAnsi"/>
                <w:sz w:val="16"/>
                <w:szCs w:val="16"/>
                <w:lang w:eastAsia="en-US"/>
              </w:rPr>
            </w:pPr>
          </w:p>
          <w:p w14:paraId="39D6B796" w14:textId="77777777" w:rsidR="00FB77CA" w:rsidRPr="00FB77CA" w:rsidRDefault="00FB77CA" w:rsidP="00FB77CA">
            <w:pPr>
              <w:widowControl/>
              <w:autoSpaceDE/>
              <w:autoSpaceDN/>
              <w:adjustRightInd/>
              <w:ind w:right="20"/>
              <w:jc w:val="both"/>
              <w:rPr>
                <w:rFonts w:eastAsiaTheme="minorHAnsi"/>
                <w:lang w:eastAsia="en-US"/>
              </w:rPr>
            </w:pPr>
            <w:r w:rsidRPr="00FB77CA">
              <w:rPr>
                <w:rFonts w:eastAsiaTheme="minorHAnsi"/>
                <w:lang w:eastAsia="en-US"/>
              </w:rPr>
              <w:t xml:space="preserve">Zamawiający </w:t>
            </w:r>
            <w:r w:rsidRPr="00FB77CA">
              <w:rPr>
                <w:rFonts w:eastAsiaTheme="minorHAnsi"/>
                <w:b/>
                <w:u w:val="single"/>
                <w:lang w:eastAsia="en-US"/>
              </w:rPr>
              <w:t>nie stawia</w:t>
            </w:r>
            <w:r w:rsidRPr="00FB77CA">
              <w:rPr>
                <w:rFonts w:eastAsiaTheme="minorHAnsi"/>
                <w:lang w:eastAsia="en-US"/>
              </w:rPr>
              <w:t xml:space="preserve"> warunku w powyższym zakresie.</w:t>
            </w:r>
          </w:p>
          <w:p w14:paraId="7D4DC18A" w14:textId="77777777" w:rsidR="00FB77CA" w:rsidRPr="00FB77CA" w:rsidRDefault="00FB77CA" w:rsidP="00FB77CA">
            <w:pPr>
              <w:widowControl/>
              <w:autoSpaceDE/>
              <w:autoSpaceDN/>
              <w:adjustRightInd/>
              <w:ind w:left="868" w:right="20"/>
              <w:jc w:val="both"/>
              <w:rPr>
                <w:rFonts w:eastAsiaTheme="minorHAnsi"/>
                <w:lang w:eastAsia="en-US"/>
              </w:rPr>
            </w:pPr>
          </w:p>
          <w:p w14:paraId="2B06D959" w14:textId="77777777" w:rsidR="00FB77CA" w:rsidRPr="00FB77CA" w:rsidRDefault="00FB77CA" w:rsidP="00FB77CA">
            <w:pPr>
              <w:widowControl/>
              <w:numPr>
                <w:ilvl w:val="0"/>
                <w:numId w:val="4"/>
              </w:numPr>
              <w:autoSpaceDE/>
              <w:autoSpaceDN/>
              <w:adjustRightInd/>
              <w:ind w:left="852" w:right="20" w:hanging="426"/>
              <w:jc w:val="both"/>
              <w:rPr>
                <w:rFonts w:eastAsiaTheme="minorHAnsi"/>
                <w:lang w:eastAsia="en-US"/>
              </w:rPr>
            </w:pPr>
            <w:r w:rsidRPr="00FB77CA">
              <w:rPr>
                <w:rFonts w:eastAsiaTheme="minorHAnsi"/>
                <w:b/>
                <w:lang w:eastAsia="en-US"/>
              </w:rPr>
              <w:t>sytuacji ekonomicznej lub finansowej:</w:t>
            </w:r>
          </w:p>
          <w:p w14:paraId="40CCFBE1" w14:textId="77777777" w:rsidR="00FB77CA" w:rsidRPr="00FB77CA" w:rsidRDefault="00FB77CA" w:rsidP="00FB77CA">
            <w:pPr>
              <w:widowControl/>
              <w:autoSpaceDE/>
              <w:autoSpaceDN/>
              <w:adjustRightInd/>
              <w:ind w:left="868" w:right="20"/>
              <w:jc w:val="both"/>
              <w:rPr>
                <w:rFonts w:eastAsiaTheme="minorHAnsi"/>
                <w:b/>
                <w:lang w:eastAsia="en-US"/>
              </w:rPr>
            </w:pPr>
          </w:p>
          <w:p w14:paraId="12E7CAB2" w14:textId="77777777" w:rsidR="00FB77CA" w:rsidRPr="00FB77CA" w:rsidRDefault="00FB77CA" w:rsidP="00FB77CA">
            <w:pPr>
              <w:widowControl/>
              <w:autoSpaceDE/>
              <w:autoSpaceDN/>
              <w:adjustRightInd/>
              <w:ind w:right="20"/>
              <w:jc w:val="both"/>
              <w:rPr>
                <w:rFonts w:eastAsiaTheme="minorHAnsi"/>
                <w:lang w:eastAsia="en-US"/>
              </w:rPr>
            </w:pPr>
            <w:r w:rsidRPr="00FB77CA">
              <w:rPr>
                <w:rFonts w:eastAsiaTheme="minorHAnsi"/>
                <w:lang w:eastAsia="en-US"/>
              </w:rPr>
              <w:t xml:space="preserve">Zamawiający </w:t>
            </w:r>
            <w:r w:rsidRPr="00FB77CA">
              <w:rPr>
                <w:rFonts w:eastAsiaTheme="minorHAnsi"/>
                <w:b/>
                <w:u w:val="single"/>
                <w:lang w:eastAsia="en-US"/>
              </w:rPr>
              <w:t>nie stawia</w:t>
            </w:r>
            <w:r w:rsidRPr="00FB77CA">
              <w:rPr>
                <w:rFonts w:eastAsiaTheme="minorHAnsi"/>
                <w:lang w:eastAsia="en-US"/>
              </w:rPr>
              <w:t xml:space="preserve"> warunku w powyższym zakresie.</w:t>
            </w:r>
          </w:p>
          <w:p w14:paraId="6157CDFA" w14:textId="77777777" w:rsidR="00FB77CA" w:rsidRPr="00FB77CA" w:rsidRDefault="00FB77CA" w:rsidP="00FB77CA">
            <w:pPr>
              <w:widowControl/>
              <w:autoSpaceDE/>
              <w:autoSpaceDN/>
              <w:adjustRightInd/>
              <w:ind w:left="868" w:right="20"/>
              <w:jc w:val="both"/>
              <w:rPr>
                <w:rFonts w:eastAsiaTheme="minorHAnsi"/>
                <w:lang w:eastAsia="en-US"/>
              </w:rPr>
            </w:pPr>
          </w:p>
          <w:p w14:paraId="0085DC52" w14:textId="77777777" w:rsidR="00FB77CA" w:rsidRPr="00FB77CA" w:rsidRDefault="00FB77CA" w:rsidP="00FB77CA">
            <w:pPr>
              <w:widowControl/>
              <w:numPr>
                <w:ilvl w:val="0"/>
                <w:numId w:val="4"/>
              </w:numPr>
              <w:autoSpaceDE/>
              <w:autoSpaceDN/>
              <w:adjustRightInd/>
              <w:ind w:left="852" w:right="20" w:hanging="426"/>
              <w:jc w:val="both"/>
              <w:rPr>
                <w:rFonts w:eastAsiaTheme="minorHAnsi"/>
                <w:b/>
                <w:lang w:eastAsia="en-US"/>
              </w:rPr>
            </w:pPr>
            <w:r w:rsidRPr="00FB77CA">
              <w:rPr>
                <w:rFonts w:eastAsiaTheme="minorHAnsi"/>
                <w:b/>
                <w:lang w:eastAsia="en-US"/>
              </w:rPr>
              <w:t>zdolności technicznej lub zawodowej:</w:t>
            </w:r>
          </w:p>
          <w:p w14:paraId="2A61E9DE" w14:textId="77777777" w:rsidR="00FB77CA" w:rsidRPr="00FB77CA" w:rsidRDefault="00FB77CA" w:rsidP="00FB77CA">
            <w:pPr>
              <w:widowControl/>
              <w:autoSpaceDE/>
              <w:autoSpaceDN/>
              <w:adjustRightInd/>
              <w:ind w:right="20"/>
              <w:rPr>
                <w:rFonts w:eastAsiaTheme="minorHAnsi"/>
                <w:lang w:eastAsia="en-US"/>
              </w:rPr>
            </w:pPr>
          </w:p>
          <w:p w14:paraId="0955A658" w14:textId="77777777" w:rsidR="00FB77CA" w:rsidRPr="00161D74" w:rsidRDefault="00FB77CA" w:rsidP="00FB77CA">
            <w:pPr>
              <w:widowControl/>
              <w:numPr>
                <w:ilvl w:val="0"/>
                <w:numId w:val="21"/>
              </w:numPr>
              <w:tabs>
                <w:tab w:val="left" w:pos="300"/>
              </w:tabs>
              <w:spacing w:after="120"/>
              <w:ind w:left="301" w:hanging="301"/>
              <w:jc w:val="both"/>
              <w:rPr>
                <w:b/>
                <w:bCs/>
                <w:color w:val="000000"/>
              </w:rPr>
            </w:pPr>
            <w:r w:rsidRPr="00161D74">
              <w:rPr>
                <w:b/>
                <w:bCs/>
                <w:color w:val="000000"/>
              </w:rPr>
              <w:t xml:space="preserve">Doświadczenie wykonawcy </w:t>
            </w:r>
          </w:p>
          <w:p w14:paraId="5035E580" w14:textId="6D3FC8FB" w:rsidR="003203A6" w:rsidRPr="00161D74" w:rsidRDefault="00FB77CA" w:rsidP="003203A6">
            <w:pPr>
              <w:pStyle w:val="Teksttreci0"/>
              <w:shd w:val="clear" w:color="auto" w:fill="auto"/>
              <w:spacing w:line="240" w:lineRule="auto"/>
              <w:ind w:right="23" w:firstLine="0"/>
              <w:jc w:val="both"/>
              <w:rPr>
                <w:rFonts w:ascii="Arial" w:hAnsi="Arial" w:cs="Arial"/>
                <w:color w:val="000000"/>
                <w:sz w:val="20"/>
                <w:szCs w:val="20"/>
              </w:rPr>
            </w:pPr>
            <w:r w:rsidRPr="00161D74">
              <w:rPr>
                <w:rFonts w:ascii="Arial" w:eastAsia="Times New Roman" w:hAnsi="Arial" w:cs="Arial"/>
                <w:color w:val="000000"/>
                <w:sz w:val="20"/>
                <w:szCs w:val="20"/>
                <w:lang w:eastAsia="pl-PL"/>
              </w:rPr>
              <w:t xml:space="preserve">Wykonawca spełni ten warunek udziału w postępowaniu, jeżeli wykaże, że </w:t>
            </w:r>
            <w:r w:rsidRPr="00161D74">
              <w:rPr>
                <w:rFonts w:ascii="Arial" w:eastAsia="Times New Roman" w:hAnsi="Arial" w:cs="Arial"/>
                <w:spacing w:val="-6"/>
                <w:sz w:val="20"/>
                <w:szCs w:val="20"/>
                <w:lang w:eastAsia="pl-PL"/>
              </w:rPr>
              <w:t xml:space="preserve">w ciągu ostatnich </w:t>
            </w:r>
            <w:r w:rsidRPr="00161D74">
              <w:rPr>
                <w:rFonts w:ascii="Arial" w:eastAsia="Times New Roman" w:hAnsi="Arial" w:cs="Arial"/>
                <w:b/>
                <w:spacing w:val="-6"/>
                <w:sz w:val="20"/>
                <w:szCs w:val="20"/>
                <w:lang w:eastAsia="pl-PL"/>
              </w:rPr>
              <w:t>3 lat</w:t>
            </w:r>
            <w:r w:rsidRPr="00161D74">
              <w:rPr>
                <w:rFonts w:ascii="Arial" w:eastAsia="Times New Roman" w:hAnsi="Arial" w:cs="Arial"/>
                <w:spacing w:val="-6"/>
                <w:sz w:val="20"/>
                <w:szCs w:val="20"/>
                <w:lang w:eastAsia="pl-PL"/>
              </w:rPr>
              <w:t xml:space="preserve"> przed upływem terminu </w:t>
            </w:r>
            <w:r w:rsidR="003203A6" w:rsidRPr="00161D74">
              <w:rPr>
                <w:rFonts w:ascii="Arial" w:hAnsi="Arial" w:cs="Arial"/>
                <w:spacing w:val="-6"/>
                <w:sz w:val="20"/>
                <w:szCs w:val="20"/>
              </w:rPr>
              <w:t>składania ofert (a jeżeli okres prowadzenia działalności jest krótszy – w tym okresie)</w:t>
            </w:r>
            <w:r w:rsidR="003203A6" w:rsidRPr="00161D74">
              <w:rPr>
                <w:rFonts w:ascii="Arial" w:hAnsi="Arial" w:cs="Arial"/>
                <w:color w:val="000000"/>
                <w:sz w:val="20"/>
                <w:szCs w:val="20"/>
              </w:rPr>
              <w:t xml:space="preserve"> </w:t>
            </w:r>
            <w:r w:rsidR="003203A6" w:rsidRPr="00161D74">
              <w:rPr>
                <w:rFonts w:ascii="Arial" w:hAnsi="Arial" w:cs="Arial"/>
                <w:b/>
                <w:color w:val="000000"/>
                <w:sz w:val="20"/>
                <w:szCs w:val="20"/>
              </w:rPr>
              <w:t>wykonał konserwację  lub utrzymanie przepompowni, stacji pomp lub obiektów gospodarki</w:t>
            </w:r>
            <w:r w:rsidR="003203A6" w:rsidRPr="003203A6">
              <w:rPr>
                <w:b/>
                <w:color w:val="000000"/>
              </w:rPr>
              <w:t xml:space="preserve"> wodno-ściekowej</w:t>
            </w:r>
            <w:r w:rsidR="00161D74">
              <w:rPr>
                <w:b/>
                <w:color w:val="000000"/>
              </w:rPr>
              <w:t xml:space="preserve">              </w:t>
            </w:r>
            <w:r w:rsidR="003203A6" w:rsidRPr="003203A6">
              <w:rPr>
                <w:b/>
                <w:color w:val="000000"/>
              </w:rPr>
              <w:t xml:space="preserve"> </w:t>
            </w:r>
            <w:r w:rsidR="003203A6" w:rsidRPr="00161D74">
              <w:rPr>
                <w:rFonts w:ascii="Arial" w:hAnsi="Arial" w:cs="Arial"/>
                <w:b/>
                <w:color w:val="000000"/>
                <w:sz w:val="20"/>
                <w:szCs w:val="20"/>
              </w:rPr>
              <w:lastRenderedPageBreak/>
              <w:t xml:space="preserve">przez okres </w:t>
            </w:r>
            <w:r w:rsidR="003203A6" w:rsidRPr="00161D74">
              <w:rPr>
                <w:rFonts w:ascii="Arial" w:hAnsi="Arial" w:cs="Arial"/>
                <w:b/>
                <w:color w:val="000000"/>
                <w:sz w:val="20"/>
                <w:szCs w:val="20"/>
                <w:u w:val="single"/>
              </w:rPr>
              <w:t>min. 24 miesięcy</w:t>
            </w:r>
            <w:r w:rsidR="003203A6" w:rsidRPr="00161D74">
              <w:rPr>
                <w:rFonts w:ascii="Arial" w:hAnsi="Arial" w:cs="Arial"/>
                <w:b/>
                <w:color w:val="000000"/>
                <w:sz w:val="20"/>
                <w:szCs w:val="20"/>
              </w:rPr>
              <w:t xml:space="preserve"> (łącznie) </w:t>
            </w:r>
            <w:r w:rsidR="003203A6" w:rsidRPr="00161D74">
              <w:rPr>
                <w:rFonts w:ascii="Arial" w:hAnsi="Arial" w:cs="Arial"/>
                <w:color w:val="000000"/>
                <w:sz w:val="20"/>
                <w:szCs w:val="20"/>
              </w:rPr>
              <w:t>oraz usługa została wykonana należycie (np. referencje).</w:t>
            </w:r>
          </w:p>
          <w:p w14:paraId="573D7081" w14:textId="77777777" w:rsidR="003203A6" w:rsidRPr="00161D74" w:rsidRDefault="003203A6" w:rsidP="00161D74">
            <w:pPr>
              <w:jc w:val="both"/>
              <w:rPr>
                <w:color w:val="000000"/>
              </w:rPr>
            </w:pPr>
            <w:r w:rsidRPr="00161D74">
              <w:rPr>
                <w:color w:val="000000"/>
              </w:rPr>
              <w:t>Zamawiający</w:t>
            </w:r>
            <w:r w:rsidRPr="00161D74">
              <w:rPr>
                <w:b/>
                <w:color w:val="000000"/>
              </w:rPr>
              <w:t xml:space="preserve"> </w:t>
            </w:r>
            <w:r w:rsidRPr="00161D74">
              <w:rPr>
                <w:b/>
                <w:color w:val="000000"/>
                <w:u w:val="single"/>
              </w:rPr>
              <w:t>nie wymaga</w:t>
            </w:r>
            <w:r w:rsidRPr="00161D74">
              <w:rPr>
                <w:b/>
                <w:color w:val="000000"/>
              </w:rPr>
              <w:t>,</w:t>
            </w:r>
            <w:r w:rsidRPr="00161D74">
              <w:rPr>
                <w:color w:val="000000"/>
              </w:rPr>
              <w:t xml:space="preserve"> aby </w:t>
            </w:r>
            <w:r w:rsidRPr="00161D74">
              <w:rPr>
                <w:b/>
              </w:rPr>
              <w:t xml:space="preserve">ww. zakres </w:t>
            </w:r>
            <w:r w:rsidRPr="00161D74">
              <w:rPr>
                <w:color w:val="000000"/>
              </w:rPr>
              <w:t>był wykonany w ramach jednego zadania/ zlecenia/ zamówienia/ inwestycji.</w:t>
            </w:r>
          </w:p>
          <w:p w14:paraId="6B11D915" w14:textId="77777777" w:rsidR="003203A6" w:rsidRPr="003203A6" w:rsidRDefault="003203A6" w:rsidP="003203A6">
            <w:pPr>
              <w:widowControl/>
              <w:autoSpaceDE/>
              <w:autoSpaceDN/>
              <w:adjustRightInd/>
              <w:ind w:right="20"/>
              <w:jc w:val="both"/>
              <w:rPr>
                <w:rFonts w:eastAsiaTheme="minorHAnsi"/>
                <w:lang w:eastAsia="en-US"/>
              </w:rPr>
            </w:pPr>
          </w:p>
          <w:p w14:paraId="26C1DAC4" w14:textId="77777777" w:rsidR="003203A6" w:rsidRPr="003203A6" w:rsidRDefault="003203A6" w:rsidP="003203A6">
            <w:pPr>
              <w:widowControl/>
              <w:numPr>
                <w:ilvl w:val="0"/>
                <w:numId w:val="21"/>
              </w:numPr>
              <w:tabs>
                <w:tab w:val="right" w:pos="284"/>
                <w:tab w:val="left" w:pos="400"/>
              </w:tabs>
              <w:ind w:left="300" w:hanging="400"/>
              <w:jc w:val="both"/>
              <w:rPr>
                <w:b/>
                <w:bCs/>
                <w:color w:val="000000"/>
              </w:rPr>
            </w:pPr>
            <w:r w:rsidRPr="003203A6">
              <w:rPr>
                <w:b/>
                <w:bCs/>
                <w:color w:val="000000"/>
              </w:rPr>
              <w:t>Kwalifikacje zawodowe i doświadczenie osób skierowanych przez wykonawcę do realizacji zamówienia</w:t>
            </w:r>
          </w:p>
          <w:p w14:paraId="75F24679" w14:textId="3A042197" w:rsidR="003203A6" w:rsidRPr="003203A6" w:rsidRDefault="003203A6" w:rsidP="003203A6">
            <w:pPr>
              <w:widowControl/>
              <w:autoSpaceDE/>
              <w:autoSpaceDN/>
              <w:adjustRightInd/>
              <w:ind w:left="300"/>
              <w:jc w:val="both"/>
              <w:rPr>
                <w:bCs/>
                <w:color w:val="000000"/>
              </w:rPr>
            </w:pPr>
            <w:r w:rsidRPr="003203A6">
              <w:rPr>
                <w:bCs/>
                <w:color w:val="000000"/>
              </w:rPr>
              <w:t xml:space="preserve">Wykonawca spełni ten warunek udziału w postępowaniu, jeżeli wykaże, </w:t>
            </w:r>
            <w:r>
              <w:rPr>
                <w:bCs/>
                <w:color w:val="000000"/>
              </w:rPr>
              <w:t xml:space="preserve">                                </w:t>
            </w:r>
            <w:r w:rsidRPr="003203A6">
              <w:rPr>
                <w:bCs/>
                <w:color w:val="000000"/>
              </w:rPr>
              <w:t>że dysponuje następującymi osobami:</w:t>
            </w:r>
          </w:p>
          <w:p w14:paraId="6A8695C7" w14:textId="77777777" w:rsidR="003203A6" w:rsidRPr="003203A6" w:rsidRDefault="003203A6" w:rsidP="003203A6">
            <w:pPr>
              <w:widowControl/>
              <w:autoSpaceDE/>
              <w:autoSpaceDN/>
              <w:adjustRightInd/>
              <w:ind w:left="300"/>
              <w:jc w:val="both"/>
              <w:rPr>
                <w:bCs/>
                <w:color w:val="000000"/>
              </w:rPr>
            </w:pPr>
          </w:p>
          <w:p w14:paraId="482CDD04" w14:textId="77777777" w:rsidR="003203A6" w:rsidRPr="003203A6" w:rsidRDefault="003203A6" w:rsidP="003203A6">
            <w:pPr>
              <w:widowControl/>
              <w:tabs>
                <w:tab w:val="right" w:pos="284"/>
                <w:tab w:val="left" w:pos="993"/>
              </w:tabs>
              <w:ind w:left="297" w:hanging="297"/>
              <w:jc w:val="both"/>
              <w:rPr>
                <w:b/>
                <w:bCs/>
                <w:iCs/>
                <w:color w:val="000000"/>
              </w:rPr>
            </w:pPr>
            <w:r w:rsidRPr="003203A6">
              <w:rPr>
                <w:b/>
                <w:bCs/>
                <w:i/>
                <w:color w:val="000000"/>
              </w:rPr>
              <w:t xml:space="preserve">      - </w:t>
            </w:r>
            <w:r w:rsidRPr="003203A6">
              <w:rPr>
                <w:b/>
                <w:bCs/>
                <w:iCs/>
                <w:color w:val="000000"/>
              </w:rPr>
              <w:t>elektryk -  min. 2 osoby</w:t>
            </w:r>
          </w:p>
          <w:p w14:paraId="7C27C79A" w14:textId="77777777" w:rsidR="003203A6" w:rsidRPr="003203A6" w:rsidRDefault="003203A6" w:rsidP="003203A6">
            <w:pPr>
              <w:widowControl/>
              <w:tabs>
                <w:tab w:val="right" w:pos="284"/>
                <w:tab w:val="left" w:pos="993"/>
              </w:tabs>
              <w:ind w:left="297" w:hanging="297"/>
              <w:jc w:val="both"/>
              <w:rPr>
                <w:color w:val="000000"/>
                <w:spacing w:val="-6"/>
              </w:rPr>
            </w:pPr>
          </w:p>
          <w:p w14:paraId="1D216764" w14:textId="77777777" w:rsidR="003203A6" w:rsidRPr="003203A6" w:rsidRDefault="003203A6" w:rsidP="003203A6">
            <w:pPr>
              <w:ind w:left="284"/>
              <w:jc w:val="both"/>
              <w:rPr>
                <w:b/>
                <w:color w:val="000000"/>
              </w:rPr>
            </w:pPr>
            <w:r w:rsidRPr="003203A6">
              <w:rPr>
                <w:b/>
                <w:color w:val="000000"/>
              </w:rPr>
              <w:t>Kwalifikacje:</w:t>
            </w:r>
          </w:p>
          <w:p w14:paraId="25883854" w14:textId="71B970BE" w:rsidR="003203A6" w:rsidRPr="003203A6" w:rsidRDefault="003203A6" w:rsidP="003203A6">
            <w:pPr>
              <w:ind w:left="284"/>
              <w:jc w:val="both"/>
              <w:rPr>
                <w:color w:val="000000"/>
              </w:rPr>
            </w:pPr>
            <w:r w:rsidRPr="003203A6">
              <w:rPr>
                <w:color w:val="000000"/>
              </w:rPr>
              <w:t xml:space="preserve">Osoby te muszą posiadać </w:t>
            </w:r>
            <w:r w:rsidRPr="003203A6">
              <w:rPr>
                <w:rFonts w:eastAsiaTheme="minorEastAsia"/>
                <w:b/>
                <w:u w:val="single"/>
              </w:rPr>
              <w:t>uprawnienia budowlane w specjalności instalacyjnej w zakresie sieci, instalacji   i urządzeń elektrycznych i elektroenergetycznych</w:t>
            </w:r>
            <w:r w:rsidRPr="003203A6">
              <w:rPr>
                <w:rFonts w:eastAsiaTheme="minorEastAsia"/>
              </w:rPr>
              <w:t xml:space="preserve">, </w:t>
            </w:r>
            <w:r w:rsidRPr="003203A6">
              <w:rPr>
                <w:color w:val="000000"/>
              </w:rPr>
              <w:t xml:space="preserve">wydane zgodnie z ustawą z dnia 07 lipca 1994r. Prawo budowlane </w:t>
            </w:r>
            <w:r>
              <w:rPr>
                <w:color w:val="000000"/>
              </w:rPr>
              <w:t xml:space="preserve">                                          </w:t>
            </w:r>
            <w:r w:rsidRPr="003203A6">
              <w:rPr>
                <w:color w:val="000000"/>
              </w:rPr>
              <w:t>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w zakresie niniejszego zamówienia.</w:t>
            </w:r>
          </w:p>
          <w:p w14:paraId="75E5AF8D" w14:textId="77777777" w:rsidR="003203A6" w:rsidRPr="003203A6" w:rsidRDefault="003203A6" w:rsidP="003203A6">
            <w:pPr>
              <w:widowControl/>
              <w:autoSpaceDE/>
              <w:autoSpaceDN/>
              <w:adjustRightInd/>
              <w:ind w:left="868" w:right="20"/>
              <w:jc w:val="both"/>
              <w:rPr>
                <w:rFonts w:eastAsiaTheme="minorHAnsi"/>
                <w:lang w:eastAsia="en-US"/>
              </w:rPr>
            </w:pPr>
          </w:p>
          <w:p w14:paraId="078CA78B" w14:textId="77777777" w:rsidR="003203A6" w:rsidRPr="003203A6" w:rsidRDefault="003203A6" w:rsidP="003203A6">
            <w:pPr>
              <w:ind w:left="284"/>
              <w:jc w:val="both"/>
              <w:rPr>
                <w:color w:val="000000"/>
              </w:rPr>
            </w:pPr>
            <w:r w:rsidRPr="003203A6">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32923CA9" w:rsidR="00A52EC8" w:rsidRPr="00A639C4" w:rsidRDefault="00A52EC8" w:rsidP="00FB77CA">
            <w:pPr>
              <w:jc w:val="both"/>
              <w:rPr>
                <w:bCs/>
              </w:rPr>
            </w:pPr>
          </w:p>
        </w:tc>
      </w:tr>
      <w:tr w:rsidR="00A52EC8" w:rsidRPr="00A639C4" w14:paraId="1171392D" w14:textId="77777777" w:rsidTr="00A639C4">
        <w:tc>
          <w:tcPr>
            <w:tcW w:w="1384" w:type="dxa"/>
            <w:shd w:val="clear" w:color="auto" w:fill="BFBFBF" w:themeFill="background1" w:themeFillShade="BF"/>
          </w:tcPr>
          <w:p w14:paraId="1737F276" w14:textId="477871C1" w:rsidR="00A52EC8" w:rsidRPr="00A639C4" w:rsidRDefault="00A52EC8" w:rsidP="00A52EC8">
            <w:pPr>
              <w:tabs>
                <w:tab w:val="left" w:pos="408"/>
              </w:tabs>
              <w:jc w:val="center"/>
              <w:rPr>
                <w:b/>
              </w:rPr>
            </w:pPr>
            <w:r w:rsidRPr="00A639C4">
              <w:rPr>
                <w:b/>
              </w:rPr>
              <w:lastRenderedPageBreak/>
              <w:t>Pkt 10.</w:t>
            </w:r>
            <w:r>
              <w:rPr>
                <w:b/>
              </w:rPr>
              <w:t>2</w:t>
            </w:r>
            <w:r w:rsidRPr="00A639C4">
              <w:rPr>
                <w:b/>
              </w:rPr>
              <w:t xml:space="preserve"> IDW</w:t>
            </w:r>
          </w:p>
        </w:tc>
        <w:tc>
          <w:tcPr>
            <w:tcW w:w="7796" w:type="dxa"/>
            <w:shd w:val="clear" w:color="auto" w:fill="BFBFBF" w:themeFill="background1" w:themeFillShade="BF"/>
          </w:tcPr>
          <w:p w14:paraId="585D6179" w14:textId="77777777" w:rsidR="00A52EC8" w:rsidRPr="00A639C4" w:rsidRDefault="00A52EC8" w:rsidP="00A52EC8">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A52EC8" w:rsidRPr="00A639C4" w14:paraId="6F5B374F" w14:textId="77777777" w:rsidTr="00A639C4">
        <w:tc>
          <w:tcPr>
            <w:tcW w:w="1384" w:type="dxa"/>
            <w:tcBorders>
              <w:bottom w:val="single" w:sz="4" w:space="0" w:color="auto"/>
            </w:tcBorders>
            <w:shd w:val="clear" w:color="auto" w:fill="auto"/>
          </w:tcPr>
          <w:p w14:paraId="3FAB1B23"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4F66BF36" w14:textId="7CE1A36B" w:rsidR="00A52EC8" w:rsidRDefault="00A52EC8" w:rsidP="00A52EC8">
            <w:pPr>
              <w:jc w:val="both"/>
              <w:rPr>
                <w:u w:val="single"/>
              </w:rPr>
            </w:pPr>
            <w:r w:rsidRPr="00B07530">
              <w:t xml:space="preserve">Na podstawie art. 125 ust. 1 </w:t>
            </w:r>
            <w:proofErr w:type="spellStart"/>
            <w:r w:rsidRPr="00B07530">
              <w:t>Pzp</w:t>
            </w:r>
            <w:proofErr w:type="spellEnd"/>
            <w:r w:rsidRPr="00B07530">
              <w:t xml:space="preserve"> Zamawiający w przedmiotowym postępowaniu </w:t>
            </w:r>
            <w:r w:rsidR="00EF7D67">
              <w:t xml:space="preserve">                         </w:t>
            </w:r>
            <w:r w:rsidRPr="00B07530">
              <w:t xml:space="preserve">o udzielenie zamówienia </w:t>
            </w:r>
            <w:r w:rsidRPr="00B07530">
              <w:rPr>
                <w:b/>
                <w:u w:val="single"/>
              </w:rPr>
              <w:t>żąda</w:t>
            </w:r>
            <w:r w:rsidRPr="00B07530">
              <w:t xml:space="preserve"> złożenia następujących podmiotowych środków dowodowych na </w:t>
            </w:r>
            <w:r w:rsidRPr="00B07530">
              <w:rPr>
                <w:u w:val="single"/>
              </w:rPr>
              <w:t>potwierdzenie braku podstaw wykluczenia.</w:t>
            </w:r>
          </w:p>
          <w:p w14:paraId="79792523" w14:textId="1F8D0895" w:rsidR="00A52EC8" w:rsidRDefault="00A52EC8" w:rsidP="00A52EC8">
            <w:pPr>
              <w:widowControl/>
              <w:autoSpaceDE/>
              <w:autoSpaceDN/>
              <w:adjustRightInd/>
              <w:spacing w:before="240"/>
              <w:jc w:val="both"/>
              <w:rPr>
                <w:b/>
              </w:rPr>
            </w:pPr>
            <w:r w:rsidRPr="00A639C4">
              <w:t xml:space="preserve">- aktualne na dzień składania ofert oświadczenie o braku podstaw do wykluczenia </w:t>
            </w:r>
            <w:r w:rsidR="003203A6">
              <w:t xml:space="preserve">                       </w:t>
            </w:r>
            <w:r w:rsidRPr="00A639C4">
              <w:t xml:space="preserve">z postępowania (art. 125 ust. 1 </w:t>
            </w:r>
            <w:proofErr w:type="spellStart"/>
            <w:r w:rsidRPr="00A639C4">
              <w:t>Pzp</w:t>
            </w:r>
            <w:proofErr w:type="spellEnd"/>
            <w:r w:rsidRPr="00A639C4">
              <w:t xml:space="preserve">)– zgodnie z </w:t>
            </w:r>
            <w:r w:rsidRPr="00A639C4">
              <w:rPr>
                <w:b/>
              </w:rPr>
              <w:t>Załącznikiem do SWZ.</w:t>
            </w:r>
          </w:p>
          <w:p w14:paraId="008EFFCB" w14:textId="77777777" w:rsidR="003203A6" w:rsidRPr="00A639C4" w:rsidRDefault="003203A6" w:rsidP="00A52EC8">
            <w:pPr>
              <w:widowControl/>
              <w:autoSpaceDE/>
              <w:autoSpaceDN/>
              <w:adjustRightInd/>
              <w:spacing w:before="240"/>
              <w:jc w:val="both"/>
            </w:pPr>
          </w:p>
          <w:p w14:paraId="64519954" w14:textId="77777777" w:rsidR="003203A6" w:rsidRPr="003203A6" w:rsidRDefault="003203A6" w:rsidP="003203A6">
            <w:pPr>
              <w:jc w:val="both"/>
            </w:pPr>
            <w:r w:rsidRPr="003203A6">
              <w:t xml:space="preserve">Na podstawie art. 273 ust 1pkt  2 </w:t>
            </w:r>
            <w:proofErr w:type="spellStart"/>
            <w:r w:rsidRPr="003203A6">
              <w:t>Pzp</w:t>
            </w:r>
            <w:proofErr w:type="spellEnd"/>
            <w:r w:rsidRPr="003203A6">
              <w:t xml:space="preserve"> Zamawiający w przedmiotowym postępowaniu o udzielenie zamówienia </w:t>
            </w:r>
            <w:r w:rsidRPr="003203A6">
              <w:rPr>
                <w:b/>
              </w:rPr>
              <w:t>żąda</w:t>
            </w:r>
            <w:r w:rsidRPr="003203A6">
              <w:t xml:space="preserve"> złożenia następujących podmiotowych środków dowodowych na </w:t>
            </w:r>
            <w:r w:rsidRPr="003203A6">
              <w:rPr>
                <w:u w:val="single"/>
              </w:rPr>
              <w:t>potwierdzenie spełniania warunków udziału w postępowaniu</w:t>
            </w:r>
          </w:p>
          <w:p w14:paraId="29742773" w14:textId="0D4DB8EE" w:rsidR="003203A6" w:rsidRPr="003203A6" w:rsidRDefault="003203A6" w:rsidP="003203A6">
            <w:pPr>
              <w:widowControl/>
              <w:numPr>
                <w:ilvl w:val="0"/>
                <w:numId w:val="12"/>
              </w:numPr>
              <w:autoSpaceDE/>
              <w:autoSpaceDN/>
              <w:adjustRightInd/>
              <w:spacing w:before="160"/>
              <w:ind w:left="303" w:hanging="357"/>
              <w:jc w:val="both"/>
              <w:rPr>
                <w:b/>
                <w:u w:val="single"/>
              </w:rPr>
            </w:pPr>
            <w:r w:rsidRPr="003203A6">
              <w:rPr>
                <w:b/>
              </w:rPr>
              <w:t>wykazu usług wykonanych</w:t>
            </w:r>
            <w:r w:rsidRPr="003203A6">
              <w:t xml:space="preserve">, a w przypadku świadczeń powtarzających się </w:t>
            </w:r>
            <w:r>
              <w:t xml:space="preserve">                        </w:t>
            </w:r>
            <w:r w:rsidRPr="003203A6">
              <w:t xml:space="preserve">lub ciągłych również wykonywanych, </w:t>
            </w:r>
            <w:r w:rsidRPr="003203A6">
              <w:rPr>
                <w:b/>
              </w:rPr>
              <w:t>w okresie ostatnich 3 lat</w:t>
            </w:r>
            <w:r w:rsidRPr="003203A6">
              <w:t xml:space="preserve">, a jeżeli okres prowadzenia działalności jest krótszy – w tym okresie, wraz z podaniem ich wartości, przedmiotu, dat wykonania i podmiotów, na rzecz których dostawy </w:t>
            </w:r>
            <w:r>
              <w:t xml:space="preserve">                          </w:t>
            </w:r>
            <w:r w:rsidRPr="003203A6">
              <w:t xml:space="preserve">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t>
            </w:r>
            <w:r w:rsidRPr="003203A6">
              <w:lastRenderedPageBreak/>
              <w:t xml:space="preserve">wykonywane, a jeżeli wykonawca z przyczyn niezależnych od niego nie jest </w:t>
            </w:r>
            <w:r>
              <w:t xml:space="preserve">                          </w:t>
            </w:r>
            <w:r w:rsidRPr="003203A6">
              <w:t xml:space="preserve">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681A2AE3" w14:textId="77777777" w:rsidR="003203A6" w:rsidRPr="003203A6" w:rsidRDefault="003203A6" w:rsidP="003203A6">
            <w:pPr>
              <w:widowControl/>
              <w:numPr>
                <w:ilvl w:val="0"/>
                <w:numId w:val="12"/>
              </w:numPr>
              <w:autoSpaceDE/>
              <w:autoSpaceDN/>
              <w:adjustRightInd/>
              <w:spacing w:before="160"/>
              <w:ind w:left="303" w:hanging="357"/>
              <w:jc w:val="both"/>
              <w:rPr>
                <w:b/>
                <w:u w:val="single"/>
              </w:rPr>
            </w:pPr>
            <w:r w:rsidRPr="003203A6">
              <w:rPr>
                <w:b/>
              </w:rPr>
              <w:t>wykazu osób</w:t>
            </w:r>
            <w:r w:rsidRPr="003203A6">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EEC2493" w14:textId="77777777" w:rsidR="003203A6" w:rsidRPr="003203A6" w:rsidRDefault="003203A6" w:rsidP="003203A6">
            <w:pPr>
              <w:jc w:val="both"/>
            </w:pPr>
          </w:p>
          <w:p w14:paraId="5443FAA3" w14:textId="77777777" w:rsidR="003203A6" w:rsidRPr="003203A6" w:rsidRDefault="003203A6" w:rsidP="003203A6">
            <w:pPr>
              <w:jc w:val="both"/>
            </w:pPr>
            <w:r w:rsidRPr="003203A6">
              <w:t xml:space="preserve">Wzory wykazów i oświadczeń o których mowa powyżej znajdują się na stronie internetowej Zamawiającego pod adresem </w:t>
            </w:r>
            <w:hyperlink r:id="rId9" w:history="1">
              <w:r w:rsidRPr="003203A6">
                <w:rPr>
                  <w:color w:val="0000FF" w:themeColor="hyperlink"/>
                  <w:u w:val="single"/>
                </w:rPr>
                <w:t>http://www.pzdw.pl/zamowienia-publiczne/inne-informacje</w:t>
              </w:r>
            </w:hyperlink>
            <w:r w:rsidRPr="003203A6">
              <w:t xml:space="preserve"> </w:t>
            </w:r>
          </w:p>
          <w:p w14:paraId="4EF313E2" w14:textId="77777777" w:rsidR="003203A6" w:rsidRPr="003203A6" w:rsidRDefault="003203A6" w:rsidP="003203A6">
            <w:pPr>
              <w:jc w:val="both"/>
            </w:pPr>
          </w:p>
          <w:p w14:paraId="5170CC52" w14:textId="36C935CC" w:rsidR="00A52EC8" w:rsidRPr="00A639C4" w:rsidRDefault="00A52EC8" w:rsidP="00A52EC8">
            <w:pPr>
              <w:jc w:val="both"/>
              <w:rPr>
                <w:b/>
              </w:rPr>
            </w:pPr>
          </w:p>
        </w:tc>
      </w:tr>
      <w:tr w:rsidR="00A52EC8" w:rsidRPr="00A639C4" w14:paraId="00C6F274" w14:textId="77777777" w:rsidTr="00A639C4">
        <w:tc>
          <w:tcPr>
            <w:tcW w:w="1384" w:type="dxa"/>
            <w:shd w:val="clear" w:color="auto" w:fill="BFBFBF" w:themeFill="background1" w:themeFillShade="BF"/>
          </w:tcPr>
          <w:p w14:paraId="03B16A36" w14:textId="38617079" w:rsidR="00A52EC8" w:rsidRPr="00A639C4" w:rsidRDefault="00A52EC8" w:rsidP="00A52EC8">
            <w:pPr>
              <w:tabs>
                <w:tab w:val="left" w:pos="408"/>
              </w:tabs>
              <w:jc w:val="center"/>
              <w:rPr>
                <w:b/>
              </w:rPr>
            </w:pPr>
            <w:r>
              <w:rPr>
                <w:b/>
              </w:rPr>
              <w:lastRenderedPageBreak/>
              <w:t>Pkt 9.2</w:t>
            </w:r>
          </w:p>
        </w:tc>
        <w:tc>
          <w:tcPr>
            <w:tcW w:w="7796" w:type="dxa"/>
            <w:shd w:val="clear" w:color="auto" w:fill="BFBFBF" w:themeFill="background1" w:themeFillShade="BF"/>
          </w:tcPr>
          <w:p w14:paraId="484456E9" w14:textId="06D45ECA" w:rsidR="00A52EC8" w:rsidRPr="00A639C4" w:rsidRDefault="00A52EC8" w:rsidP="00A52EC8">
            <w:pPr>
              <w:rPr>
                <w:b/>
              </w:rPr>
            </w:pPr>
            <w:r>
              <w:rPr>
                <w:b/>
              </w:rPr>
              <w:t>Fakultatywne p</w:t>
            </w:r>
            <w:r w:rsidRPr="00B44348">
              <w:rPr>
                <w:b/>
              </w:rPr>
              <w:t>odstawy wykluczenia z postępowania</w:t>
            </w:r>
          </w:p>
        </w:tc>
      </w:tr>
      <w:tr w:rsidR="00A52EC8" w:rsidRPr="00A639C4" w14:paraId="1B9DF83D" w14:textId="77777777" w:rsidTr="00B44348">
        <w:tc>
          <w:tcPr>
            <w:tcW w:w="1384" w:type="dxa"/>
            <w:shd w:val="clear" w:color="auto" w:fill="auto"/>
          </w:tcPr>
          <w:p w14:paraId="6242F48B" w14:textId="77777777" w:rsidR="00A52EC8" w:rsidRPr="00A639C4" w:rsidRDefault="00A52EC8" w:rsidP="00A52EC8">
            <w:pPr>
              <w:tabs>
                <w:tab w:val="left" w:pos="408"/>
              </w:tabs>
              <w:jc w:val="center"/>
              <w:rPr>
                <w:b/>
              </w:rPr>
            </w:pPr>
          </w:p>
        </w:tc>
        <w:tc>
          <w:tcPr>
            <w:tcW w:w="7796" w:type="dxa"/>
            <w:shd w:val="clear" w:color="auto" w:fill="auto"/>
          </w:tcPr>
          <w:p w14:paraId="1EDA20F6" w14:textId="77777777" w:rsidR="00A52EC8" w:rsidRDefault="00A52EC8" w:rsidP="00A52EC8">
            <w:pPr>
              <w:pStyle w:val="Teksttreci0"/>
              <w:shd w:val="clear" w:color="auto" w:fill="auto"/>
              <w:spacing w:line="240" w:lineRule="auto"/>
              <w:ind w:firstLine="0"/>
              <w:jc w:val="both"/>
              <w:rPr>
                <w:rFonts w:ascii="Arial" w:hAnsi="Arial" w:cs="Arial"/>
                <w:sz w:val="20"/>
              </w:rPr>
            </w:pPr>
          </w:p>
          <w:p w14:paraId="2413C035" w14:textId="464D4EF0" w:rsidR="00A52EC8" w:rsidRPr="00B44348" w:rsidRDefault="00A52EC8" w:rsidP="00A52EC8">
            <w:pPr>
              <w:pStyle w:val="Teksttreci0"/>
              <w:shd w:val="clear" w:color="auto" w:fill="auto"/>
              <w:spacing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p w14:paraId="3DAC71FE" w14:textId="77777777" w:rsidR="00A52EC8" w:rsidRPr="00A639C4" w:rsidRDefault="00A52EC8" w:rsidP="00A52EC8">
            <w:pPr>
              <w:pStyle w:val="Teksttreci0"/>
              <w:shd w:val="clear" w:color="auto" w:fill="auto"/>
              <w:spacing w:line="240" w:lineRule="auto"/>
              <w:ind w:firstLine="0"/>
              <w:jc w:val="both"/>
              <w:rPr>
                <w:b/>
              </w:rPr>
            </w:pPr>
          </w:p>
        </w:tc>
      </w:tr>
      <w:tr w:rsidR="00A52EC8" w:rsidRPr="00A639C4" w14:paraId="2B961039" w14:textId="77777777" w:rsidTr="00A639C4">
        <w:tc>
          <w:tcPr>
            <w:tcW w:w="1384" w:type="dxa"/>
            <w:shd w:val="clear" w:color="auto" w:fill="BFBFBF" w:themeFill="background1" w:themeFillShade="BF"/>
          </w:tcPr>
          <w:p w14:paraId="1965C385" w14:textId="77777777" w:rsidR="00A52EC8" w:rsidRPr="00A639C4" w:rsidRDefault="00A52EC8" w:rsidP="00A52EC8">
            <w:pPr>
              <w:tabs>
                <w:tab w:val="left" w:pos="408"/>
              </w:tabs>
              <w:jc w:val="center"/>
              <w:rPr>
                <w:b/>
              </w:rPr>
            </w:pPr>
            <w:r w:rsidRPr="00A639C4">
              <w:rPr>
                <w:b/>
              </w:rPr>
              <w:t>Pkt 11.1 IDW</w:t>
            </w:r>
          </w:p>
        </w:tc>
        <w:tc>
          <w:tcPr>
            <w:tcW w:w="7796" w:type="dxa"/>
            <w:shd w:val="clear" w:color="auto" w:fill="BFBFBF" w:themeFill="background1" w:themeFillShade="BF"/>
          </w:tcPr>
          <w:p w14:paraId="5C4A5B1B" w14:textId="013F7879" w:rsidR="00A52EC8" w:rsidRPr="00A639C4" w:rsidRDefault="00A52EC8" w:rsidP="00A52EC8">
            <w:pPr>
              <w:rPr>
                <w:b/>
                <w:bCs/>
                <w:color w:val="000000"/>
              </w:rPr>
            </w:pPr>
            <w:r w:rsidRPr="00A639C4">
              <w:rPr>
                <w:b/>
              </w:rPr>
              <w:t>Przedmiotowe środki dowodowe</w:t>
            </w:r>
          </w:p>
        </w:tc>
      </w:tr>
      <w:tr w:rsidR="00A52EC8" w:rsidRPr="00A639C4" w14:paraId="26BD9609" w14:textId="77777777" w:rsidTr="00A639C4">
        <w:tc>
          <w:tcPr>
            <w:tcW w:w="1384" w:type="dxa"/>
            <w:tcBorders>
              <w:bottom w:val="single" w:sz="4" w:space="0" w:color="auto"/>
            </w:tcBorders>
            <w:shd w:val="clear" w:color="auto" w:fill="auto"/>
          </w:tcPr>
          <w:p w14:paraId="36F92663"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45885510" w14:textId="77777777" w:rsidR="00A52EC8" w:rsidRPr="00A639C4" w:rsidRDefault="00A52EC8" w:rsidP="00A52EC8">
            <w:pPr>
              <w:jc w:val="both"/>
            </w:pPr>
          </w:p>
          <w:p w14:paraId="6B4CABEF" w14:textId="77777777" w:rsidR="00A52EC8" w:rsidRPr="00A639C4" w:rsidRDefault="00A52EC8" w:rsidP="00A52EC8">
            <w:pPr>
              <w:jc w:val="both"/>
            </w:pPr>
            <w:r w:rsidRPr="00A639C4">
              <w:t xml:space="preserve">Zamawiający </w:t>
            </w:r>
            <w:r w:rsidRPr="00A639C4">
              <w:rPr>
                <w:b/>
                <w:u w:val="single"/>
              </w:rPr>
              <w:t>nie przewiduje</w:t>
            </w:r>
            <w:r w:rsidRPr="00A639C4">
              <w:t xml:space="preserve"> wprowadzenia przedmiotowych środków dowodowych  </w:t>
            </w:r>
          </w:p>
          <w:p w14:paraId="0244DC21" w14:textId="1BA48D0F" w:rsidR="00A52EC8" w:rsidRPr="00226A17" w:rsidRDefault="00A52EC8" w:rsidP="00A52EC8">
            <w:pPr>
              <w:jc w:val="both"/>
            </w:pPr>
          </w:p>
        </w:tc>
      </w:tr>
      <w:tr w:rsidR="00A52EC8" w:rsidRPr="00A639C4" w14:paraId="773C9F96" w14:textId="77777777" w:rsidTr="00A639C4">
        <w:tc>
          <w:tcPr>
            <w:tcW w:w="1384" w:type="dxa"/>
            <w:shd w:val="clear" w:color="auto" w:fill="BFBFBF" w:themeFill="background1" w:themeFillShade="BF"/>
          </w:tcPr>
          <w:p w14:paraId="5231AC04" w14:textId="77777777" w:rsidR="00A52EC8" w:rsidRPr="00A639C4" w:rsidRDefault="00A52EC8" w:rsidP="00A52EC8">
            <w:pPr>
              <w:tabs>
                <w:tab w:val="left" w:pos="408"/>
              </w:tabs>
              <w:jc w:val="center"/>
              <w:rPr>
                <w:b/>
              </w:rPr>
            </w:pPr>
            <w:r w:rsidRPr="00A639C4">
              <w:rPr>
                <w:b/>
              </w:rPr>
              <w:t>Pkt 15.6 IDW</w:t>
            </w:r>
          </w:p>
        </w:tc>
        <w:tc>
          <w:tcPr>
            <w:tcW w:w="7796" w:type="dxa"/>
            <w:shd w:val="clear" w:color="auto" w:fill="BFBFBF" w:themeFill="background1" w:themeFillShade="BF"/>
          </w:tcPr>
          <w:p w14:paraId="56A0F0A4" w14:textId="77777777" w:rsidR="00A52EC8" w:rsidRPr="00A639C4" w:rsidRDefault="00A52EC8" w:rsidP="00A52EC8">
            <w:pPr>
              <w:tabs>
                <w:tab w:val="left" w:pos="408"/>
              </w:tabs>
              <w:rPr>
                <w:b/>
              </w:rPr>
            </w:pPr>
            <w:r w:rsidRPr="00A639C4">
              <w:rPr>
                <w:b/>
              </w:rPr>
              <w:t>Opis sposobu przygotowania ofert oraz wymagania formalne dotyczące składanych oświadczeń i dokumentów</w:t>
            </w:r>
          </w:p>
        </w:tc>
      </w:tr>
      <w:tr w:rsidR="00A52EC8" w:rsidRPr="00A639C4" w14:paraId="1FDBEECD" w14:textId="77777777" w:rsidTr="00A639C4">
        <w:tc>
          <w:tcPr>
            <w:tcW w:w="1384" w:type="dxa"/>
            <w:tcBorders>
              <w:bottom w:val="single" w:sz="4" w:space="0" w:color="auto"/>
            </w:tcBorders>
            <w:shd w:val="clear" w:color="auto" w:fill="auto"/>
          </w:tcPr>
          <w:p w14:paraId="6BC33FCA"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7ADEDB39" w14:textId="77777777" w:rsidR="00A52EC8" w:rsidRDefault="00A52EC8" w:rsidP="00A52EC8">
            <w:pPr>
              <w:jc w:val="both"/>
              <w:rPr>
                <w:b/>
                <w:color w:val="000000"/>
                <w:u w:val="single"/>
              </w:rPr>
            </w:pPr>
          </w:p>
          <w:p w14:paraId="026952AD" w14:textId="3449E28F" w:rsidR="00A52EC8" w:rsidRPr="005404B5" w:rsidRDefault="00A52EC8" w:rsidP="00A52EC8">
            <w:pPr>
              <w:jc w:val="both"/>
              <w:rPr>
                <w:b/>
                <w:color w:val="000000"/>
                <w:u w:val="single"/>
              </w:rPr>
            </w:pPr>
            <w:r w:rsidRPr="00B07530">
              <w:rPr>
                <w:b/>
                <w:color w:val="000000"/>
                <w:u w:val="single"/>
              </w:rPr>
              <w:t xml:space="preserve">Wykonawca wraz z ofertą </w:t>
            </w:r>
            <w:r w:rsidR="00405302">
              <w:rPr>
                <w:b/>
                <w:color w:val="000000"/>
                <w:u w:val="single"/>
              </w:rPr>
              <w:t xml:space="preserve"> na formularzu ofertowym </w:t>
            </w:r>
            <w:bookmarkStart w:id="3" w:name="_GoBack"/>
            <w:bookmarkEnd w:id="3"/>
            <w:r w:rsidRPr="00B07530">
              <w:rPr>
                <w:b/>
                <w:color w:val="000000"/>
                <w:u w:val="single"/>
              </w:rPr>
              <w:t>jest zobowiązany złożyć:</w:t>
            </w:r>
          </w:p>
          <w:p w14:paraId="1D95630F" w14:textId="77777777" w:rsidR="00A52EC8" w:rsidRPr="00B07530" w:rsidRDefault="00A52EC8" w:rsidP="00A52EC8">
            <w:pPr>
              <w:pStyle w:val="Akapitzlist"/>
              <w:numPr>
                <w:ilvl w:val="0"/>
                <w:numId w:val="18"/>
              </w:numPr>
              <w:jc w:val="both"/>
              <w:rPr>
                <w:color w:val="000000"/>
              </w:rPr>
            </w:pPr>
            <w:r w:rsidRPr="00B07530">
              <w:rPr>
                <w:color w:val="000000"/>
              </w:rPr>
              <w:t>oświadczenie o niepodleganiu wykluczeniu;</w:t>
            </w:r>
          </w:p>
          <w:p w14:paraId="09E346A7" w14:textId="4663C74D" w:rsidR="00A52EC8" w:rsidRPr="00B07530" w:rsidRDefault="00EF7D67" w:rsidP="00A52EC8">
            <w:pPr>
              <w:pStyle w:val="Akapitzlist"/>
              <w:numPr>
                <w:ilvl w:val="0"/>
                <w:numId w:val="18"/>
              </w:numPr>
              <w:jc w:val="both"/>
              <w:rPr>
                <w:color w:val="000000"/>
              </w:rPr>
            </w:pPr>
            <w:r>
              <w:rPr>
                <w:color w:val="000000"/>
              </w:rPr>
              <w:t>Kosztorys ofertowy</w:t>
            </w:r>
            <w:r w:rsidR="00A52EC8" w:rsidRPr="00B07530">
              <w:rPr>
                <w:color w:val="000000"/>
              </w:rPr>
              <w:t>;</w:t>
            </w:r>
          </w:p>
          <w:p w14:paraId="57F32C3E" w14:textId="77777777" w:rsidR="00A52EC8" w:rsidRPr="00B07530" w:rsidRDefault="00A52EC8" w:rsidP="00A52EC8">
            <w:pPr>
              <w:pStyle w:val="Akapitzlist"/>
              <w:numPr>
                <w:ilvl w:val="0"/>
                <w:numId w:val="18"/>
              </w:numPr>
              <w:jc w:val="both"/>
              <w:rPr>
                <w:color w:val="000000"/>
              </w:rPr>
            </w:pPr>
            <w:r w:rsidRPr="00B07530">
              <w:rPr>
                <w:color w:val="000000"/>
              </w:rPr>
              <w:t>dokumenty, z których wynika prawo do podpisania oferty; odpowiednie pełnomocnictwa (jeżeli dotyczy);</w:t>
            </w:r>
          </w:p>
          <w:p w14:paraId="26F53186" w14:textId="77777777" w:rsidR="00A52EC8" w:rsidRPr="00B07530" w:rsidRDefault="00A52EC8" w:rsidP="00A52EC8">
            <w:pPr>
              <w:pStyle w:val="Akapitzlist"/>
              <w:numPr>
                <w:ilvl w:val="0"/>
                <w:numId w:val="18"/>
              </w:numPr>
              <w:jc w:val="both"/>
              <w:rPr>
                <w:color w:val="000000"/>
              </w:rPr>
            </w:pPr>
            <w:r w:rsidRPr="00B07530">
              <w:rPr>
                <w:color w:val="000000"/>
              </w:rPr>
              <w:t>oświadczenie na podstawie art. 117 ust. 4 (jeżeli dotyczy tj. Konsorcja, Spółki cywilne)</w:t>
            </w:r>
          </w:p>
          <w:p w14:paraId="7F7AAA15" w14:textId="5BDA3B7E" w:rsidR="00A52EC8" w:rsidRPr="006C360A" w:rsidRDefault="00A52EC8" w:rsidP="00A52EC8">
            <w:pPr>
              <w:pStyle w:val="Akapitzlist"/>
              <w:ind w:left="720"/>
              <w:jc w:val="both"/>
              <w:rPr>
                <w:color w:val="000000"/>
              </w:rPr>
            </w:pPr>
          </w:p>
        </w:tc>
      </w:tr>
      <w:tr w:rsidR="00A52EC8" w:rsidRPr="00A639C4" w14:paraId="62B183E8" w14:textId="77777777" w:rsidTr="00A639C4">
        <w:tc>
          <w:tcPr>
            <w:tcW w:w="1384" w:type="dxa"/>
            <w:shd w:val="clear" w:color="auto" w:fill="BFBFBF" w:themeFill="background1" w:themeFillShade="BF"/>
          </w:tcPr>
          <w:p w14:paraId="5364FC06" w14:textId="77777777" w:rsidR="00A52EC8" w:rsidRPr="00A639C4" w:rsidRDefault="00A52EC8" w:rsidP="00A52EC8">
            <w:pPr>
              <w:tabs>
                <w:tab w:val="left" w:pos="408"/>
              </w:tabs>
              <w:jc w:val="center"/>
              <w:rPr>
                <w:b/>
              </w:rPr>
            </w:pPr>
            <w:r w:rsidRPr="00A639C4">
              <w:rPr>
                <w:b/>
              </w:rPr>
              <w:t>Pkt 17.1 IDW</w:t>
            </w:r>
          </w:p>
        </w:tc>
        <w:tc>
          <w:tcPr>
            <w:tcW w:w="7796" w:type="dxa"/>
            <w:shd w:val="clear" w:color="auto" w:fill="BFBFBF" w:themeFill="background1" w:themeFillShade="BF"/>
          </w:tcPr>
          <w:p w14:paraId="05DF4D9F" w14:textId="70FBCA70" w:rsidR="00A52EC8" w:rsidRPr="00A639C4" w:rsidRDefault="00A52EC8" w:rsidP="00A52EC8">
            <w:pPr>
              <w:rPr>
                <w:b/>
              </w:rPr>
            </w:pPr>
            <w:r w:rsidRPr="00A639C4">
              <w:rPr>
                <w:b/>
              </w:rPr>
              <w:t>Wymagania dotyczące wadium</w:t>
            </w:r>
          </w:p>
        </w:tc>
      </w:tr>
      <w:tr w:rsidR="00A52EC8" w:rsidRPr="00A639C4" w14:paraId="43ADAD82" w14:textId="77777777" w:rsidTr="00A639C4">
        <w:tc>
          <w:tcPr>
            <w:tcW w:w="1384" w:type="dxa"/>
            <w:tcBorders>
              <w:bottom w:val="single" w:sz="4" w:space="0" w:color="auto"/>
            </w:tcBorders>
            <w:shd w:val="clear" w:color="auto" w:fill="auto"/>
          </w:tcPr>
          <w:p w14:paraId="4F1E4F7F"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774746E4" w14:textId="77777777" w:rsidR="00EF7D67" w:rsidRDefault="00EF7D67" w:rsidP="00A52EC8">
            <w:pPr>
              <w:jc w:val="both"/>
            </w:pPr>
          </w:p>
          <w:p w14:paraId="04777EF6" w14:textId="77777777" w:rsidR="00A52EC8" w:rsidRDefault="00A52EC8" w:rsidP="00A52EC8">
            <w:pPr>
              <w:jc w:val="both"/>
            </w:pPr>
            <w:r w:rsidRPr="00A639C4">
              <w:t xml:space="preserve">Zamawiający </w:t>
            </w:r>
            <w:r w:rsidRPr="00A639C4">
              <w:rPr>
                <w:b/>
                <w:u w:val="single"/>
              </w:rPr>
              <w:t>nie przewiduje</w:t>
            </w:r>
            <w:r>
              <w:t xml:space="preserve"> obowiązku wniesienia wadium.</w:t>
            </w:r>
          </w:p>
          <w:p w14:paraId="1675E3B7" w14:textId="75B8A804" w:rsidR="00EF7D67" w:rsidRPr="006C360A" w:rsidRDefault="00EF7D67" w:rsidP="00A52EC8">
            <w:pPr>
              <w:jc w:val="both"/>
            </w:pPr>
          </w:p>
        </w:tc>
      </w:tr>
      <w:tr w:rsidR="00A52EC8" w:rsidRPr="00A639C4" w14:paraId="6383B0AB" w14:textId="77777777" w:rsidTr="00A639C4">
        <w:tc>
          <w:tcPr>
            <w:tcW w:w="1384" w:type="dxa"/>
            <w:shd w:val="clear" w:color="auto" w:fill="BFBFBF" w:themeFill="background1" w:themeFillShade="BF"/>
          </w:tcPr>
          <w:p w14:paraId="68B9A715" w14:textId="77777777" w:rsidR="00A52EC8" w:rsidRPr="00A639C4" w:rsidRDefault="00A52EC8" w:rsidP="00A52EC8">
            <w:pPr>
              <w:tabs>
                <w:tab w:val="left" w:pos="408"/>
              </w:tabs>
              <w:jc w:val="center"/>
              <w:rPr>
                <w:b/>
              </w:rPr>
            </w:pPr>
            <w:r w:rsidRPr="00A639C4">
              <w:rPr>
                <w:b/>
              </w:rPr>
              <w:t>Pkt 19.1 IDW</w:t>
            </w:r>
          </w:p>
          <w:p w14:paraId="3380D668" w14:textId="354BBE2D" w:rsidR="00A52EC8" w:rsidRPr="00A639C4" w:rsidRDefault="00A52EC8" w:rsidP="00A52EC8">
            <w:pPr>
              <w:tabs>
                <w:tab w:val="left" w:pos="408"/>
              </w:tabs>
              <w:jc w:val="center"/>
              <w:rPr>
                <w:b/>
              </w:rPr>
            </w:pPr>
            <w:r w:rsidRPr="00A639C4">
              <w:rPr>
                <w:b/>
              </w:rPr>
              <w:t>Pkt 19.2 IDW</w:t>
            </w:r>
          </w:p>
        </w:tc>
        <w:tc>
          <w:tcPr>
            <w:tcW w:w="7796" w:type="dxa"/>
            <w:shd w:val="clear" w:color="auto" w:fill="BFBFBF" w:themeFill="background1" w:themeFillShade="BF"/>
          </w:tcPr>
          <w:p w14:paraId="70AE230E" w14:textId="35CB8D41" w:rsidR="00A52EC8" w:rsidRPr="00A639C4" w:rsidRDefault="00A52EC8" w:rsidP="00A52EC8">
            <w:pPr>
              <w:tabs>
                <w:tab w:val="left" w:pos="408"/>
              </w:tabs>
              <w:rPr>
                <w:b/>
              </w:rPr>
            </w:pPr>
            <w:r w:rsidRPr="00A639C4">
              <w:rPr>
                <w:b/>
                <w:bCs/>
                <w:color w:val="000000"/>
              </w:rPr>
              <w:t>Termin składania i otwarcia ofert</w:t>
            </w:r>
          </w:p>
        </w:tc>
      </w:tr>
      <w:tr w:rsidR="00A52EC8" w:rsidRPr="00A639C4" w14:paraId="77F13A21" w14:textId="77777777" w:rsidTr="0075264D">
        <w:tc>
          <w:tcPr>
            <w:tcW w:w="1384" w:type="dxa"/>
            <w:shd w:val="clear" w:color="auto" w:fill="auto"/>
          </w:tcPr>
          <w:p w14:paraId="68896D38" w14:textId="77777777" w:rsidR="00A52EC8" w:rsidRPr="00A639C4" w:rsidRDefault="00A52EC8" w:rsidP="00A52EC8">
            <w:pPr>
              <w:tabs>
                <w:tab w:val="left" w:pos="408"/>
              </w:tabs>
              <w:jc w:val="center"/>
              <w:rPr>
                <w:b/>
              </w:rPr>
            </w:pPr>
          </w:p>
        </w:tc>
        <w:tc>
          <w:tcPr>
            <w:tcW w:w="7796" w:type="dxa"/>
            <w:shd w:val="clear" w:color="auto" w:fill="auto"/>
          </w:tcPr>
          <w:p w14:paraId="774E46A8" w14:textId="77777777" w:rsidR="00EF7D67" w:rsidRDefault="00EF7D67" w:rsidP="00A52EC8">
            <w:pPr>
              <w:widowControl/>
              <w:autoSpaceDE/>
              <w:autoSpaceDN/>
              <w:adjustRightInd/>
              <w:jc w:val="both"/>
              <w:rPr>
                <w:rFonts w:eastAsia="Calibri"/>
              </w:rPr>
            </w:pPr>
          </w:p>
          <w:p w14:paraId="5CF6C656" w14:textId="795BD5BF" w:rsidR="00A52EC8" w:rsidRDefault="00A52EC8" w:rsidP="00A52EC8">
            <w:pPr>
              <w:widowControl/>
              <w:autoSpaceDE/>
              <w:autoSpaceDN/>
              <w:adjustRightInd/>
              <w:jc w:val="both"/>
              <w:rPr>
                <w:b/>
              </w:rPr>
            </w:pPr>
            <w:r w:rsidRPr="00E619F6">
              <w:rPr>
                <w:rFonts w:eastAsia="Calibri"/>
              </w:rPr>
              <w:t xml:space="preserve">Termin składania ofert </w:t>
            </w:r>
            <w:r w:rsidR="003203A6" w:rsidRPr="003203A6">
              <w:rPr>
                <w:rFonts w:eastAsia="Calibri"/>
                <w:b/>
              </w:rPr>
              <w:t>0</w:t>
            </w:r>
            <w:r w:rsidR="00161D74">
              <w:rPr>
                <w:rFonts w:eastAsia="Calibri"/>
                <w:b/>
              </w:rPr>
              <w:t>6</w:t>
            </w:r>
            <w:r w:rsidR="003203A6" w:rsidRPr="003203A6">
              <w:rPr>
                <w:rFonts w:eastAsia="Calibri"/>
                <w:b/>
              </w:rPr>
              <w:t>.11</w:t>
            </w:r>
            <w:r w:rsidRPr="003203A6">
              <w:rPr>
                <w:b/>
              </w:rPr>
              <w:t>.</w:t>
            </w:r>
            <w:r w:rsidRPr="00E619F6">
              <w:rPr>
                <w:b/>
              </w:rPr>
              <w:t>2024</w:t>
            </w:r>
            <w:r w:rsidR="003203A6">
              <w:rPr>
                <w:b/>
              </w:rPr>
              <w:t>r.</w:t>
            </w:r>
            <w:r w:rsidRPr="00E619F6">
              <w:rPr>
                <w:b/>
              </w:rPr>
              <w:t xml:space="preserve"> do godziny </w:t>
            </w:r>
            <w:r w:rsidR="003203A6">
              <w:rPr>
                <w:b/>
              </w:rPr>
              <w:t>09:00</w:t>
            </w:r>
          </w:p>
          <w:p w14:paraId="10F98A14" w14:textId="77777777" w:rsidR="00EF7D67" w:rsidRPr="00E619F6" w:rsidRDefault="00EF7D67" w:rsidP="00A52EC8">
            <w:pPr>
              <w:widowControl/>
              <w:autoSpaceDE/>
              <w:autoSpaceDN/>
              <w:adjustRightInd/>
              <w:jc w:val="both"/>
            </w:pPr>
          </w:p>
          <w:p w14:paraId="0223B547" w14:textId="24E46D4D" w:rsidR="00A52EC8" w:rsidRDefault="00A52EC8" w:rsidP="00A52EC8">
            <w:pPr>
              <w:jc w:val="both"/>
              <w:rPr>
                <w:b/>
              </w:rPr>
            </w:pPr>
            <w:r w:rsidRPr="00E619F6">
              <w:rPr>
                <w:rFonts w:eastAsia="Calibri"/>
              </w:rPr>
              <w:t xml:space="preserve">Termin otwarcia ofert </w:t>
            </w:r>
            <w:r w:rsidR="003203A6">
              <w:rPr>
                <w:rFonts w:eastAsia="Calibri"/>
              </w:rPr>
              <w:t xml:space="preserve"> </w:t>
            </w:r>
            <w:r w:rsidR="003203A6" w:rsidRPr="003203A6">
              <w:rPr>
                <w:rFonts w:eastAsia="Calibri"/>
                <w:b/>
              </w:rPr>
              <w:t>0</w:t>
            </w:r>
            <w:r w:rsidR="00161D74">
              <w:rPr>
                <w:rFonts w:eastAsia="Calibri"/>
                <w:b/>
              </w:rPr>
              <w:t>6</w:t>
            </w:r>
            <w:r w:rsidR="003203A6" w:rsidRPr="003203A6">
              <w:rPr>
                <w:rFonts w:eastAsia="Calibri"/>
                <w:b/>
              </w:rPr>
              <w:t>.11</w:t>
            </w:r>
            <w:r w:rsidRPr="00E619F6">
              <w:rPr>
                <w:b/>
              </w:rPr>
              <w:t>.2024</w:t>
            </w:r>
            <w:r w:rsidR="003203A6">
              <w:rPr>
                <w:b/>
              </w:rPr>
              <w:t>r.</w:t>
            </w:r>
            <w:r w:rsidRPr="00E619F6">
              <w:rPr>
                <w:b/>
              </w:rPr>
              <w:t xml:space="preserve"> godzina </w:t>
            </w:r>
            <w:r w:rsidR="003203A6">
              <w:rPr>
                <w:b/>
              </w:rPr>
              <w:t>09:15</w:t>
            </w:r>
          </w:p>
          <w:p w14:paraId="5032DC3C" w14:textId="77777777" w:rsidR="00EF7D67" w:rsidRPr="00E619F6" w:rsidRDefault="00EF7D67" w:rsidP="00A52EC8">
            <w:pPr>
              <w:jc w:val="both"/>
            </w:pPr>
          </w:p>
          <w:p w14:paraId="7B2FE857" w14:textId="481288DB" w:rsidR="00A52EC8" w:rsidRPr="006C360A" w:rsidRDefault="00A52EC8" w:rsidP="00A52EC8">
            <w:pPr>
              <w:tabs>
                <w:tab w:val="left" w:pos="408"/>
              </w:tabs>
            </w:pPr>
            <w:r w:rsidRPr="00E619F6">
              <w:t xml:space="preserve">Ofertę należy złożyć na zasadach określonych w </w:t>
            </w:r>
            <w:proofErr w:type="spellStart"/>
            <w:r w:rsidRPr="00E619F6">
              <w:t>Pzp</w:t>
            </w:r>
            <w:proofErr w:type="spellEnd"/>
            <w:r w:rsidRPr="00E619F6">
              <w:t xml:space="preserve"> i SWZ.</w:t>
            </w:r>
          </w:p>
        </w:tc>
      </w:tr>
      <w:tr w:rsidR="00A52EC8" w:rsidRPr="00A639C4" w14:paraId="0F29E392" w14:textId="77777777" w:rsidTr="00A639C4">
        <w:tc>
          <w:tcPr>
            <w:tcW w:w="1384" w:type="dxa"/>
            <w:shd w:val="clear" w:color="auto" w:fill="BFBFBF" w:themeFill="background1" w:themeFillShade="BF"/>
          </w:tcPr>
          <w:p w14:paraId="78E63FBF" w14:textId="77777777" w:rsidR="00A52EC8" w:rsidRPr="00A639C4" w:rsidRDefault="00A52EC8" w:rsidP="00A52EC8">
            <w:pPr>
              <w:tabs>
                <w:tab w:val="left" w:pos="408"/>
              </w:tabs>
              <w:jc w:val="center"/>
              <w:rPr>
                <w:b/>
              </w:rPr>
            </w:pPr>
            <w:r w:rsidRPr="00A639C4">
              <w:rPr>
                <w:b/>
              </w:rPr>
              <w:lastRenderedPageBreak/>
              <w:t>Pkt 18.1 IDW</w:t>
            </w:r>
          </w:p>
        </w:tc>
        <w:tc>
          <w:tcPr>
            <w:tcW w:w="7796" w:type="dxa"/>
            <w:shd w:val="clear" w:color="auto" w:fill="BFBFBF" w:themeFill="background1" w:themeFillShade="BF"/>
          </w:tcPr>
          <w:p w14:paraId="34287554" w14:textId="77777777" w:rsidR="00A52EC8" w:rsidRPr="00E619F6" w:rsidRDefault="00A52EC8" w:rsidP="00A52EC8">
            <w:pPr>
              <w:tabs>
                <w:tab w:val="left" w:pos="408"/>
              </w:tabs>
              <w:rPr>
                <w:b/>
              </w:rPr>
            </w:pPr>
            <w:r w:rsidRPr="00E619F6">
              <w:rPr>
                <w:b/>
              </w:rPr>
              <w:t>Termin związania ofertą</w:t>
            </w:r>
          </w:p>
        </w:tc>
      </w:tr>
      <w:tr w:rsidR="00A52EC8" w:rsidRPr="00A639C4" w14:paraId="2C626DDD" w14:textId="77777777" w:rsidTr="00A639C4">
        <w:tc>
          <w:tcPr>
            <w:tcW w:w="1384" w:type="dxa"/>
            <w:tcBorders>
              <w:bottom w:val="single" w:sz="4" w:space="0" w:color="auto"/>
            </w:tcBorders>
            <w:shd w:val="clear" w:color="auto" w:fill="auto"/>
          </w:tcPr>
          <w:p w14:paraId="550C1987"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7E9CF146" w14:textId="77777777" w:rsidR="003203A6" w:rsidRDefault="003203A6" w:rsidP="00A52EC8">
            <w:pPr>
              <w:tabs>
                <w:tab w:val="left" w:pos="408"/>
              </w:tabs>
            </w:pPr>
          </w:p>
          <w:p w14:paraId="65E107A2" w14:textId="7C175C93" w:rsidR="00A52EC8" w:rsidRDefault="00A52EC8" w:rsidP="00A52EC8">
            <w:pPr>
              <w:tabs>
                <w:tab w:val="left" w:pos="408"/>
              </w:tabs>
            </w:pPr>
            <w:r w:rsidRPr="00E619F6">
              <w:t xml:space="preserve">Termin związania ofertą </w:t>
            </w:r>
            <w:r w:rsidR="003203A6" w:rsidRPr="003203A6">
              <w:rPr>
                <w:b/>
              </w:rPr>
              <w:t>0</w:t>
            </w:r>
            <w:r w:rsidR="00161D74">
              <w:rPr>
                <w:b/>
              </w:rPr>
              <w:t>5</w:t>
            </w:r>
            <w:r w:rsidR="003203A6" w:rsidRPr="003203A6">
              <w:rPr>
                <w:b/>
              </w:rPr>
              <w:t>.12</w:t>
            </w:r>
            <w:r w:rsidRPr="003203A6">
              <w:rPr>
                <w:b/>
                <w:bCs/>
              </w:rPr>
              <w:t>.</w:t>
            </w:r>
            <w:r w:rsidRPr="00E619F6">
              <w:rPr>
                <w:b/>
                <w:bCs/>
              </w:rPr>
              <w:t>2024r</w:t>
            </w:r>
            <w:r w:rsidRPr="00E619F6">
              <w:t>.</w:t>
            </w:r>
          </w:p>
          <w:p w14:paraId="51C92377" w14:textId="61BFCAC8" w:rsidR="003203A6" w:rsidRPr="00E619F6" w:rsidRDefault="003203A6" w:rsidP="00A52EC8">
            <w:pPr>
              <w:tabs>
                <w:tab w:val="left" w:pos="408"/>
              </w:tabs>
            </w:pPr>
          </w:p>
        </w:tc>
      </w:tr>
      <w:tr w:rsidR="00A52EC8" w:rsidRPr="00A639C4" w14:paraId="19C18581" w14:textId="77777777" w:rsidTr="00A639C4">
        <w:tc>
          <w:tcPr>
            <w:tcW w:w="1384" w:type="dxa"/>
            <w:shd w:val="clear" w:color="auto" w:fill="BFBFBF" w:themeFill="background1" w:themeFillShade="BF"/>
          </w:tcPr>
          <w:p w14:paraId="19725769" w14:textId="77777777" w:rsidR="00A52EC8" w:rsidRPr="00A639C4" w:rsidRDefault="00A52EC8" w:rsidP="00A52EC8">
            <w:pPr>
              <w:tabs>
                <w:tab w:val="left" w:pos="408"/>
              </w:tabs>
              <w:jc w:val="center"/>
              <w:rPr>
                <w:b/>
              </w:rPr>
            </w:pPr>
            <w:r w:rsidRPr="00A639C4">
              <w:rPr>
                <w:b/>
              </w:rPr>
              <w:t>Pkt 20.2 IDW</w:t>
            </w:r>
          </w:p>
        </w:tc>
        <w:tc>
          <w:tcPr>
            <w:tcW w:w="7796" w:type="dxa"/>
            <w:shd w:val="clear" w:color="auto" w:fill="BFBFBF" w:themeFill="background1" w:themeFillShade="BF"/>
          </w:tcPr>
          <w:p w14:paraId="7D21EE57" w14:textId="1B97F9B0" w:rsidR="00A52EC8" w:rsidRPr="00A639C4" w:rsidRDefault="00A52EC8" w:rsidP="00A52EC8">
            <w:pPr>
              <w:ind w:left="360"/>
              <w:jc w:val="center"/>
              <w:rPr>
                <w:b/>
                <w:bCs/>
                <w:color w:val="000000"/>
              </w:rPr>
            </w:pPr>
            <w:r w:rsidRPr="00A639C4">
              <w:rPr>
                <w:b/>
                <w:bCs/>
                <w:color w:val="000000"/>
              </w:rPr>
              <w:t>Opis kryteriów oceny ofert, wraz z podaniem wag tych kryteriów i sposobu oceny ofert</w:t>
            </w:r>
          </w:p>
        </w:tc>
      </w:tr>
      <w:tr w:rsidR="00A52EC8" w:rsidRPr="00A639C4" w14:paraId="5716D869" w14:textId="77777777" w:rsidTr="00A639C4">
        <w:tc>
          <w:tcPr>
            <w:tcW w:w="1384" w:type="dxa"/>
            <w:tcBorders>
              <w:bottom w:val="single" w:sz="4" w:space="0" w:color="auto"/>
            </w:tcBorders>
            <w:shd w:val="clear" w:color="auto" w:fill="auto"/>
          </w:tcPr>
          <w:p w14:paraId="302B701E"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078872CE" w14:textId="77777777" w:rsidR="00990C0B" w:rsidRPr="00990C0B" w:rsidRDefault="00990C0B" w:rsidP="00990C0B">
            <w:pPr>
              <w:widowControl/>
              <w:numPr>
                <w:ilvl w:val="0"/>
                <w:numId w:val="5"/>
              </w:numPr>
              <w:tabs>
                <w:tab w:val="clear" w:pos="1800"/>
              </w:tabs>
              <w:autoSpaceDE/>
              <w:autoSpaceDN/>
              <w:adjustRightInd/>
              <w:spacing w:before="120"/>
              <w:ind w:left="425" w:hanging="425"/>
              <w:jc w:val="both"/>
            </w:pPr>
            <w:r w:rsidRPr="00990C0B">
              <w:t>Przy wyborze najkorzystniejszej oferty Zamawiający będzie się kierował następującymi kryteriami oceny ofert:</w:t>
            </w:r>
          </w:p>
          <w:p w14:paraId="18A90F1F" w14:textId="77777777" w:rsidR="00990C0B" w:rsidRPr="00990C0B" w:rsidRDefault="00990C0B" w:rsidP="00990C0B">
            <w:pPr>
              <w:widowControl/>
              <w:autoSpaceDE/>
              <w:autoSpaceDN/>
              <w:adjustRightInd/>
              <w:spacing w:before="120"/>
              <w:ind w:left="425"/>
              <w:jc w:val="both"/>
            </w:pPr>
          </w:p>
          <w:p w14:paraId="28B5DA46" w14:textId="77777777" w:rsidR="00990C0B" w:rsidRDefault="00990C0B" w:rsidP="00990C0B">
            <w:pPr>
              <w:widowControl/>
              <w:numPr>
                <w:ilvl w:val="0"/>
                <w:numId w:val="25"/>
              </w:numPr>
              <w:autoSpaceDE/>
              <w:autoSpaceDN/>
              <w:adjustRightInd/>
            </w:pPr>
            <w:r w:rsidRPr="00990C0B">
              <w:rPr>
                <w:b/>
              </w:rPr>
              <w:t>Cena (C)</w:t>
            </w:r>
            <w:r w:rsidRPr="00990C0B">
              <w:t xml:space="preserve"> – waga kryterium 60 %;</w:t>
            </w:r>
          </w:p>
          <w:p w14:paraId="03FF5C02" w14:textId="77777777" w:rsidR="00990C0B" w:rsidRPr="00990C0B" w:rsidRDefault="00990C0B" w:rsidP="00990C0B">
            <w:pPr>
              <w:widowControl/>
              <w:autoSpaceDE/>
              <w:autoSpaceDN/>
              <w:adjustRightInd/>
              <w:ind w:left="1800"/>
            </w:pPr>
          </w:p>
          <w:p w14:paraId="3FC947D1" w14:textId="77777777" w:rsidR="00EF7D67" w:rsidRDefault="00EF7D67" w:rsidP="00EF7D67">
            <w:pPr>
              <w:pStyle w:val="Akapitzlist"/>
              <w:numPr>
                <w:ilvl w:val="0"/>
                <w:numId w:val="25"/>
              </w:numPr>
              <w:rPr>
                <w:b/>
              </w:rPr>
            </w:pPr>
            <w:r w:rsidRPr="00EF7D67">
              <w:rPr>
                <w:b/>
              </w:rPr>
              <w:t xml:space="preserve">Czas reakcji  (CR) - przystąpienia do realizacji zamówienia </w:t>
            </w:r>
          </w:p>
          <w:p w14:paraId="2D49D1B8" w14:textId="469B6956" w:rsidR="00990C0B" w:rsidRPr="00990C0B" w:rsidRDefault="00EF7D67" w:rsidP="00EF7D67">
            <w:pPr>
              <w:pStyle w:val="Akapitzlist"/>
              <w:ind w:left="1800"/>
            </w:pPr>
            <w:r w:rsidRPr="00EF7D67">
              <w:rPr>
                <w:b/>
              </w:rPr>
              <w:t xml:space="preserve"> – </w:t>
            </w:r>
            <w:r>
              <w:t>waga kryterium 40 %</w:t>
            </w:r>
          </w:p>
          <w:p w14:paraId="15BBE496" w14:textId="45DC8130" w:rsidR="00990C0B" w:rsidRPr="00990C0B" w:rsidRDefault="00990C0B" w:rsidP="00990C0B">
            <w:pPr>
              <w:widowControl/>
              <w:autoSpaceDE/>
              <w:autoSpaceDN/>
              <w:adjustRightInd/>
              <w:spacing w:before="240"/>
              <w:jc w:val="both"/>
            </w:pPr>
            <w:r>
              <w:t xml:space="preserve">      </w:t>
            </w:r>
            <w:r w:rsidRPr="00990C0B">
              <w:rPr>
                <w:b/>
              </w:rPr>
              <w:t>1)</w:t>
            </w:r>
            <w:r>
              <w:t xml:space="preserve"> </w:t>
            </w:r>
            <w:r w:rsidRPr="00990C0B">
              <w:tab/>
              <w:t>Zasady oceny ofert w poszczególnych kryteriach:</w:t>
            </w:r>
          </w:p>
          <w:p w14:paraId="3EF29A44" w14:textId="5324E108" w:rsidR="00990C0B" w:rsidRPr="00990C0B" w:rsidRDefault="00990C0B" w:rsidP="00EF7D67">
            <w:pPr>
              <w:widowControl/>
              <w:autoSpaceDE/>
              <w:autoSpaceDN/>
              <w:adjustRightInd/>
              <w:spacing w:before="240"/>
              <w:ind w:left="720"/>
              <w:contextualSpacing/>
              <w:jc w:val="both"/>
              <w:rPr>
                <w:b/>
              </w:rPr>
            </w:pPr>
            <w:r w:rsidRPr="00990C0B">
              <w:rPr>
                <w:b/>
              </w:rPr>
              <w:t>Cena (C) – waga kryterium 60 %</w:t>
            </w:r>
          </w:p>
          <w:p w14:paraId="160AFB8A" w14:textId="7C14FEDD" w:rsidR="00990C0B" w:rsidRPr="00990C0B" w:rsidRDefault="00990C0B" w:rsidP="00990C0B">
            <w:pPr>
              <w:spacing w:before="240"/>
              <w:ind w:left="1452"/>
              <w:rPr>
                <w:b/>
              </w:rPr>
            </w:pPr>
            <w:r w:rsidRPr="00990C0B">
              <w:rPr>
                <w:b/>
              </w:rPr>
              <w:t xml:space="preserve">Cena najniższa brutto </w:t>
            </w:r>
            <w:r w:rsidRPr="00990C0B">
              <w:rPr>
                <w:b/>
              </w:rPr>
              <w:br/>
              <w:t xml:space="preserve">spośród wszystkich złożonych ofert </w:t>
            </w:r>
            <w:r w:rsidRPr="00990C0B">
              <w:rPr>
                <w:b/>
              </w:rPr>
              <w:br/>
              <w:t>niepodlegających odrzuceniu</w:t>
            </w:r>
          </w:p>
          <w:p w14:paraId="3E60ABE2" w14:textId="77777777" w:rsidR="00990C0B" w:rsidRPr="00990C0B" w:rsidRDefault="00990C0B" w:rsidP="00990C0B">
            <w:pPr>
              <w:ind w:left="1080"/>
              <w:jc w:val="both"/>
            </w:pPr>
            <w:r w:rsidRPr="00990C0B">
              <w:rPr>
                <w:b/>
              </w:rPr>
              <w:t>C =</w:t>
            </w:r>
            <w:r w:rsidRPr="00990C0B">
              <w:t xml:space="preserve"> </w:t>
            </w:r>
            <w:r w:rsidRPr="00990C0B">
              <w:rPr>
                <w:strike/>
              </w:rPr>
              <w:t xml:space="preserve">------------------------------------------------ </w:t>
            </w:r>
            <w:r w:rsidRPr="00990C0B">
              <w:t xml:space="preserve">  </w:t>
            </w:r>
            <w:r w:rsidRPr="00990C0B">
              <w:rPr>
                <w:b/>
              </w:rPr>
              <w:t>x 100 pkt x 60 %</w:t>
            </w:r>
          </w:p>
          <w:p w14:paraId="1DAED346" w14:textId="77777777" w:rsidR="00990C0B" w:rsidRPr="00990C0B" w:rsidRDefault="00990C0B" w:rsidP="00990C0B">
            <w:pPr>
              <w:ind w:left="1452"/>
              <w:jc w:val="both"/>
              <w:rPr>
                <w:b/>
              </w:rPr>
            </w:pPr>
            <w:r w:rsidRPr="00990C0B">
              <w:rPr>
                <w:b/>
              </w:rPr>
              <w:t>cena oferty ocenianej brutto</w:t>
            </w:r>
          </w:p>
          <w:p w14:paraId="56EBD38F" w14:textId="77777777" w:rsidR="00990C0B" w:rsidRPr="00990C0B" w:rsidRDefault="00990C0B" w:rsidP="00990C0B">
            <w:pPr>
              <w:widowControl/>
              <w:autoSpaceDE/>
              <w:autoSpaceDN/>
              <w:adjustRightInd/>
              <w:spacing w:before="240"/>
              <w:contextualSpacing/>
              <w:jc w:val="both"/>
            </w:pPr>
            <w:r w:rsidRPr="00990C0B">
              <w:t>Podstawą przyznania punktów w kryterium „cena” będzie cena ofertowa brutto podana przez Wykonawcę w Formularzu Ofertowym.</w:t>
            </w:r>
          </w:p>
          <w:p w14:paraId="36C4F667" w14:textId="4D68B419" w:rsidR="005D1AAE" w:rsidRDefault="00990C0B" w:rsidP="00990C0B">
            <w:pPr>
              <w:widowControl/>
              <w:autoSpaceDE/>
              <w:autoSpaceDN/>
              <w:adjustRightInd/>
              <w:contextualSpacing/>
              <w:jc w:val="both"/>
            </w:pPr>
            <w:r w:rsidRPr="00990C0B">
              <w:t>Cena ofertowa brutto musi uwzględniać wszelkie koszty jakie Wykonawca poniesie w związku z realizacją przedmiotu zamówienia.</w:t>
            </w:r>
          </w:p>
          <w:p w14:paraId="1232C9AD" w14:textId="3754DB2A" w:rsidR="005D1AAE" w:rsidRPr="00832C70" w:rsidRDefault="00990C0B" w:rsidP="00990C0B">
            <w:pPr>
              <w:widowControl/>
              <w:autoSpaceDE/>
              <w:autoSpaceDN/>
              <w:adjustRightInd/>
              <w:ind w:left="426"/>
              <w:contextualSpacing/>
            </w:pPr>
            <w:r>
              <w:t xml:space="preserve">         </w:t>
            </w:r>
          </w:p>
          <w:p w14:paraId="40BB8DAD" w14:textId="77777777" w:rsidR="00EF7D67" w:rsidRDefault="005D1AAE" w:rsidP="00A52EC8">
            <w:pPr>
              <w:widowControl/>
              <w:autoSpaceDE/>
              <w:autoSpaceDN/>
              <w:adjustRightInd/>
              <w:rPr>
                <w:b/>
              </w:rPr>
            </w:pPr>
            <w:r>
              <w:rPr>
                <w:b/>
              </w:rPr>
              <w:t xml:space="preserve">   </w:t>
            </w:r>
            <w:r w:rsidR="00990C0B">
              <w:rPr>
                <w:b/>
              </w:rPr>
              <w:t xml:space="preserve">  2) </w:t>
            </w:r>
            <w:r>
              <w:rPr>
                <w:b/>
              </w:rPr>
              <w:t xml:space="preserve"> </w:t>
            </w:r>
            <w:r w:rsidR="00EF7D67">
              <w:t xml:space="preserve"> </w:t>
            </w:r>
            <w:r w:rsidR="00EF7D67" w:rsidRPr="00EF7D67">
              <w:rPr>
                <w:b/>
              </w:rPr>
              <w:t xml:space="preserve">Czas reakcji  (CR) - przystąpienia do realizacji zamówienia  </w:t>
            </w:r>
          </w:p>
          <w:p w14:paraId="03F8C435" w14:textId="37E78A01" w:rsidR="00A52EC8" w:rsidRPr="00CB70BB" w:rsidRDefault="00EF7D67" w:rsidP="00A52EC8">
            <w:pPr>
              <w:widowControl/>
              <w:autoSpaceDE/>
              <w:autoSpaceDN/>
              <w:adjustRightInd/>
              <w:rPr>
                <w:b/>
              </w:rPr>
            </w:pPr>
            <w:r>
              <w:rPr>
                <w:b/>
              </w:rPr>
              <w:t xml:space="preserve">            </w:t>
            </w:r>
            <w:r w:rsidRPr="00EF7D67">
              <w:rPr>
                <w:b/>
              </w:rPr>
              <w:t>– waga kryterium 40 %.</w:t>
            </w:r>
            <w:r w:rsidR="00A52EC8" w:rsidRPr="005D1AAE">
              <w:rPr>
                <w:b/>
              </w:rPr>
              <w:t xml:space="preserve">  </w:t>
            </w:r>
          </w:p>
          <w:p w14:paraId="798BE550" w14:textId="0F059AC6" w:rsidR="00A52EC8" w:rsidRDefault="005D1AAE" w:rsidP="005D1AAE">
            <w:pPr>
              <w:widowControl/>
              <w:autoSpaceDE/>
              <w:autoSpaceDN/>
              <w:adjustRightInd/>
            </w:pPr>
            <w:r>
              <w:t xml:space="preserve">           </w:t>
            </w:r>
            <w:r w:rsidR="00A52EC8" w:rsidRPr="000E368E">
              <w:t>Zasady oceny ofert w poszczególnych kryteriach:</w:t>
            </w:r>
          </w:p>
          <w:p w14:paraId="05B4E66E" w14:textId="553EE5B9" w:rsidR="00A52EC8" w:rsidRPr="000E368E" w:rsidRDefault="005D1AAE" w:rsidP="00A52EC8">
            <w:pPr>
              <w:pStyle w:val="ZTIRPKTzmpkttiret"/>
              <w:spacing w:line="276" w:lineRule="auto"/>
              <w:ind w:left="0" w:firstLine="0"/>
              <w:rPr>
                <w:rFonts w:ascii="Arial" w:hAnsi="Arial"/>
                <w:sz w:val="20"/>
              </w:rPr>
            </w:pPr>
            <w:r>
              <w:rPr>
                <w:rFonts w:ascii="Arial" w:hAnsi="Arial"/>
                <w:sz w:val="20"/>
              </w:rPr>
              <w:t xml:space="preserve">           </w:t>
            </w:r>
            <w:r w:rsidR="00A52EC8" w:rsidRPr="000E368E">
              <w:rPr>
                <w:rFonts w:ascii="Arial" w:hAnsi="Arial"/>
                <w:sz w:val="20"/>
              </w:rPr>
              <w:t>Opis sposobu obliczenia punktów:</w:t>
            </w:r>
          </w:p>
          <w:p w14:paraId="07F8BB31" w14:textId="02237621" w:rsidR="00A52EC8" w:rsidRPr="000E368E" w:rsidRDefault="005D1AAE" w:rsidP="00A52EC8">
            <w:pPr>
              <w:jc w:val="both"/>
            </w:pPr>
            <w:r>
              <w:t xml:space="preserve">           </w:t>
            </w:r>
            <w:r w:rsidR="00A52EC8" w:rsidRPr="000E368E">
              <w:t>W tym kryterium zostanie przyznana następująca liczba punktów:</w:t>
            </w:r>
          </w:p>
          <w:tbl>
            <w:tblPr>
              <w:tblpPr w:leftFromText="141" w:rightFromText="141" w:vertAnchor="text" w:horzAnchor="margin" w:tblpXSpec="center" w:tblpY="494"/>
              <w:tblOverlap w:val="never"/>
              <w:tblW w:w="6650" w:type="dxa"/>
              <w:tblLayout w:type="fixed"/>
              <w:tblCellMar>
                <w:left w:w="0" w:type="dxa"/>
                <w:right w:w="0" w:type="dxa"/>
              </w:tblCellMar>
              <w:tblLook w:val="04A0" w:firstRow="1" w:lastRow="0" w:firstColumn="1" w:lastColumn="0" w:noHBand="0" w:noVBand="1"/>
            </w:tblPr>
            <w:tblGrid>
              <w:gridCol w:w="1011"/>
              <w:gridCol w:w="4414"/>
              <w:gridCol w:w="1225"/>
            </w:tblGrid>
            <w:tr w:rsidR="00EF7D67" w14:paraId="5A5F4E34" w14:textId="77777777" w:rsidTr="00EF7D67">
              <w:trPr>
                <w:trHeight w:val="300"/>
              </w:trPr>
              <w:tc>
                <w:tcPr>
                  <w:tcW w:w="101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5914965" w14:textId="77777777" w:rsidR="00EF7D67" w:rsidRDefault="00EF7D67" w:rsidP="00EF7D67">
                  <w:pPr>
                    <w:spacing w:line="276" w:lineRule="auto"/>
                    <w:jc w:val="center"/>
                    <w:rPr>
                      <w:b/>
                      <w:bCs/>
                    </w:rPr>
                  </w:pPr>
                  <w:r>
                    <w:rPr>
                      <w:b/>
                      <w:bCs/>
                    </w:rPr>
                    <w:t>Lp.</w:t>
                  </w:r>
                </w:p>
              </w:tc>
              <w:tc>
                <w:tcPr>
                  <w:tcW w:w="441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B9AC3D" w14:textId="77777777" w:rsidR="00EF7D67" w:rsidRDefault="00EF7D67" w:rsidP="00EF7D67">
                  <w:pPr>
                    <w:spacing w:line="276" w:lineRule="auto"/>
                    <w:jc w:val="center"/>
                    <w:rPr>
                      <w:b/>
                      <w:bCs/>
                      <w:sz w:val="22"/>
                      <w:szCs w:val="22"/>
                    </w:rPr>
                  </w:pPr>
                  <w:r>
                    <w:rPr>
                      <w:b/>
                      <w:bCs/>
                    </w:rPr>
                    <w:t>Termin realizacji</w:t>
                  </w:r>
                </w:p>
              </w:tc>
              <w:tc>
                <w:tcPr>
                  <w:tcW w:w="122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B118670" w14:textId="77777777" w:rsidR="00EF7D67" w:rsidRDefault="00EF7D67" w:rsidP="00EF7D67">
                  <w:pPr>
                    <w:spacing w:line="276" w:lineRule="auto"/>
                    <w:jc w:val="center"/>
                    <w:rPr>
                      <w:b/>
                      <w:bCs/>
                    </w:rPr>
                  </w:pPr>
                  <w:r>
                    <w:rPr>
                      <w:b/>
                      <w:bCs/>
                    </w:rPr>
                    <w:t>punkty</w:t>
                  </w:r>
                </w:p>
              </w:tc>
            </w:tr>
            <w:tr w:rsidR="00EF7D67" w14:paraId="70714979" w14:textId="77777777" w:rsidTr="00EF7D67">
              <w:trPr>
                <w:trHeight w:val="300"/>
              </w:trPr>
              <w:tc>
                <w:tcPr>
                  <w:tcW w:w="101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4800BA" w14:textId="77777777" w:rsidR="00EF7D67" w:rsidRDefault="00EF7D67" w:rsidP="00EF7D67">
                  <w:pPr>
                    <w:spacing w:line="276" w:lineRule="auto"/>
                    <w:jc w:val="center"/>
                  </w:pPr>
                  <w:r>
                    <w:t>1.</w:t>
                  </w:r>
                </w:p>
              </w:tc>
              <w:tc>
                <w:tcPr>
                  <w:tcW w:w="44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509F43" w14:textId="77777777" w:rsidR="00EF7D67" w:rsidRDefault="00EF7D67" w:rsidP="00EF7D67">
                  <w:pPr>
                    <w:spacing w:line="276" w:lineRule="auto"/>
                    <w:jc w:val="center"/>
                    <w:rPr>
                      <w:b/>
                      <w:bCs/>
                    </w:rPr>
                  </w:pPr>
                  <w:r w:rsidRPr="004477D8">
                    <w:rPr>
                      <w:b/>
                      <w:bCs/>
                    </w:rPr>
                    <w:t>17-24 godz</w:t>
                  </w:r>
                  <w:r w:rsidRPr="004477D8">
                    <w:rPr>
                      <w:bCs/>
                    </w:rPr>
                    <w:t xml:space="preserve">. od powiadomienia, zlecenia </w:t>
                  </w:r>
                  <w:r>
                    <w:rPr>
                      <w:bCs/>
                    </w:rPr>
                    <w:t xml:space="preserve">sms lub </w:t>
                  </w:r>
                  <w:r w:rsidRPr="004477D8">
                    <w:rPr>
                      <w:bCs/>
                    </w:rPr>
                    <w:t>telefonicznie, e-mailem, pocztą</w:t>
                  </w:r>
                  <w:r>
                    <w:rPr>
                      <w:bCs/>
                    </w:rPr>
                    <w:t>, e-</w:t>
                  </w:r>
                  <w:proofErr w:type="spellStart"/>
                  <w:r>
                    <w:rPr>
                      <w:bCs/>
                    </w:rPr>
                    <w:t>puap</w:t>
                  </w:r>
                  <w:proofErr w:type="spellEnd"/>
                </w:p>
              </w:tc>
              <w:tc>
                <w:tcPr>
                  <w:tcW w:w="122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DFA8FF3" w14:textId="77777777" w:rsidR="00EF7D67" w:rsidRDefault="00EF7D67" w:rsidP="00EF7D67">
                  <w:pPr>
                    <w:spacing w:line="276" w:lineRule="auto"/>
                    <w:jc w:val="center"/>
                  </w:pPr>
                  <w:r>
                    <w:t>0 pkt.</w:t>
                  </w:r>
                </w:p>
              </w:tc>
            </w:tr>
            <w:tr w:rsidR="00EF7D67" w14:paraId="02E3E7A3" w14:textId="77777777" w:rsidTr="00EF7D67">
              <w:trPr>
                <w:trHeight w:val="300"/>
              </w:trPr>
              <w:tc>
                <w:tcPr>
                  <w:tcW w:w="101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1C8BE3" w14:textId="77777777" w:rsidR="00EF7D67" w:rsidRDefault="00EF7D67" w:rsidP="00EF7D67">
                  <w:pPr>
                    <w:spacing w:line="276" w:lineRule="auto"/>
                    <w:jc w:val="center"/>
                  </w:pPr>
                  <w:r>
                    <w:t>2.</w:t>
                  </w:r>
                </w:p>
              </w:tc>
              <w:tc>
                <w:tcPr>
                  <w:tcW w:w="44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2F50B7" w14:textId="77777777" w:rsidR="00EF7D67" w:rsidRDefault="00EF7D67" w:rsidP="00EF7D67">
                  <w:pPr>
                    <w:spacing w:line="276" w:lineRule="auto"/>
                    <w:jc w:val="center"/>
                    <w:rPr>
                      <w:b/>
                      <w:bCs/>
                    </w:rPr>
                  </w:pPr>
                  <w:r w:rsidRPr="004477D8">
                    <w:rPr>
                      <w:b/>
                      <w:bCs/>
                    </w:rPr>
                    <w:t>16 godz. i mniej</w:t>
                  </w:r>
                  <w:r w:rsidRPr="004477D8">
                    <w:rPr>
                      <w:bCs/>
                    </w:rPr>
                    <w:t xml:space="preserve"> </w:t>
                  </w:r>
                  <w:r w:rsidRPr="004477D8">
                    <w:t xml:space="preserve"> </w:t>
                  </w:r>
                  <w:r w:rsidRPr="004477D8">
                    <w:rPr>
                      <w:bCs/>
                    </w:rPr>
                    <w:t xml:space="preserve">od powiadomienia, </w:t>
                  </w:r>
                  <w:r w:rsidRPr="006E04E6">
                    <w:rPr>
                      <w:bCs/>
                    </w:rPr>
                    <w:t>zlecenia sms lub telefonicznie, e-mailem, pocztą, e-</w:t>
                  </w:r>
                  <w:proofErr w:type="spellStart"/>
                  <w:r w:rsidRPr="006E04E6">
                    <w:rPr>
                      <w:bCs/>
                    </w:rPr>
                    <w:t>puap</w:t>
                  </w:r>
                  <w:proofErr w:type="spellEnd"/>
                </w:p>
              </w:tc>
              <w:tc>
                <w:tcPr>
                  <w:tcW w:w="122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860BB" w14:textId="77777777" w:rsidR="00EF7D67" w:rsidRDefault="00EF7D67" w:rsidP="00EF7D67">
                  <w:pPr>
                    <w:spacing w:line="276" w:lineRule="auto"/>
                    <w:jc w:val="center"/>
                  </w:pPr>
                  <w:r>
                    <w:t>40 pkt.</w:t>
                  </w:r>
                </w:p>
              </w:tc>
            </w:tr>
          </w:tbl>
          <w:p w14:paraId="0F700259" w14:textId="712BB2FF" w:rsidR="00A52EC8" w:rsidRPr="00FD251C" w:rsidRDefault="00A52EC8" w:rsidP="005D1AAE">
            <w:pPr>
              <w:widowControl/>
              <w:autoSpaceDE/>
              <w:autoSpaceDN/>
              <w:adjustRightInd/>
              <w:contextualSpacing/>
              <w:jc w:val="both"/>
            </w:pPr>
          </w:p>
        </w:tc>
      </w:tr>
      <w:tr w:rsidR="00A52EC8" w:rsidRPr="00A639C4" w14:paraId="4AD9CE2B" w14:textId="77777777" w:rsidTr="00A639C4">
        <w:tc>
          <w:tcPr>
            <w:tcW w:w="1384" w:type="dxa"/>
            <w:shd w:val="clear" w:color="auto" w:fill="BFBFBF" w:themeFill="background1" w:themeFillShade="BF"/>
          </w:tcPr>
          <w:p w14:paraId="22792A4F" w14:textId="77777777" w:rsidR="00A52EC8" w:rsidRPr="00A639C4" w:rsidRDefault="00A52EC8" w:rsidP="00A52EC8">
            <w:pPr>
              <w:tabs>
                <w:tab w:val="left" w:pos="408"/>
              </w:tabs>
              <w:jc w:val="center"/>
              <w:rPr>
                <w:b/>
              </w:rPr>
            </w:pPr>
            <w:r w:rsidRPr="00A639C4">
              <w:rPr>
                <w:b/>
              </w:rPr>
              <w:t>Pkt 22.1 IDW</w:t>
            </w:r>
          </w:p>
        </w:tc>
        <w:tc>
          <w:tcPr>
            <w:tcW w:w="7796" w:type="dxa"/>
            <w:shd w:val="clear" w:color="auto" w:fill="BFBFBF" w:themeFill="background1" w:themeFillShade="BF"/>
          </w:tcPr>
          <w:p w14:paraId="752FEE67" w14:textId="601D41E4" w:rsidR="00A52EC8" w:rsidRPr="00A639C4" w:rsidRDefault="00A52EC8" w:rsidP="00A52EC8">
            <w:pPr>
              <w:rPr>
                <w:b/>
                <w:color w:val="000000"/>
              </w:rPr>
            </w:pPr>
            <w:r w:rsidRPr="00A639C4">
              <w:rPr>
                <w:b/>
                <w:color w:val="000000"/>
              </w:rPr>
              <w:t>Zabezpieczenie należytego wykonania umowy</w:t>
            </w:r>
          </w:p>
        </w:tc>
      </w:tr>
      <w:tr w:rsidR="00A52EC8" w:rsidRPr="00A639C4" w14:paraId="3E502C15" w14:textId="77777777" w:rsidTr="00A639C4">
        <w:tc>
          <w:tcPr>
            <w:tcW w:w="1384" w:type="dxa"/>
            <w:tcBorders>
              <w:bottom w:val="single" w:sz="4" w:space="0" w:color="auto"/>
            </w:tcBorders>
            <w:shd w:val="clear" w:color="auto" w:fill="auto"/>
          </w:tcPr>
          <w:p w14:paraId="20C71F11" w14:textId="77777777" w:rsidR="00A52EC8" w:rsidRPr="00A639C4" w:rsidRDefault="00A52EC8" w:rsidP="00A52EC8">
            <w:pPr>
              <w:tabs>
                <w:tab w:val="left" w:pos="408"/>
              </w:tabs>
              <w:jc w:val="center"/>
              <w:rPr>
                <w:b/>
              </w:rPr>
            </w:pPr>
          </w:p>
        </w:tc>
        <w:tc>
          <w:tcPr>
            <w:tcW w:w="7796" w:type="dxa"/>
            <w:tcBorders>
              <w:bottom w:val="single" w:sz="4" w:space="0" w:color="auto"/>
            </w:tcBorders>
            <w:shd w:val="clear" w:color="auto" w:fill="auto"/>
          </w:tcPr>
          <w:p w14:paraId="0F3BBDAA" w14:textId="77777777" w:rsidR="00A52EC8" w:rsidRDefault="00A52EC8" w:rsidP="00A52EC8">
            <w:pPr>
              <w:jc w:val="both"/>
            </w:pPr>
          </w:p>
          <w:p w14:paraId="01E7D1D1" w14:textId="77777777" w:rsidR="00A52EC8" w:rsidRPr="006B1DF3" w:rsidRDefault="00A52EC8" w:rsidP="00A52EC8">
            <w:pPr>
              <w:jc w:val="both"/>
            </w:pPr>
            <w:r w:rsidRPr="006B1DF3">
              <w:t xml:space="preserve">Zamawiający </w:t>
            </w:r>
            <w:r w:rsidRPr="006B1DF3">
              <w:rPr>
                <w:b/>
                <w:u w:val="single"/>
              </w:rPr>
              <w:t>nie przewiduje obowiązku wniesienia zabezpieczenia</w:t>
            </w:r>
            <w:r w:rsidRPr="006B1DF3">
              <w:t xml:space="preserve"> należytego wykonania umowy</w:t>
            </w:r>
            <w:r>
              <w:t>.</w:t>
            </w:r>
          </w:p>
          <w:p w14:paraId="6FEBA61A" w14:textId="477EB639" w:rsidR="00A52EC8" w:rsidRPr="00A639C4" w:rsidRDefault="00A52EC8" w:rsidP="00A52EC8">
            <w:pPr>
              <w:jc w:val="both"/>
              <w:rPr>
                <w:b/>
              </w:rPr>
            </w:pPr>
          </w:p>
        </w:tc>
      </w:tr>
      <w:tr w:rsidR="00A52EC8" w:rsidRPr="00A639C4" w14:paraId="0579EB5D" w14:textId="77777777" w:rsidTr="00A639C4">
        <w:tc>
          <w:tcPr>
            <w:tcW w:w="1384" w:type="dxa"/>
            <w:shd w:val="clear" w:color="auto" w:fill="BFBFBF" w:themeFill="background1" w:themeFillShade="BF"/>
          </w:tcPr>
          <w:p w14:paraId="24B7E631" w14:textId="77777777" w:rsidR="00A52EC8" w:rsidRPr="00A639C4" w:rsidRDefault="00A52EC8" w:rsidP="00A52EC8">
            <w:pPr>
              <w:tabs>
                <w:tab w:val="left" w:pos="408"/>
              </w:tabs>
              <w:jc w:val="center"/>
              <w:rPr>
                <w:b/>
              </w:rPr>
            </w:pPr>
            <w:r w:rsidRPr="00A639C4">
              <w:rPr>
                <w:b/>
              </w:rPr>
              <w:t>Pkt 23.3 IDW</w:t>
            </w:r>
          </w:p>
        </w:tc>
        <w:tc>
          <w:tcPr>
            <w:tcW w:w="7796" w:type="dxa"/>
            <w:shd w:val="clear" w:color="auto" w:fill="BFBFBF" w:themeFill="background1" w:themeFillShade="BF"/>
          </w:tcPr>
          <w:p w14:paraId="1F5B1D26" w14:textId="27E8E538" w:rsidR="00A52EC8" w:rsidRPr="00A639C4" w:rsidRDefault="00A52EC8" w:rsidP="00A52EC8">
            <w:pPr>
              <w:rPr>
                <w:b/>
                <w:color w:val="000000"/>
              </w:rPr>
            </w:pPr>
            <w:r w:rsidRPr="00A639C4">
              <w:rPr>
                <w:b/>
                <w:color w:val="000000"/>
              </w:rPr>
              <w:t>Informacje o treści zawieranej umowy oraz możliwości jej zmiany</w:t>
            </w:r>
          </w:p>
        </w:tc>
      </w:tr>
      <w:tr w:rsidR="00A52EC8" w:rsidRPr="00A639C4" w14:paraId="523E0016" w14:textId="77777777" w:rsidTr="00A639C4">
        <w:tc>
          <w:tcPr>
            <w:tcW w:w="1384" w:type="dxa"/>
            <w:shd w:val="clear" w:color="auto" w:fill="auto"/>
          </w:tcPr>
          <w:p w14:paraId="3146F6DF" w14:textId="77777777" w:rsidR="00A52EC8" w:rsidRPr="00A639C4" w:rsidRDefault="00A52EC8" w:rsidP="00A52EC8">
            <w:pPr>
              <w:tabs>
                <w:tab w:val="left" w:pos="408"/>
              </w:tabs>
              <w:rPr>
                <w:b/>
              </w:rPr>
            </w:pPr>
          </w:p>
        </w:tc>
        <w:tc>
          <w:tcPr>
            <w:tcW w:w="7796" w:type="dxa"/>
            <w:shd w:val="clear" w:color="auto" w:fill="auto"/>
          </w:tcPr>
          <w:p w14:paraId="1929B584" w14:textId="77777777" w:rsidR="00A52EC8" w:rsidRDefault="00A52EC8" w:rsidP="00A52EC8">
            <w:pPr>
              <w:tabs>
                <w:tab w:val="left" w:pos="408"/>
              </w:tabs>
              <w:jc w:val="both"/>
            </w:pPr>
          </w:p>
          <w:p w14:paraId="0F0DE236" w14:textId="6E2B9616" w:rsidR="00A52EC8" w:rsidRPr="00A639C4" w:rsidRDefault="00A52EC8" w:rsidP="00A52EC8">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w:t>
            </w:r>
            <w:r w:rsidRPr="00A639C4">
              <w:lastRenderedPageBreak/>
              <w:t xml:space="preserve">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 xml:space="preserve">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593C6AFC" w:rsidR="00A52EC8" w:rsidRPr="00A639C4" w:rsidRDefault="00A52EC8" w:rsidP="00A52EC8">
            <w:pPr>
              <w:tabs>
                <w:tab w:val="left" w:pos="408"/>
              </w:tabs>
              <w:rPr>
                <w:b/>
              </w:rPr>
            </w:pPr>
          </w:p>
        </w:tc>
      </w:tr>
      <w:tr w:rsidR="00A52EC8" w:rsidRPr="00A639C4" w14:paraId="51138BCA" w14:textId="77777777" w:rsidTr="00A639C4">
        <w:tc>
          <w:tcPr>
            <w:tcW w:w="1384" w:type="dxa"/>
            <w:shd w:val="clear" w:color="auto" w:fill="BFBFBF" w:themeFill="background1" w:themeFillShade="BF"/>
          </w:tcPr>
          <w:p w14:paraId="6E98FFAE" w14:textId="32CCD497" w:rsidR="00A52EC8" w:rsidRPr="00A639C4" w:rsidRDefault="00A52EC8" w:rsidP="00A52EC8">
            <w:pPr>
              <w:tabs>
                <w:tab w:val="left" w:pos="408"/>
              </w:tabs>
              <w:jc w:val="center"/>
              <w:rPr>
                <w:b/>
              </w:rPr>
            </w:pPr>
            <w:r w:rsidRPr="00A639C4">
              <w:rPr>
                <w:b/>
              </w:rPr>
              <w:lastRenderedPageBreak/>
              <w:t>Pkt 1.8 IDW</w:t>
            </w:r>
          </w:p>
        </w:tc>
        <w:tc>
          <w:tcPr>
            <w:tcW w:w="7796" w:type="dxa"/>
            <w:shd w:val="clear" w:color="auto" w:fill="BFBFBF" w:themeFill="background1" w:themeFillShade="BF"/>
          </w:tcPr>
          <w:p w14:paraId="7E95BA28" w14:textId="77047639" w:rsidR="00A52EC8" w:rsidRPr="00A639C4" w:rsidRDefault="00A52EC8" w:rsidP="00A52EC8">
            <w:pPr>
              <w:tabs>
                <w:tab w:val="left" w:pos="408"/>
              </w:tabs>
            </w:pPr>
            <w:r w:rsidRPr="00A639C4">
              <w:rPr>
                <w:b/>
              </w:rPr>
              <w:t>Wskazanie osób uprawnionych do komunikowania się z wykonawcami;</w:t>
            </w:r>
          </w:p>
        </w:tc>
      </w:tr>
      <w:tr w:rsidR="00A52EC8" w:rsidRPr="00A639C4" w14:paraId="42CE9A98" w14:textId="77777777" w:rsidTr="00A639C4">
        <w:tc>
          <w:tcPr>
            <w:tcW w:w="1384" w:type="dxa"/>
            <w:shd w:val="clear" w:color="auto" w:fill="auto"/>
          </w:tcPr>
          <w:p w14:paraId="642FABC7" w14:textId="77777777" w:rsidR="00A52EC8" w:rsidRPr="00A639C4" w:rsidRDefault="00A52EC8" w:rsidP="00A52EC8">
            <w:pPr>
              <w:tabs>
                <w:tab w:val="left" w:pos="408"/>
              </w:tabs>
              <w:rPr>
                <w:b/>
              </w:rPr>
            </w:pPr>
          </w:p>
        </w:tc>
        <w:tc>
          <w:tcPr>
            <w:tcW w:w="7796" w:type="dxa"/>
            <w:shd w:val="clear" w:color="auto" w:fill="auto"/>
          </w:tcPr>
          <w:p w14:paraId="6351EE2D" w14:textId="77777777" w:rsidR="00A52EC8" w:rsidRDefault="00A52EC8" w:rsidP="00A52EC8">
            <w:pPr>
              <w:jc w:val="both"/>
            </w:pPr>
          </w:p>
          <w:p w14:paraId="013872F4" w14:textId="7025559A" w:rsidR="00A52EC8" w:rsidRPr="00A639C4" w:rsidRDefault="00A52EC8" w:rsidP="00A52EC8">
            <w:pPr>
              <w:jc w:val="both"/>
            </w:pPr>
            <w:r w:rsidRPr="00A639C4">
              <w:t>Do komunikowania się z wykonawcami uprawnione są następujące osoby:</w:t>
            </w:r>
          </w:p>
          <w:p w14:paraId="7C483E08" w14:textId="77777777" w:rsidR="00A52EC8" w:rsidRPr="00A639C4" w:rsidRDefault="00A52EC8" w:rsidP="00A52EC8">
            <w:pPr>
              <w:jc w:val="both"/>
              <w:rPr>
                <w:b/>
              </w:rPr>
            </w:pPr>
            <w:r w:rsidRPr="00A639C4">
              <w:rPr>
                <w:b/>
              </w:rPr>
              <w:t>Organizacja postępowania:</w:t>
            </w:r>
          </w:p>
          <w:p w14:paraId="7A80C0BF" w14:textId="77777777" w:rsidR="00A52EC8" w:rsidRPr="00A639C4" w:rsidRDefault="00A52EC8" w:rsidP="00A52EC8">
            <w:pPr>
              <w:pStyle w:val="Akapitzlist"/>
              <w:numPr>
                <w:ilvl w:val="0"/>
                <w:numId w:val="27"/>
              </w:numPr>
              <w:jc w:val="both"/>
            </w:pPr>
            <w:r w:rsidRPr="00A639C4">
              <w:t>Mariusz Górak – Naczelnik Wydziału Zamówień Publicznych</w:t>
            </w:r>
          </w:p>
          <w:p w14:paraId="386F6BBA" w14:textId="76D04295" w:rsidR="00A52EC8" w:rsidRPr="00A639C4" w:rsidRDefault="00990C0B" w:rsidP="00A52EC8">
            <w:pPr>
              <w:pStyle w:val="Akapitzlist"/>
              <w:numPr>
                <w:ilvl w:val="0"/>
                <w:numId w:val="27"/>
              </w:numPr>
              <w:jc w:val="both"/>
            </w:pPr>
            <w:r>
              <w:t>Barbara Maziarz</w:t>
            </w:r>
            <w:r w:rsidR="00A52EC8">
              <w:t xml:space="preserve"> - </w:t>
            </w:r>
            <w:r w:rsidR="00A52EC8" w:rsidRPr="00A639C4">
              <w:t xml:space="preserve"> Sekretarz Komisji Przetargowej</w:t>
            </w:r>
          </w:p>
          <w:p w14:paraId="13DDE609" w14:textId="4F90BA66" w:rsidR="00A52EC8" w:rsidRPr="00A639C4" w:rsidRDefault="00A52EC8" w:rsidP="00A52EC8">
            <w:pPr>
              <w:tabs>
                <w:tab w:val="left" w:pos="408"/>
              </w:tabs>
            </w:pPr>
          </w:p>
        </w:tc>
      </w:tr>
      <w:tr w:rsidR="00A52EC8" w:rsidRPr="00A639C4" w14:paraId="011CBCE6" w14:textId="77777777" w:rsidTr="007134B6">
        <w:tc>
          <w:tcPr>
            <w:tcW w:w="9180" w:type="dxa"/>
            <w:gridSpan w:val="2"/>
            <w:shd w:val="clear" w:color="auto" w:fill="auto"/>
          </w:tcPr>
          <w:p w14:paraId="65BF90A3" w14:textId="068FA3EF" w:rsidR="00A52EC8" w:rsidRPr="00A639C4" w:rsidRDefault="00A52EC8" w:rsidP="00A52EC8">
            <w:pPr>
              <w:jc w:val="center"/>
            </w:pPr>
            <w:bookmarkStart w:id="4" w:name="_Hlk155339952"/>
            <w:r>
              <w:t>Koniec PIDP</w:t>
            </w:r>
          </w:p>
        </w:tc>
      </w:tr>
      <w:bookmarkEnd w:id="4"/>
    </w:tbl>
    <w:p w14:paraId="1D7F26FD" w14:textId="6192075A" w:rsidR="00304FB8" w:rsidRPr="000E368E" w:rsidRDefault="00304FB8" w:rsidP="00E619F6"/>
    <w:sectPr w:rsidR="00304FB8" w:rsidRPr="000E368E" w:rsidSect="00A65D97">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B7652" w14:textId="77777777" w:rsidR="001E598B" w:rsidRDefault="001E598B" w:rsidP="00235CCF">
      <w:r>
        <w:separator/>
      </w:r>
    </w:p>
  </w:endnote>
  <w:endnote w:type="continuationSeparator" w:id="0">
    <w:p w14:paraId="416A9E04" w14:textId="77777777" w:rsidR="001E598B" w:rsidRDefault="001E598B"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101E2" w14:textId="57F43D30" w:rsidR="0022552B" w:rsidRPr="0022552B" w:rsidRDefault="00190335">
    <w:pPr>
      <w:pStyle w:val="Stopka"/>
      <w:jc w:val="right"/>
    </w:pPr>
    <w:r>
      <w:t>(w</w:t>
    </w:r>
    <w:r w:rsidR="0022552B" w:rsidRPr="0022552B">
      <w:t>ersja 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405302">
              <w:rPr>
                <w:b/>
                <w:bCs/>
                <w:noProof/>
              </w:rPr>
              <w:t>11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405302">
              <w:rPr>
                <w:b/>
                <w:bCs/>
                <w:noProof/>
              </w:rPr>
              <w:t>11</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E7CC1" w14:textId="77777777" w:rsidR="001E598B" w:rsidRDefault="001E598B" w:rsidP="00235CCF">
      <w:r>
        <w:separator/>
      </w:r>
    </w:p>
  </w:footnote>
  <w:footnote w:type="continuationSeparator" w:id="0">
    <w:p w14:paraId="4E92F60E" w14:textId="77777777" w:rsidR="001E598B" w:rsidRDefault="001E598B" w:rsidP="00235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9E1376" w:rsidRPr="00B74C3B" w14:paraId="57D9EA9A" w14:textId="77777777" w:rsidTr="00A639C4">
      <w:trPr>
        <w:trHeight w:val="296"/>
      </w:trPr>
      <w:tc>
        <w:tcPr>
          <w:tcW w:w="3680" w:type="dxa"/>
          <w:shd w:val="clear" w:color="auto" w:fill="FFFFFF"/>
        </w:tcPr>
        <w:p w14:paraId="27D43C0D" w14:textId="6FCACC98" w:rsidR="009E1376" w:rsidRPr="00B74C3B" w:rsidRDefault="009E1376"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524B0D03" w:rsidR="009E1376" w:rsidRPr="00B74C3B" w:rsidRDefault="009E1376" w:rsidP="002F0BD2">
          <w:pPr>
            <w:pStyle w:val="Nagwek"/>
            <w:jc w:val="center"/>
            <w:rPr>
              <w:b/>
            </w:rPr>
          </w:pPr>
          <w:r w:rsidRPr="00B74C3B">
            <w:rPr>
              <w:bCs/>
            </w:rPr>
            <w:t>Numer referencyjny:</w:t>
          </w:r>
          <w:r w:rsidRPr="00B74C3B">
            <w:rPr>
              <w:b/>
              <w:bCs/>
            </w:rPr>
            <w:t xml:space="preserve"> PZDW/WZP/243/</w:t>
          </w:r>
          <w:r w:rsidR="000C5D0B">
            <w:rPr>
              <w:b/>
              <w:bCs/>
            </w:rPr>
            <w:t>W</w:t>
          </w:r>
          <w:r w:rsidR="00243285">
            <w:rPr>
              <w:b/>
              <w:bCs/>
            </w:rPr>
            <w:t>D</w:t>
          </w:r>
          <w:r w:rsidR="00777783">
            <w:rPr>
              <w:b/>
              <w:bCs/>
            </w:rPr>
            <w:t>/</w:t>
          </w:r>
          <w:r w:rsidR="002F0BD2">
            <w:rPr>
              <w:b/>
              <w:bCs/>
            </w:rPr>
            <w:t>115/</w:t>
          </w:r>
          <w:r w:rsidR="002B71A0">
            <w:rPr>
              <w:b/>
              <w:bCs/>
            </w:rPr>
            <w:t>202</w:t>
          </w:r>
          <w:r w:rsidR="00D35612">
            <w:rPr>
              <w:b/>
              <w:bCs/>
            </w:rPr>
            <w:t>4</w:t>
          </w:r>
        </w:p>
      </w:tc>
    </w:tr>
    <w:tr w:rsidR="009E1376" w:rsidRPr="00B74C3B" w14:paraId="5389A671" w14:textId="77777777" w:rsidTr="00B74C3B">
      <w:trPr>
        <w:trHeight w:val="707"/>
      </w:trPr>
      <w:tc>
        <w:tcPr>
          <w:tcW w:w="9214"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EA37E4" w:rsidRDefault="0066585A" w:rsidP="00EA37E4">
          <w:pPr>
            <w:pStyle w:val="Tekstpodstawowy2"/>
            <w:shd w:val="clear" w:color="auto" w:fill="FFFFFF"/>
            <w:spacing w:after="0" w:line="276" w:lineRule="auto"/>
            <w:jc w:val="center"/>
            <w:rPr>
              <w:b/>
              <w:color w:val="000000"/>
              <w:spacing w:val="-12"/>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7137B3" w:rsidRPr="00B74C3B" w:rsidRDefault="007137B3" w:rsidP="00235CCF">
    <w:pPr>
      <w:pStyle w:val="Nagwek"/>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6AFB"/>
    <w:multiLevelType w:val="hybridMultilevel"/>
    <w:tmpl w:val="FC2A627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D00DF6"/>
    <w:multiLevelType w:val="hybridMultilevel"/>
    <w:tmpl w:val="6EFE811E"/>
    <w:lvl w:ilvl="0" w:tplc="FEC6B3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8378D"/>
    <w:multiLevelType w:val="hybridMultilevel"/>
    <w:tmpl w:val="831644C4"/>
    <w:lvl w:ilvl="0" w:tplc="D292C400">
      <w:start w:val="1"/>
      <w:numFmt w:val="decimal"/>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4"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AD733C"/>
    <w:multiLevelType w:val="hybridMultilevel"/>
    <w:tmpl w:val="84FACB7A"/>
    <w:lvl w:ilvl="0" w:tplc="A0DA390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3B15A9"/>
    <w:multiLevelType w:val="hybridMultilevel"/>
    <w:tmpl w:val="2C76F9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63406CB1"/>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636855E0"/>
    <w:multiLevelType w:val="multilevel"/>
    <w:tmpl w:val="88EAF860"/>
    <w:lvl w:ilvl="0">
      <w:start w:val="1"/>
      <w:numFmt w:val="decimal"/>
      <w:lvlText w:val="%1."/>
      <w:lvlJc w:val="left"/>
      <w:pPr>
        <w:ind w:left="360" w:hanging="360"/>
      </w:pPr>
      <w:rPr>
        <w:rFonts w:hint="default"/>
        <w:b/>
      </w:rPr>
    </w:lvl>
    <w:lvl w:ilvl="1">
      <w:start w:val="1"/>
      <w:numFmt w:val="decimal"/>
      <w:lvlText w:val="%1.%2."/>
      <w:lvlJc w:val="left"/>
      <w:pPr>
        <w:ind w:left="1797" w:hanging="360"/>
      </w:pPr>
      <w:rPr>
        <w:rFonts w:hint="default"/>
        <w:b/>
      </w:rPr>
    </w:lvl>
    <w:lvl w:ilvl="2">
      <w:start w:val="1"/>
      <w:numFmt w:val="decimal"/>
      <w:lvlText w:val="%1.%2.%3."/>
      <w:lvlJc w:val="left"/>
      <w:pPr>
        <w:ind w:left="3594" w:hanging="720"/>
      </w:pPr>
      <w:rPr>
        <w:rFonts w:hint="default"/>
        <w:b/>
      </w:rPr>
    </w:lvl>
    <w:lvl w:ilvl="3">
      <w:start w:val="1"/>
      <w:numFmt w:val="decimalZero"/>
      <w:lvlText w:val="%1.%2.%3.%4."/>
      <w:lvlJc w:val="left"/>
      <w:pPr>
        <w:ind w:left="5031" w:hanging="720"/>
      </w:pPr>
      <w:rPr>
        <w:rFonts w:hint="default"/>
        <w:b/>
      </w:rPr>
    </w:lvl>
    <w:lvl w:ilvl="4">
      <w:start w:val="1"/>
      <w:numFmt w:val="decimal"/>
      <w:lvlText w:val="%1.%2.%3.%4.%5."/>
      <w:lvlJc w:val="left"/>
      <w:pPr>
        <w:ind w:left="6828" w:hanging="1080"/>
      </w:pPr>
      <w:rPr>
        <w:rFonts w:hint="default"/>
        <w:b/>
      </w:rPr>
    </w:lvl>
    <w:lvl w:ilvl="5">
      <w:start w:val="1"/>
      <w:numFmt w:val="decimal"/>
      <w:lvlText w:val="%1.%2.%3.%4.%5.%6."/>
      <w:lvlJc w:val="left"/>
      <w:pPr>
        <w:ind w:left="8265" w:hanging="1080"/>
      </w:pPr>
      <w:rPr>
        <w:rFonts w:hint="default"/>
        <w:b/>
      </w:rPr>
    </w:lvl>
    <w:lvl w:ilvl="6">
      <w:start w:val="1"/>
      <w:numFmt w:val="decimal"/>
      <w:lvlText w:val="%1.%2.%3.%4.%5.%6.%7."/>
      <w:lvlJc w:val="left"/>
      <w:pPr>
        <w:ind w:left="10062" w:hanging="1440"/>
      </w:pPr>
      <w:rPr>
        <w:rFonts w:hint="default"/>
        <w:b/>
      </w:rPr>
    </w:lvl>
    <w:lvl w:ilvl="7">
      <w:start w:val="1"/>
      <w:numFmt w:val="decimal"/>
      <w:lvlText w:val="%1.%2.%3.%4.%5.%6.%7.%8."/>
      <w:lvlJc w:val="left"/>
      <w:pPr>
        <w:ind w:left="11499" w:hanging="1440"/>
      </w:pPr>
      <w:rPr>
        <w:rFonts w:hint="default"/>
        <w:b/>
      </w:rPr>
    </w:lvl>
    <w:lvl w:ilvl="8">
      <w:start w:val="1"/>
      <w:numFmt w:val="decimal"/>
      <w:lvlText w:val="%1.%2.%3.%4.%5.%6.%7.%8.%9."/>
      <w:lvlJc w:val="left"/>
      <w:pPr>
        <w:ind w:left="13296" w:hanging="1800"/>
      </w:pPr>
      <w:rPr>
        <w:rFonts w:hint="default"/>
        <w:b/>
      </w:rPr>
    </w:lvl>
  </w:abstractNum>
  <w:abstractNum w:abstractNumId="32"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6"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9"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7"/>
  </w:num>
  <w:num w:numId="2">
    <w:abstractNumId w:val="9"/>
  </w:num>
  <w:num w:numId="3">
    <w:abstractNumId w:val="6"/>
  </w:num>
  <w:num w:numId="4">
    <w:abstractNumId w:val="24"/>
  </w:num>
  <w:num w:numId="5">
    <w:abstractNumId w:val="15"/>
  </w:num>
  <w:num w:numId="6">
    <w:abstractNumId w:val="35"/>
  </w:num>
  <w:num w:numId="7">
    <w:abstractNumId w:val="29"/>
  </w:num>
  <w:num w:numId="8">
    <w:abstractNumId w:val="11"/>
  </w:num>
  <w:num w:numId="9">
    <w:abstractNumId w:val="8"/>
  </w:num>
  <w:num w:numId="10">
    <w:abstractNumId w:val="10"/>
  </w:num>
  <w:num w:numId="11">
    <w:abstractNumId w:val="34"/>
  </w:num>
  <w:num w:numId="12">
    <w:abstractNumId w:val="23"/>
  </w:num>
  <w:num w:numId="13">
    <w:abstractNumId w:val="39"/>
  </w:num>
  <w:num w:numId="14">
    <w:abstractNumId w:val="36"/>
  </w:num>
  <w:num w:numId="15">
    <w:abstractNumId w:val="20"/>
  </w:num>
  <w:num w:numId="16">
    <w:abstractNumId w:val="3"/>
  </w:num>
  <w:num w:numId="17">
    <w:abstractNumId w:val="38"/>
  </w:num>
  <w:num w:numId="18">
    <w:abstractNumId w:val="12"/>
  </w:num>
  <w:num w:numId="19">
    <w:abstractNumId w:val="1"/>
  </w:num>
  <w:num w:numId="20">
    <w:abstractNumId w:val="26"/>
  </w:num>
  <w:num w:numId="21">
    <w:abstractNumId w:val="2"/>
  </w:num>
  <w:num w:numId="22">
    <w:abstractNumId w:val="4"/>
  </w:num>
  <w:num w:numId="23">
    <w:abstractNumId w:val="14"/>
  </w:num>
  <w:num w:numId="24">
    <w:abstractNumId w:val="33"/>
  </w:num>
  <w:num w:numId="25">
    <w:abstractNumId w:val="27"/>
  </w:num>
  <w:num w:numId="26">
    <w:abstractNumId w:val="32"/>
  </w:num>
  <w:num w:numId="27">
    <w:abstractNumId w:val="5"/>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6"/>
  </w:num>
  <w:num w:numId="31">
    <w:abstractNumId w:val="22"/>
  </w:num>
  <w:num w:numId="32">
    <w:abstractNumId w:val="25"/>
  </w:num>
  <w:num w:numId="33">
    <w:abstractNumId w:val="21"/>
  </w:num>
  <w:num w:numId="34">
    <w:abstractNumId w:val="18"/>
  </w:num>
  <w:num w:numId="35">
    <w:abstractNumId w:val="19"/>
  </w:num>
  <w:num w:numId="36">
    <w:abstractNumId w:val="0"/>
  </w:num>
  <w:num w:numId="37">
    <w:abstractNumId w:val="31"/>
  </w:num>
  <w:num w:numId="38">
    <w:abstractNumId w:val="30"/>
  </w:num>
  <w:num w:numId="39">
    <w:abstractNumId w:val="13"/>
  </w:num>
  <w:num w:numId="40">
    <w:abstractNumId w:val="7"/>
  </w:num>
  <w:num w:numId="41">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8"/>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16BE"/>
    <w:rsid w:val="00084922"/>
    <w:rsid w:val="0008508B"/>
    <w:rsid w:val="000A578E"/>
    <w:rsid w:val="000B4C05"/>
    <w:rsid w:val="000B4F9D"/>
    <w:rsid w:val="000C4078"/>
    <w:rsid w:val="000C5D0B"/>
    <w:rsid w:val="000C7735"/>
    <w:rsid w:val="000D138C"/>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17E5C"/>
    <w:rsid w:val="00123087"/>
    <w:rsid w:val="00124AAE"/>
    <w:rsid w:val="001309B2"/>
    <w:rsid w:val="00136766"/>
    <w:rsid w:val="00143B08"/>
    <w:rsid w:val="00144954"/>
    <w:rsid w:val="00144D03"/>
    <w:rsid w:val="00146563"/>
    <w:rsid w:val="00146E98"/>
    <w:rsid w:val="00150796"/>
    <w:rsid w:val="001552AA"/>
    <w:rsid w:val="00155987"/>
    <w:rsid w:val="001579D9"/>
    <w:rsid w:val="00157D9E"/>
    <w:rsid w:val="00161D74"/>
    <w:rsid w:val="001655FA"/>
    <w:rsid w:val="0016738F"/>
    <w:rsid w:val="0018179E"/>
    <w:rsid w:val="00182F94"/>
    <w:rsid w:val="0018419A"/>
    <w:rsid w:val="001844C7"/>
    <w:rsid w:val="00187645"/>
    <w:rsid w:val="00190335"/>
    <w:rsid w:val="001A1707"/>
    <w:rsid w:val="001A6986"/>
    <w:rsid w:val="001A7B19"/>
    <w:rsid w:val="001A7BAA"/>
    <w:rsid w:val="001B0BC7"/>
    <w:rsid w:val="001B0F0D"/>
    <w:rsid w:val="001B4E66"/>
    <w:rsid w:val="001C3B71"/>
    <w:rsid w:val="001C4751"/>
    <w:rsid w:val="001C5BDB"/>
    <w:rsid w:val="001D1BCA"/>
    <w:rsid w:val="001D59B2"/>
    <w:rsid w:val="001D5EDC"/>
    <w:rsid w:val="001D6CF8"/>
    <w:rsid w:val="001D742C"/>
    <w:rsid w:val="001E2DD1"/>
    <w:rsid w:val="001E378D"/>
    <w:rsid w:val="001E436F"/>
    <w:rsid w:val="001E598B"/>
    <w:rsid w:val="001F3677"/>
    <w:rsid w:val="00205425"/>
    <w:rsid w:val="00213EB6"/>
    <w:rsid w:val="00214F88"/>
    <w:rsid w:val="0021526F"/>
    <w:rsid w:val="002219CB"/>
    <w:rsid w:val="0022361E"/>
    <w:rsid w:val="0022552B"/>
    <w:rsid w:val="00225807"/>
    <w:rsid w:val="00226A17"/>
    <w:rsid w:val="00226FE5"/>
    <w:rsid w:val="002275C7"/>
    <w:rsid w:val="00235716"/>
    <w:rsid w:val="00235CCF"/>
    <w:rsid w:val="00242D36"/>
    <w:rsid w:val="00243285"/>
    <w:rsid w:val="00244510"/>
    <w:rsid w:val="00250C58"/>
    <w:rsid w:val="00255583"/>
    <w:rsid w:val="0026125D"/>
    <w:rsid w:val="00265C7D"/>
    <w:rsid w:val="002709B0"/>
    <w:rsid w:val="0027230C"/>
    <w:rsid w:val="002731E2"/>
    <w:rsid w:val="00274B1B"/>
    <w:rsid w:val="00277BFE"/>
    <w:rsid w:val="0028200F"/>
    <w:rsid w:val="0028430E"/>
    <w:rsid w:val="0028668E"/>
    <w:rsid w:val="002878F2"/>
    <w:rsid w:val="00293B88"/>
    <w:rsid w:val="002A31E4"/>
    <w:rsid w:val="002B71A0"/>
    <w:rsid w:val="002B7221"/>
    <w:rsid w:val="002C2C0D"/>
    <w:rsid w:val="002D3583"/>
    <w:rsid w:val="002D5360"/>
    <w:rsid w:val="002D6127"/>
    <w:rsid w:val="002E0079"/>
    <w:rsid w:val="002E0E10"/>
    <w:rsid w:val="002F0BD2"/>
    <w:rsid w:val="00300D17"/>
    <w:rsid w:val="00304FB8"/>
    <w:rsid w:val="003061D7"/>
    <w:rsid w:val="0031102F"/>
    <w:rsid w:val="003203A6"/>
    <w:rsid w:val="00322BF1"/>
    <w:rsid w:val="00325CB4"/>
    <w:rsid w:val="00336A07"/>
    <w:rsid w:val="00337503"/>
    <w:rsid w:val="00341A82"/>
    <w:rsid w:val="0034485C"/>
    <w:rsid w:val="00347D74"/>
    <w:rsid w:val="00351738"/>
    <w:rsid w:val="003532A1"/>
    <w:rsid w:val="003544E6"/>
    <w:rsid w:val="00357737"/>
    <w:rsid w:val="00365DB1"/>
    <w:rsid w:val="003672FC"/>
    <w:rsid w:val="003847B5"/>
    <w:rsid w:val="00387614"/>
    <w:rsid w:val="00393CBA"/>
    <w:rsid w:val="00394375"/>
    <w:rsid w:val="003953F4"/>
    <w:rsid w:val="003A273F"/>
    <w:rsid w:val="003A3BB8"/>
    <w:rsid w:val="003A6CA4"/>
    <w:rsid w:val="003A7019"/>
    <w:rsid w:val="003B447D"/>
    <w:rsid w:val="003B7CD6"/>
    <w:rsid w:val="003C0F1E"/>
    <w:rsid w:val="003C2AEE"/>
    <w:rsid w:val="003C56BD"/>
    <w:rsid w:val="003C6953"/>
    <w:rsid w:val="003D020A"/>
    <w:rsid w:val="003D1D50"/>
    <w:rsid w:val="003D1FA8"/>
    <w:rsid w:val="003E38AA"/>
    <w:rsid w:val="003E3C90"/>
    <w:rsid w:val="003E5CE7"/>
    <w:rsid w:val="003F0E4F"/>
    <w:rsid w:val="003F141C"/>
    <w:rsid w:val="003F1745"/>
    <w:rsid w:val="003F5A3A"/>
    <w:rsid w:val="003F6CD3"/>
    <w:rsid w:val="00405302"/>
    <w:rsid w:val="00415327"/>
    <w:rsid w:val="004169D9"/>
    <w:rsid w:val="00430759"/>
    <w:rsid w:val="0043294F"/>
    <w:rsid w:val="00435575"/>
    <w:rsid w:val="00440A52"/>
    <w:rsid w:val="0044214E"/>
    <w:rsid w:val="00443B1A"/>
    <w:rsid w:val="00444C22"/>
    <w:rsid w:val="00450F04"/>
    <w:rsid w:val="004530E7"/>
    <w:rsid w:val="00453DE6"/>
    <w:rsid w:val="004546CD"/>
    <w:rsid w:val="00456139"/>
    <w:rsid w:val="0045749E"/>
    <w:rsid w:val="004808FC"/>
    <w:rsid w:val="00480D23"/>
    <w:rsid w:val="004919B6"/>
    <w:rsid w:val="00493B97"/>
    <w:rsid w:val="00495ACA"/>
    <w:rsid w:val="00495B15"/>
    <w:rsid w:val="004A440C"/>
    <w:rsid w:val="004A6BC6"/>
    <w:rsid w:val="004A7A77"/>
    <w:rsid w:val="004B205A"/>
    <w:rsid w:val="004B432F"/>
    <w:rsid w:val="004C13DA"/>
    <w:rsid w:val="004C6385"/>
    <w:rsid w:val="004D2272"/>
    <w:rsid w:val="004D402B"/>
    <w:rsid w:val="004E4A14"/>
    <w:rsid w:val="004E631D"/>
    <w:rsid w:val="004F679B"/>
    <w:rsid w:val="00500E86"/>
    <w:rsid w:val="00505683"/>
    <w:rsid w:val="00505DA5"/>
    <w:rsid w:val="0050713D"/>
    <w:rsid w:val="00510BFD"/>
    <w:rsid w:val="0051183C"/>
    <w:rsid w:val="00532309"/>
    <w:rsid w:val="005411B1"/>
    <w:rsid w:val="00546118"/>
    <w:rsid w:val="0055496E"/>
    <w:rsid w:val="00566E77"/>
    <w:rsid w:val="005706C1"/>
    <w:rsid w:val="005762DB"/>
    <w:rsid w:val="00586363"/>
    <w:rsid w:val="005926B6"/>
    <w:rsid w:val="005B231D"/>
    <w:rsid w:val="005C65FE"/>
    <w:rsid w:val="005D0F64"/>
    <w:rsid w:val="005D18BA"/>
    <w:rsid w:val="005D1AAE"/>
    <w:rsid w:val="005D6002"/>
    <w:rsid w:val="005D698C"/>
    <w:rsid w:val="005E58F2"/>
    <w:rsid w:val="005E7210"/>
    <w:rsid w:val="005F0726"/>
    <w:rsid w:val="005F32C8"/>
    <w:rsid w:val="005F3B4B"/>
    <w:rsid w:val="005F5680"/>
    <w:rsid w:val="005F6497"/>
    <w:rsid w:val="0060056F"/>
    <w:rsid w:val="00601A19"/>
    <w:rsid w:val="006020D6"/>
    <w:rsid w:val="0061385E"/>
    <w:rsid w:val="00615911"/>
    <w:rsid w:val="0061673C"/>
    <w:rsid w:val="00622270"/>
    <w:rsid w:val="0062767B"/>
    <w:rsid w:val="00630025"/>
    <w:rsid w:val="00630FB6"/>
    <w:rsid w:val="00633019"/>
    <w:rsid w:val="00643475"/>
    <w:rsid w:val="00647472"/>
    <w:rsid w:val="0065527B"/>
    <w:rsid w:val="00655FAE"/>
    <w:rsid w:val="00660E1B"/>
    <w:rsid w:val="0066585A"/>
    <w:rsid w:val="00670CFD"/>
    <w:rsid w:val="00691CEC"/>
    <w:rsid w:val="00692728"/>
    <w:rsid w:val="00695ECC"/>
    <w:rsid w:val="006A586A"/>
    <w:rsid w:val="006B1DF3"/>
    <w:rsid w:val="006C0CA9"/>
    <w:rsid w:val="006C2AC7"/>
    <w:rsid w:val="006C3181"/>
    <w:rsid w:val="006C360A"/>
    <w:rsid w:val="006C451B"/>
    <w:rsid w:val="006D0499"/>
    <w:rsid w:val="006D112A"/>
    <w:rsid w:val="006D4580"/>
    <w:rsid w:val="006D73AC"/>
    <w:rsid w:val="006E2D53"/>
    <w:rsid w:val="006E2E75"/>
    <w:rsid w:val="006E4B8D"/>
    <w:rsid w:val="006E7361"/>
    <w:rsid w:val="006E7976"/>
    <w:rsid w:val="006F26E0"/>
    <w:rsid w:val="006F276B"/>
    <w:rsid w:val="006F3BCE"/>
    <w:rsid w:val="006F6586"/>
    <w:rsid w:val="0070244B"/>
    <w:rsid w:val="0070256A"/>
    <w:rsid w:val="00704746"/>
    <w:rsid w:val="00706B12"/>
    <w:rsid w:val="00710546"/>
    <w:rsid w:val="00711A2E"/>
    <w:rsid w:val="00711EA9"/>
    <w:rsid w:val="007137B3"/>
    <w:rsid w:val="00715C52"/>
    <w:rsid w:val="00721C5C"/>
    <w:rsid w:val="00724EDB"/>
    <w:rsid w:val="00725114"/>
    <w:rsid w:val="00727219"/>
    <w:rsid w:val="00731C88"/>
    <w:rsid w:val="00741189"/>
    <w:rsid w:val="00741FA5"/>
    <w:rsid w:val="007505EA"/>
    <w:rsid w:val="00750BE5"/>
    <w:rsid w:val="0075264D"/>
    <w:rsid w:val="00752C87"/>
    <w:rsid w:val="00753D3B"/>
    <w:rsid w:val="00756FEC"/>
    <w:rsid w:val="007607B8"/>
    <w:rsid w:val="00761644"/>
    <w:rsid w:val="00764E22"/>
    <w:rsid w:val="00770862"/>
    <w:rsid w:val="007720E9"/>
    <w:rsid w:val="00776E02"/>
    <w:rsid w:val="00777783"/>
    <w:rsid w:val="00781724"/>
    <w:rsid w:val="007847A4"/>
    <w:rsid w:val="00791570"/>
    <w:rsid w:val="0079311F"/>
    <w:rsid w:val="00797B6F"/>
    <w:rsid w:val="007A3225"/>
    <w:rsid w:val="007A419A"/>
    <w:rsid w:val="007B5970"/>
    <w:rsid w:val="007B6D41"/>
    <w:rsid w:val="007B7294"/>
    <w:rsid w:val="007B7325"/>
    <w:rsid w:val="007B75D4"/>
    <w:rsid w:val="007C037C"/>
    <w:rsid w:val="007D0FA9"/>
    <w:rsid w:val="007E0508"/>
    <w:rsid w:val="007E1A08"/>
    <w:rsid w:val="007E58F5"/>
    <w:rsid w:val="007E61D1"/>
    <w:rsid w:val="007F18D9"/>
    <w:rsid w:val="007F6F4E"/>
    <w:rsid w:val="00800F99"/>
    <w:rsid w:val="00803B03"/>
    <w:rsid w:val="00803B2B"/>
    <w:rsid w:val="00805709"/>
    <w:rsid w:val="00805ADD"/>
    <w:rsid w:val="00807B52"/>
    <w:rsid w:val="008142B1"/>
    <w:rsid w:val="0082344C"/>
    <w:rsid w:val="00824583"/>
    <w:rsid w:val="00833FE6"/>
    <w:rsid w:val="008360BC"/>
    <w:rsid w:val="00841BEA"/>
    <w:rsid w:val="008452FA"/>
    <w:rsid w:val="008467CF"/>
    <w:rsid w:val="008501B7"/>
    <w:rsid w:val="00850A2B"/>
    <w:rsid w:val="00851676"/>
    <w:rsid w:val="008517C7"/>
    <w:rsid w:val="008537C3"/>
    <w:rsid w:val="00864869"/>
    <w:rsid w:val="0087222F"/>
    <w:rsid w:val="00876657"/>
    <w:rsid w:val="00882E7B"/>
    <w:rsid w:val="00890C36"/>
    <w:rsid w:val="0089722D"/>
    <w:rsid w:val="008A2F3A"/>
    <w:rsid w:val="008A62FE"/>
    <w:rsid w:val="008B11D8"/>
    <w:rsid w:val="008B58E5"/>
    <w:rsid w:val="008B59CE"/>
    <w:rsid w:val="008D17A1"/>
    <w:rsid w:val="008D64CB"/>
    <w:rsid w:val="008D7044"/>
    <w:rsid w:val="008E05D4"/>
    <w:rsid w:val="008E0C69"/>
    <w:rsid w:val="008E65F2"/>
    <w:rsid w:val="008E7D3A"/>
    <w:rsid w:val="008F6691"/>
    <w:rsid w:val="009008C0"/>
    <w:rsid w:val="009021D4"/>
    <w:rsid w:val="00920050"/>
    <w:rsid w:val="00925D57"/>
    <w:rsid w:val="0093019C"/>
    <w:rsid w:val="00931EBD"/>
    <w:rsid w:val="00936769"/>
    <w:rsid w:val="009367F5"/>
    <w:rsid w:val="0094133F"/>
    <w:rsid w:val="00952BFC"/>
    <w:rsid w:val="009619B4"/>
    <w:rsid w:val="00963CA8"/>
    <w:rsid w:val="00967E45"/>
    <w:rsid w:val="00987E31"/>
    <w:rsid w:val="00990C0B"/>
    <w:rsid w:val="0099406A"/>
    <w:rsid w:val="009A14F9"/>
    <w:rsid w:val="009A2D45"/>
    <w:rsid w:val="009B530D"/>
    <w:rsid w:val="009C520F"/>
    <w:rsid w:val="009C6825"/>
    <w:rsid w:val="009D78CA"/>
    <w:rsid w:val="009E1376"/>
    <w:rsid w:val="009E2DF6"/>
    <w:rsid w:val="009E7B3F"/>
    <w:rsid w:val="00A1212A"/>
    <w:rsid w:val="00A13178"/>
    <w:rsid w:val="00A14FF0"/>
    <w:rsid w:val="00A312CD"/>
    <w:rsid w:val="00A3373E"/>
    <w:rsid w:val="00A3636A"/>
    <w:rsid w:val="00A37420"/>
    <w:rsid w:val="00A42AA6"/>
    <w:rsid w:val="00A464F6"/>
    <w:rsid w:val="00A47CCE"/>
    <w:rsid w:val="00A52EC8"/>
    <w:rsid w:val="00A56D35"/>
    <w:rsid w:val="00A639C4"/>
    <w:rsid w:val="00A6454D"/>
    <w:rsid w:val="00A65D97"/>
    <w:rsid w:val="00A7088C"/>
    <w:rsid w:val="00A75A6F"/>
    <w:rsid w:val="00A91EB5"/>
    <w:rsid w:val="00A91F26"/>
    <w:rsid w:val="00A926DE"/>
    <w:rsid w:val="00A94552"/>
    <w:rsid w:val="00A9568F"/>
    <w:rsid w:val="00A9741D"/>
    <w:rsid w:val="00AA0169"/>
    <w:rsid w:val="00AA30C3"/>
    <w:rsid w:val="00AA39A4"/>
    <w:rsid w:val="00AA5048"/>
    <w:rsid w:val="00AA6102"/>
    <w:rsid w:val="00AB436A"/>
    <w:rsid w:val="00AB5590"/>
    <w:rsid w:val="00AC2F50"/>
    <w:rsid w:val="00AC6605"/>
    <w:rsid w:val="00AC79C6"/>
    <w:rsid w:val="00AD141F"/>
    <w:rsid w:val="00AD4F3A"/>
    <w:rsid w:val="00AE5642"/>
    <w:rsid w:val="00AE7A7B"/>
    <w:rsid w:val="00AF0167"/>
    <w:rsid w:val="00B02DEE"/>
    <w:rsid w:val="00B03D3D"/>
    <w:rsid w:val="00B10C20"/>
    <w:rsid w:val="00B1334C"/>
    <w:rsid w:val="00B13A24"/>
    <w:rsid w:val="00B266D5"/>
    <w:rsid w:val="00B32CA0"/>
    <w:rsid w:val="00B32E68"/>
    <w:rsid w:val="00B340C7"/>
    <w:rsid w:val="00B352AD"/>
    <w:rsid w:val="00B40D62"/>
    <w:rsid w:val="00B44041"/>
    <w:rsid w:val="00B44348"/>
    <w:rsid w:val="00B612FE"/>
    <w:rsid w:val="00B64B7F"/>
    <w:rsid w:val="00B65B7A"/>
    <w:rsid w:val="00B67FD1"/>
    <w:rsid w:val="00B71C90"/>
    <w:rsid w:val="00B72965"/>
    <w:rsid w:val="00B74A68"/>
    <w:rsid w:val="00B74C3B"/>
    <w:rsid w:val="00B7708D"/>
    <w:rsid w:val="00B80D33"/>
    <w:rsid w:val="00B83680"/>
    <w:rsid w:val="00B83BEB"/>
    <w:rsid w:val="00B8507F"/>
    <w:rsid w:val="00BA4922"/>
    <w:rsid w:val="00BA4DD4"/>
    <w:rsid w:val="00BA7B93"/>
    <w:rsid w:val="00BB13EA"/>
    <w:rsid w:val="00BC2677"/>
    <w:rsid w:val="00BD2AE4"/>
    <w:rsid w:val="00BD2B22"/>
    <w:rsid w:val="00BD2C32"/>
    <w:rsid w:val="00BD5BD9"/>
    <w:rsid w:val="00BE50F4"/>
    <w:rsid w:val="00BE7884"/>
    <w:rsid w:val="00BF0816"/>
    <w:rsid w:val="00BF7D42"/>
    <w:rsid w:val="00C11DC2"/>
    <w:rsid w:val="00C12399"/>
    <w:rsid w:val="00C152B8"/>
    <w:rsid w:val="00C15AB7"/>
    <w:rsid w:val="00C16536"/>
    <w:rsid w:val="00C178B9"/>
    <w:rsid w:val="00C30CF6"/>
    <w:rsid w:val="00C368B6"/>
    <w:rsid w:val="00C47FE9"/>
    <w:rsid w:val="00C5504B"/>
    <w:rsid w:val="00C72982"/>
    <w:rsid w:val="00C87D25"/>
    <w:rsid w:val="00CA5F17"/>
    <w:rsid w:val="00CB1FEE"/>
    <w:rsid w:val="00CB44F6"/>
    <w:rsid w:val="00CB5219"/>
    <w:rsid w:val="00CB52EB"/>
    <w:rsid w:val="00CB6F73"/>
    <w:rsid w:val="00CB72EF"/>
    <w:rsid w:val="00CC10AD"/>
    <w:rsid w:val="00CC1899"/>
    <w:rsid w:val="00CD12EF"/>
    <w:rsid w:val="00CD2200"/>
    <w:rsid w:val="00CD55EA"/>
    <w:rsid w:val="00CF16B5"/>
    <w:rsid w:val="00CF3C0C"/>
    <w:rsid w:val="00CF5590"/>
    <w:rsid w:val="00CF579B"/>
    <w:rsid w:val="00D101E2"/>
    <w:rsid w:val="00D13E8D"/>
    <w:rsid w:val="00D262FC"/>
    <w:rsid w:val="00D32FC9"/>
    <w:rsid w:val="00D33DFF"/>
    <w:rsid w:val="00D34B0C"/>
    <w:rsid w:val="00D34BD4"/>
    <w:rsid w:val="00D35612"/>
    <w:rsid w:val="00D44056"/>
    <w:rsid w:val="00D45B6A"/>
    <w:rsid w:val="00D4706C"/>
    <w:rsid w:val="00D664EC"/>
    <w:rsid w:val="00D74B4E"/>
    <w:rsid w:val="00D74CBE"/>
    <w:rsid w:val="00D77811"/>
    <w:rsid w:val="00D83111"/>
    <w:rsid w:val="00D836FF"/>
    <w:rsid w:val="00D9147C"/>
    <w:rsid w:val="00D92581"/>
    <w:rsid w:val="00D95ABB"/>
    <w:rsid w:val="00DA2BA0"/>
    <w:rsid w:val="00DA3A45"/>
    <w:rsid w:val="00DB4B29"/>
    <w:rsid w:val="00DC3B64"/>
    <w:rsid w:val="00DC6A53"/>
    <w:rsid w:val="00DD0FE7"/>
    <w:rsid w:val="00DD2CDF"/>
    <w:rsid w:val="00DD3C2E"/>
    <w:rsid w:val="00DD4849"/>
    <w:rsid w:val="00DD74FE"/>
    <w:rsid w:val="00DE23D4"/>
    <w:rsid w:val="00DF097F"/>
    <w:rsid w:val="00DF2F32"/>
    <w:rsid w:val="00E05BF8"/>
    <w:rsid w:val="00E13462"/>
    <w:rsid w:val="00E14E37"/>
    <w:rsid w:val="00E15A75"/>
    <w:rsid w:val="00E21E0F"/>
    <w:rsid w:val="00E220AB"/>
    <w:rsid w:val="00E22DAE"/>
    <w:rsid w:val="00E246FD"/>
    <w:rsid w:val="00E2544E"/>
    <w:rsid w:val="00E261AA"/>
    <w:rsid w:val="00E30967"/>
    <w:rsid w:val="00E3598B"/>
    <w:rsid w:val="00E36E12"/>
    <w:rsid w:val="00E37622"/>
    <w:rsid w:val="00E44D8E"/>
    <w:rsid w:val="00E51FB6"/>
    <w:rsid w:val="00E619F6"/>
    <w:rsid w:val="00E6333B"/>
    <w:rsid w:val="00E64F31"/>
    <w:rsid w:val="00E7136F"/>
    <w:rsid w:val="00E75174"/>
    <w:rsid w:val="00E77EEC"/>
    <w:rsid w:val="00E82CD6"/>
    <w:rsid w:val="00E93F87"/>
    <w:rsid w:val="00EA37E4"/>
    <w:rsid w:val="00EB6695"/>
    <w:rsid w:val="00EC5274"/>
    <w:rsid w:val="00ED48C8"/>
    <w:rsid w:val="00ED4C77"/>
    <w:rsid w:val="00ED6751"/>
    <w:rsid w:val="00EE6B70"/>
    <w:rsid w:val="00EF4B2A"/>
    <w:rsid w:val="00EF4C34"/>
    <w:rsid w:val="00EF7A13"/>
    <w:rsid w:val="00EF7D67"/>
    <w:rsid w:val="00F012BF"/>
    <w:rsid w:val="00F04755"/>
    <w:rsid w:val="00F0644D"/>
    <w:rsid w:val="00F06819"/>
    <w:rsid w:val="00F11564"/>
    <w:rsid w:val="00F15400"/>
    <w:rsid w:val="00F15997"/>
    <w:rsid w:val="00F176B7"/>
    <w:rsid w:val="00F21635"/>
    <w:rsid w:val="00F34662"/>
    <w:rsid w:val="00F34EF7"/>
    <w:rsid w:val="00F35532"/>
    <w:rsid w:val="00F36E9D"/>
    <w:rsid w:val="00F403CE"/>
    <w:rsid w:val="00F4236A"/>
    <w:rsid w:val="00F45F54"/>
    <w:rsid w:val="00F50499"/>
    <w:rsid w:val="00F50809"/>
    <w:rsid w:val="00F5199E"/>
    <w:rsid w:val="00F51BD7"/>
    <w:rsid w:val="00F53556"/>
    <w:rsid w:val="00F6041F"/>
    <w:rsid w:val="00F6231D"/>
    <w:rsid w:val="00F626BE"/>
    <w:rsid w:val="00F7793D"/>
    <w:rsid w:val="00F8218A"/>
    <w:rsid w:val="00FA18C3"/>
    <w:rsid w:val="00FA41C7"/>
    <w:rsid w:val="00FA49C7"/>
    <w:rsid w:val="00FA5E35"/>
    <w:rsid w:val="00FB77CA"/>
    <w:rsid w:val="00FC549A"/>
    <w:rsid w:val="00FC5EB1"/>
    <w:rsid w:val="00FC60BC"/>
    <w:rsid w:val="00FD105C"/>
    <w:rsid w:val="00FD251C"/>
    <w:rsid w:val="00FD5E2F"/>
    <w:rsid w:val="00FD6C27"/>
    <w:rsid w:val="00FE0510"/>
    <w:rsid w:val="00FE43F5"/>
    <w:rsid w:val="00FE49B3"/>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customStyle="1" w:styleId="UnresolvedMention">
    <w:name w:val="Unresolved Mention"/>
    <w:basedOn w:val="Domylnaczcionkaakapitu"/>
    <w:uiPriority w:val="99"/>
    <w:semiHidden/>
    <w:unhideWhenUsed/>
    <w:rsid w:val="000A578E"/>
    <w:rPr>
      <w:color w:val="605E5C"/>
      <w:shd w:val="clear" w:color="auto" w:fill="E1DFDD"/>
    </w:rPr>
  </w:style>
  <w:style w:type="character" w:styleId="UyteHipercze">
    <w:name w:val="FollowedHyperlink"/>
    <w:basedOn w:val="Domylnaczcionkaakapitu"/>
    <w:uiPriority w:val="99"/>
    <w:semiHidden/>
    <w:unhideWhenUsed/>
    <w:rsid w:val="000A57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8696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E5E3E-8065-480D-A195-26F991D7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11</Pages>
  <Words>3879</Words>
  <Characters>23275</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basia</cp:lastModifiedBy>
  <cp:revision>62</cp:revision>
  <cp:lastPrinted>2024-10-28T09:53:00Z</cp:lastPrinted>
  <dcterms:created xsi:type="dcterms:W3CDTF">2024-01-23T08:18:00Z</dcterms:created>
  <dcterms:modified xsi:type="dcterms:W3CDTF">2024-10-28T11:50:00Z</dcterms:modified>
</cp:coreProperties>
</file>