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E3D" w:rsidRDefault="00135E3D" w:rsidP="00FF4C1D">
      <w:pPr>
        <w:suppressAutoHyphens/>
        <w:rPr>
          <w:rFonts w:ascii="Times New Roman" w:hAnsi="Times New Roman"/>
          <w:b/>
          <w:caps/>
          <w:snapToGrid w:val="0"/>
          <w:sz w:val="20"/>
        </w:rPr>
      </w:pPr>
      <w:r w:rsidRPr="00FF4C1D">
        <w:rPr>
          <w:rFonts w:ascii="Times New Roman" w:hAnsi="Times New Roman"/>
          <w:b/>
          <w:sz w:val="20"/>
        </w:rPr>
        <w:t xml:space="preserve">D.04.01.01. </w:t>
      </w:r>
      <w:r w:rsidR="00FF4C1D" w:rsidRPr="00FF4C1D">
        <w:rPr>
          <w:rFonts w:ascii="Times New Roman" w:hAnsi="Times New Roman"/>
          <w:b/>
          <w:sz w:val="20"/>
        </w:rPr>
        <w:tab/>
      </w:r>
      <w:r w:rsidR="00F53822" w:rsidRPr="00FF4C1D">
        <w:rPr>
          <w:rFonts w:ascii="Times New Roman" w:hAnsi="Times New Roman"/>
          <w:b/>
          <w:caps/>
          <w:snapToGrid w:val="0"/>
          <w:sz w:val="20"/>
        </w:rPr>
        <w:t xml:space="preserve">Koryto wraz </w:t>
      </w:r>
      <w:r w:rsidRPr="00FF4C1D">
        <w:rPr>
          <w:rFonts w:ascii="Times New Roman" w:hAnsi="Times New Roman"/>
          <w:b/>
          <w:caps/>
          <w:snapToGrid w:val="0"/>
          <w:sz w:val="20"/>
        </w:rPr>
        <w:t>Profilowanie</w:t>
      </w:r>
      <w:r w:rsidR="00F53822" w:rsidRPr="00FF4C1D">
        <w:rPr>
          <w:rFonts w:ascii="Times New Roman" w:hAnsi="Times New Roman"/>
          <w:b/>
          <w:caps/>
          <w:snapToGrid w:val="0"/>
          <w:sz w:val="20"/>
        </w:rPr>
        <w:t>m</w:t>
      </w:r>
      <w:r w:rsidR="00FF4C1D">
        <w:rPr>
          <w:rFonts w:ascii="Times New Roman" w:hAnsi="Times New Roman"/>
          <w:b/>
          <w:sz w:val="20"/>
        </w:rPr>
        <w:t xml:space="preserve"> </w:t>
      </w:r>
      <w:r w:rsidRPr="00FF4C1D">
        <w:rPr>
          <w:rFonts w:ascii="Times New Roman" w:hAnsi="Times New Roman"/>
          <w:b/>
          <w:caps/>
          <w:snapToGrid w:val="0"/>
          <w:sz w:val="20"/>
        </w:rPr>
        <w:t>i zagęszczenie</w:t>
      </w:r>
      <w:r w:rsidR="00F53822" w:rsidRPr="00FF4C1D">
        <w:rPr>
          <w:rFonts w:ascii="Times New Roman" w:hAnsi="Times New Roman"/>
          <w:b/>
          <w:caps/>
          <w:snapToGrid w:val="0"/>
          <w:sz w:val="20"/>
        </w:rPr>
        <w:t>m</w:t>
      </w:r>
      <w:r w:rsidRPr="00FF4C1D">
        <w:rPr>
          <w:rFonts w:ascii="Times New Roman" w:hAnsi="Times New Roman"/>
          <w:b/>
          <w:caps/>
          <w:snapToGrid w:val="0"/>
          <w:sz w:val="20"/>
        </w:rPr>
        <w:t xml:space="preserve"> podłoża </w:t>
      </w:r>
    </w:p>
    <w:p w:rsidR="00FF4C1D" w:rsidRPr="00FF4C1D" w:rsidRDefault="00FF4C1D" w:rsidP="00FF4C1D">
      <w:pPr>
        <w:suppressAutoHyphens/>
        <w:rPr>
          <w:rFonts w:ascii="Times New Roman" w:hAnsi="Times New Roman"/>
          <w:b/>
          <w:sz w:val="20"/>
        </w:rPr>
      </w:pP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1. Wstęp</w:t>
      </w:r>
    </w:p>
    <w:p w:rsidR="00F53822" w:rsidRPr="00FF4C1D" w:rsidRDefault="00F53822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Przedmiotem niniejszych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 xml:space="preserve"> są wytyczne dla robót związanych z wykonaniem koryta pod konstrukcję nawierzchni wraz z profilowaniem i zagęszczeniem podłoża</w:t>
      </w:r>
      <w:r w:rsidR="00CC261B" w:rsidRPr="00CC261B">
        <w:rPr>
          <w:rFonts w:ascii="Times New Roman" w:hAnsi="Times New Roman"/>
          <w:b/>
          <w:bCs/>
          <w:iCs/>
          <w:sz w:val="20"/>
        </w:rPr>
        <w:t>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2. Materiały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- nie występują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3. Sprzęt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Ogólne wymagania dotyczące sprzętu podano w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 xml:space="preserve"> D-M.00.00.00. "Wymagania ogólne".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Wykonawca jest zobowiązany do używania jedynie takiego rodzaju sprzętu, który nie spowoduje niekorzystnego wpływu na właściwości gruntu podłoża.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Do wykonywania robót należy stosować koparki, równiarki samojezdne lub spycharki uniwersalne z ukośnie ustawionym lemieszem, a w razie potrzeby również sprzęt do ręcznego prowadzenia robót. 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Do zagęszczania podłoża należy użyć walców oraz ewentualnie w miejscach trudno dostępnych innego sprzętu zagęszczającego (np. płyty wibracyjne), zapewniającego uzyskanie wymaganych wartości wskaźnika zagęszczenia.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Sprzęt budowlany powinien odpowiadać pod względem typów i ilości wskazaniom zawartym w PZJ lub projekcie organizacji robót, zaakceptowanym przez Inżyniera.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4. Transport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- nie występuje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 Wykonanie robót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Ogólne zasady wykonywania robót podano w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 xml:space="preserve"> D-M.00.00.00. „Wymagania ogólne” pkt. 5.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5.1. Warunki przystąpienia do robót</w:t>
      </w:r>
    </w:p>
    <w:p w:rsidR="00F53822" w:rsidRPr="00FF4C1D" w:rsidRDefault="00F53822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Wykonawca może przystąpić do wykonywania koryta oraz profilowania i zagęszczenia podłoża dopiero po zakończeniu i odebraniu robót związanych z wykonaniem elementów odwodnienia i instalacji urządzeń podziemnych w korpusie ziemnym.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Wykonawca powinien przystąpić do </w:t>
      </w:r>
      <w:r w:rsidR="00F53822" w:rsidRPr="00FF4C1D">
        <w:rPr>
          <w:rFonts w:ascii="Times New Roman" w:hAnsi="Times New Roman"/>
          <w:sz w:val="20"/>
        </w:rPr>
        <w:t xml:space="preserve">wykonywania koryta oraz </w:t>
      </w:r>
      <w:r w:rsidRPr="00FF4C1D">
        <w:rPr>
          <w:rFonts w:ascii="Times New Roman" w:hAnsi="Times New Roman"/>
          <w:sz w:val="20"/>
        </w:rPr>
        <w:t xml:space="preserve">profilowania i zagęszczenia podłoża bezpośrednio przed rozpoczęciem robót związanych z wykonaniem warstw nawierzchni. Wcześniejsze przystąpienie do </w:t>
      </w:r>
      <w:r w:rsidR="00F53822" w:rsidRPr="00FF4C1D">
        <w:rPr>
          <w:rFonts w:ascii="Times New Roman" w:hAnsi="Times New Roman"/>
          <w:sz w:val="20"/>
        </w:rPr>
        <w:t xml:space="preserve">wykonania koryta oraz </w:t>
      </w:r>
      <w:r w:rsidRPr="00FF4C1D">
        <w:rPr>
          <w:rFonts w:ascii="Times New Roman" w:hAnsi="Times New Roman"/>
          <w:sz w:val="20"/>
        </w:rPr>
        <w:t>profilowania i zagęszczania podłoża i wykonania tych robót z wyprzedzeniem możliwe jest wyłącznie za zgodą Inżyniera, w korzystnych warunkach atmosferycznych.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Po wyprofilowanym i zagęszczonym podłożu nie może odbywać się ruch budowlany, niezwiązany bezpośrednio z wykonaniem pierwszej warstwy nawierzchni.</w:t>
      </w:r>
    </w:p>
    <w:p w:rsidR="00F53822" w:rsidRPr="00FF4C1D" w:rsidRDefault="00F53822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5.2. Wykonanie koryta</w:t>
      </w:r>
    </w:p>
    <w:p w:rsidR="00F53822" w:rsidRPr="00FF4C1D" w:rsidRDefault="00F53822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Rodzaj sprzętu, a w szczególności jego moc należy dostosować do rodzaju gruntu, w którym prowadzone są roboty i do trudności jego zagęszczenia.</w:t>
      </w:r>
    </w:p>
    <w:p w:rsidR="00F53822" w:rsidRPr="00FF4C1D" w:rsidRDefault="00F53822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3E1283" w:rsidRPr="00FF4C1D" w:rsidRDefault="00004F5F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</w:t>
      </w:r>
      <w:r w:rsidR="00F53822" w:rsidRPr="00FF4C1D">
        <w:rPr>
          <w:rFonts w:ascii="Times New Roman" w:hAnsi="Times New Roman"/>
          <w:b/>
          <w:sz w:val="20"/>
        </w:rPr>
        <w:t>3</w:t>
      </w:r>
      <w:r w:rsidR="003E1283" w:rsidRPr="00FF4C1D">
        <w:rPr>
          <w:rFonts w:ascii="Times New Roman" w:hAnsi="Times New Roman"/>
          <w:b/>
          <w:sz w:val="20"/>
        </w:rPr>
        <w:t>. Profilowanie podłoża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Przygotowane w ramach robót ziemnych podłoże </w:t>
      </w:r>
      <w:r w:rsidR="00C96438" w:rsidRPr="00FF4C1D">
        <w:rPr>
          <w:rFonts w:ascii="Times New Roman" w:hAnsi="Times New Roman"/>
          <w:sz w:val="20"/>
        </w:rPr>
        <w:t xml:space="preserve">gruntowe </w:t>
      </w:r>
      <w:r w:rsidRPr="00FF4C1D">
        <w:rPr>
          <w:rFonts w:ascii="Times New Roman" w:hAnsi="Times New Roman"/>
          <w:sz w:val="20"/>
        </w:rPr>
        <w:t xml:space="preserve">powinno spełniać wymagania podane w Dokumentacji Projektowej (pochylenia, rzędne wysokościowe) 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Przed przystąpieniem do profilowania podłoże powinno być oczyszczone ze wszelkich zanieczyszczeń, błota lub gruntu, który uległ nadmiernemu zawilgoceniu.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Jeżeli rzędne podłoża przed profilowaniem nie wymagają dowiezienia i wbudowania dodatkowego gruntu to przed przystąpieniem do profilowania oczyszczonego podłoża jego powierzchnię należy dogęścić 3-4 przejściami średniego walca stalowego, gładkiego lub w inny sposób zaakceptowany przez Inżyniera.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Do profilowania należy stosować równiarki. Ścięty grunt powinien być wykorzystany w robotach ziemnych lub w inny sposób zaakceptowany przez Inżyniera.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</w:t>
      </w:r>
      <w:r w:rsidR="002327FD" w:rsidRPr="00FF4C1D">
        <w:rPr>
          <w:rFonts w:ascii="Times New Roman" w:hAnsi="Times New Roman"/>
          <w:b/>
          <w:sz w:val="20"/>
        </w:rPr>
        <w:t>4</w:t>
      </w:r>
      <w:r w:rsidRPr="00FF4C1D">
        <w:rPr>
          <w:rFonts w:ascii="Times New Roman" w:hAnsi="Times New Roman"/>
          <w:b/>
          <w:sz w:val="20"/>
        </w:rPr>
        <w:t xml:space="preserve">. Zagęszczenie </w:t>
      </w:r>
      <w:r w:rsidR="0028756C" w:rsidRPr="00FF4C1D">
        <w:rPr>
          <w:rFonts w:ascii="Times New Roman" w:hAnsi="Times New Roman"/>
          <w:b/>
          <w:sz w:val="20"/>
        </w:rPr>
        <w:t xml:space="preserve">i nośność </w:t>
      </w:r>
      <w:r w:rsidRPr="00FF4C1D">
        <w:rPr>
          <w:rFonts w:ascii="Times New Roman" w:hAnsi="Times New Roman"/>
          <w:b/>
          <w:sz w:val="20"/>
        </w:rPr>
        <w:t>podłoża</w:t>
      </w:r>
      <w:r w:rsidR="00923416" w:rsidRPr="00FF4C1D">
        <w:rPr>
          <w:rFonts w:ascii="Times New Roman" w:hAnsi="Times New Roman"/>
          <w:b/>
          <w:sz w:val="20"/>
        </w:rPr>
        <w:t xml:space="preserve"> gruntowego</w:t>
      </w:r>
    </w:p>
    <w:p w:rsidR="00625E66" w:rsidRPr="00FF4C1D" w:rsidRDefault="00625E66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Bezpośrednio po profilowaniu podłoża należy przystąpić do jego dogęszczania przez wałowanie</w:t>
      </w:r>
      <w:r w:rsidR="00860F0F" w:rsidRPr="00FF4C1D">
        <w:rPr>
          <w:rFonts w:ascii="Times New Roman" w:hAnsi="Times New Roman"/>
          <w:sz w:val="20"/>
        </w:rPr>
        <w:t>.</w:t>
      </w:r>
      <w:r w:rsidRPr="00FF4C1D">
        <w:rPr>
          <w:rFonts w:ascii="Times New Roman" w:hAnsi="Times New Roman"/>
          <w:sz w:val="20"/>
        </w:rPr>
        <w:t xml:space="preserve"> </w:t>
      </w:r>
      <w:r w:rsidR="00860F0F" w:rsidRPr="00FF4C1D">
        <w:rPr>
          <w:rFonts w:ascii="Times New Roman" w:hAnsi="Times New Roman"/>
          <w:sz w:val="20"/>
        </w:rPr>
        <w:t>J</w:t>
      </w:r>
      <w:r w:rsidRPr="00FF4C1D">
        <w:rPr>
          <w:rFonts w:ascii="Times New Roman" w:hAnsi="Times New Roman"/>
          <w:sz w:val="20"/>
        </w:rPr>
        <w:t>akiekolwiek nierówności powstałe przy zagęszczeniu powinny być naprawione przez Wykonawcę w sposób zaakceptowany przez Inżyniera.</w:t>
      </w:r>
    </w:p>
    <w:p w:rsidR="00625E66" w:rsidRPr="00FF4C1D" w:rsidRDefault="00625E66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Zagęszczanie podłoża należy kontrolować według normalnej próby </w:t>
      </w:r>
      <w:proofErr w:type="spellStart"/>
      <w:r w:rsidRPr="00FF4C1D">
        <w:rPr>
          <w:rFonts w:ascii="Times New Roman" w:hAnsi="Times New Roman"/>
          <w:sz w:val="20"/>
        </w:rPr>
        <w:t>Proctora</w:t>
      </w:r>
      <w:proofErr w:type="spellEnd"/>
      <w:r w:rsidRPr="00FF4C1D">
        <w:rPr>
          <w:rFonts w:ascii="Times New Roman" w:hAnsi="Times New Roman"/>
          <w:sz w:val="20"/>
        </w:rPr>
        <w:t xml:space="preserve">, przeprowadzonej zgodnie z PN-B-04481 ( metoda I ). </w:t>
      </w:r>
      <w:r w:rsidR="00B5625C" w:rsidRPr="00FF4C1D">
        <w:rPr>
          <w:rFonts w:ascii="Times New Roman" w:hAnsi="Times New Roman"/>
          <w:sz w:val="20"/>
        </w:rPr>
        <w:t>Wskaźnik zagęszczenia  należy określić  zgodnie z BN-77/8931-12.Minimalną</w:t>
      </w:r>
    </w:p>
    <w:p w:rsidR="00B5625C" w:rsidRPr="00FF4C1D" w:rsidRDefault="00B5625C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Wartość wskaźnika zagęszczenia podano w tablicy 1.</w:t>
      </w:r>
      <w:bookmarkStart w:id="0" w:name="_GoBack"/>
      <w:bookmarkEnd w:id="0"/>
    </w:p>
    <w:p w:rsidR="00B5625C" w:rsidRPr="00FF4C1D" w:rsidRDefault="00B5625C" w:rsidP="00FF4C1D">
      <w:pPr>
        <w:rPr>
          <w:rFonts w:ascii="Times New Roman" w:hAnsi="Times New Roman"/>
          <w:sz w:val="6"/>
          <w:szCs w:val="6"/>
        </w:rPr>
      </w:pPr>
    </w:p>
    <w:p w:rsidR="008B419C" w:rsidRPr="00FF4C1D" w:rsidRDefault="007D3544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Tablica 1. Minimalne wartości wskaźnika zagęszczenia podłoża ( </w:t>
      </w:r>
      <w:proofErr w:type="spellStart"/>
      <w:r w:rsidR="00860F0F" w:rsidRPr="00FF4C1D">
        <w:rPr>
          <w:rFonts w:ascii="Times New Roman" w:hAnsi="Times New Roman"/>
          <w:sz w:val="20"/>
        </w:rPr>
        <w:t>I</w:t>
      </w:r>
      <w:r w:rsidRPr="00FF4C1D">
        <w:rPr>
          <w:rFonts w:ascii="Times New Roman" w:hAnsi="Times New Roman"/>
          <w:sz w:val="20"/>
        </w:rPr>
        <w:t>s</w:t>
      </w:r>
      <w:proofErr w:type="spellEnd"/>
      <w:r w:rsidRPr="00FF4C1D">
        <w:rPr>
          <w:rFonts w:ascii="Times New Roman" w:hAnsi="Times New Roman"/>
          <w:sz w:val="20"/>
        </w:rP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815B30" w:rsidRPr="002C513E" w:rsidTr="000122C5">
        <w:tc>
          <w:tcPr>
            <w:tcW w:w="230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09" w:type="dxa"/>
            <w:gridSpan w:val="3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Kategoria ruchu</w:t>
            </w:r>
          </w:p>
        </w:tc>
      </w:tr>
      <w:tr w:rsidR="00815B30" w:rsidRPr="002C513E" w:rsidTr="000122C5">
        <w:tc>
          <w:tcPr>
            <w:tcW w:w="2302" w:type="dxa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KR1 - KR2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KR3 - KR4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KR5 – KR6</w:t>
            </w:r>
          </w:p>
        </w:tc>
      </w:tr>
      <w:tr w:rsidR="00815B30" w:rsidRPr="002C513E" w:rsidTr="000122C5">
        <w:tc>
          <w:tcPr>
            <w:tcW w:w="2302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górna warstwa o grubości 20 cm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=1,00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 1,00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 1,03</w:t>
            </w:r>
          </w:p>
        </w:tc>
      </w:tr>
      <w:tr w:rsidR="009B428C" w:rsidRPr="002C513E" w:rsidTr="000122C5">
        <w:tc>
          <w:tcPr>
            <w:tcW w:w="2302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na głębokość od 20 do 50cm od powierzchni robot ziemnych lub terenu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 0,97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 1,00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A3FCA" w:rsidRPr="002C513E" w:rsidRDefault="00EA3FCA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2C513E">
              <w:rPr>
                <w:rFonts w:ascii="Times New Roman" w:hAnsi="Times New Roman"/>
                <w:sz w:val="16"/>
                <w:szCs w:val="16"/>
              </w:rPr>
              <w:t>IS = 1,00</w:t>
            </w:r>
          </w:p>
        </w:tc>
      </w:tr>
    </w:tbl>
    <w:p w:rsidR="001E1826" w:rsidRPr="00FF4C1D" w:rsidRDefault="001E1826" w:rsidP="00FF4C1D">
      <w:pPr>
        <w:rPr>
          <w:rFonts w:ascii="Times New Roman" w:hAnsi="Times New Roman"/>
          <w:sz w:val="20"/>
        </w:rPr>
      </w:pPr>
    </w:p>
    <w:p w:rsidR="008C4062" w:rsidRPr="00FF4C1D" w:rsidRDefault="001E1826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lastRenderedPageBreak/>
        <w:t>Wilgotnoś</w:t>
      </w:r>
      <w:r w:rsidR="003E762F" w:rsidRPr="00FF4C1D">
        <w:rPr>
          <w:rFonts w:ascii="Times New Roman" w:hAnsi="Times New Roman"/>
          <w:sz w:val="20"/>
        </w:rPr>
        <w:t>ć</w:t>
      </w:r>
      <w:r w:rsidRPr="00FF4C1D">
        <w:rPr>
          <w:rFonts w:ascii="Times New Roman" w:hAnsi="Times New Roman"/>
          <w:sz w:val="20"/>
        </w:rPr>
        <w:t xml:space="preserve"> gruntu podłoża przy zagęszczeniu nie powinna różni</w:t>
      </w:r>
      <w:r w:rsidR="009A7CC5" w:rsidRPr="00FF4C1D">
        <w:rPr>
          <w:rFonts w:ascii="Times New Roman" w:hAnsi="Times New Roman"/>
          <w:sz w:val="20"/>
        </w:rPr>
        <w:t>ć</w:t>
      </w:r>
      <w:r w:rsidRPr="00FF4C1D">
        <w:rPr>
          <w:rFonts w:ascii="Times New Roman" w:hAnsi="Times New Roman"/>
          <w:sz w:val="20"/>
        </w:rPr>
        <w:t xml:space="preserve"> się od wilgotności optymalnej o więcej niż ( wg PN-S-02205:1998)</w:t>
      </w:r>
    </w:p>
    <w:p w:rsidR="008C4062" w:rsidRPr="00FF4C1D" w:rsidRDefault="001E1826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- w gruntach niespoistych ± 2%</w:t>
      </w:r>
    </w:p>
    <w:p w:rsidR="009A7CC5" w:rsidRPr="00FF4C1D" w:rsidRDefault="009A7CC5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- w gruntach mało i </w:t>
      </w:r>
      <w:proofErr w:type="spellStart"/>
      <w:r w:rsidRPr="00FF4C1D">
        <w:rPr>
          <w:rFonts w:ascii="Times New Roman" w:hAnsi="Times New Roman"/>
          <w:sz w:val="20"/>
        </w:rPr>
        <w:t>średniospoistych</w:t>
      </w:r>
      <w:proofErr w:type="spellEnd"/>
      <w:r w:rsidRPr="00FF4C1D">
        <w:rPr>
          <w:rFonts w:ascii="Times New Roman" w:hAnsi="Times New Roman"/>
          <w:sz w:val="20"/>
        </w:rPr>
        <w:t xml:space="preserve"> +0% do -2%</w:t>
      </w:r>
    </w:p>
    <w:p w:rsidR="009A7CC5" w:rsidRPr="00FF4C1D" w:rsidRDefault="009A7CC5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Jako zastępcze kryterium oceny wymaganego zagęszczenia gruntów, dla których trudne jest pomierzenie wskaźnika zagęszczenia, przyjmuje się wartość wskaźnik odkształcenia </w:t>
      </w:r>
      <w:proofErr w:type="spellStart"/>
      <w:r w:rsidRPr="00FF4C1D">
        <w:rPr>
          <w:rFonts w:ascii="Times New Roman" w:hAnsi="Times New Roman"/>
          <w:sz w:val="20"/>
        </w:rPr>
        <w:t>I</w:t>
      </w:r>
      <w:r w:rsidR="009A28BF" w:rsidRPr="00FF4C1D">
        <w:rPr>
          <w:rFonts w:ascii="Times New Roman" w:hAnsi="Times New Roman"/>
          <w:sz w:val="20"/>
          <w:vertAlign w:val="subscript"/>
        </w:rPr>
        <w:t>o</w:t>
      </w:r>
      <w:proofErr w:type="spellEnd"/>
      <w:r w:rsidRPr="00FF4C1D">
        <w:rPr>
          <w:rFonts w:ascii="Times New Roman" w:hAnsi="Times New Roman"/>
          <w:sz w:val="20"/>
        </w:rPr>
        <w:t>, wyznaczonego wg PN-S-02205 ( Załącznik B ),równego stosunkowi modułów odkształcenia wtórnego E</w:t>
      </w:r>
      <w:r w:rsidRPr="00FF4C1D">
        <w:rPr>
          <w:rFonts w:ascii="Times New Roman" w:hAnsi="Times New Roman"/>
          <w:sz w:val="20"/>
          <w:vertAlign w:val="subscript"/>
        </w:rPr>
        <w:t>2</w:t>
      </w:r>
      <w:r w:rsidRPr="00FF4C1D">
        <w:rPr>
          <w:rFonts w:ascii="Times New Roman" w:hAnsi="Times New Roman"/>
          <w:sz w:val="20"/>
        </w:rPr>
        <w:t xml:space="preserve"> do pierwotnego </w:t>
      </w:r>
      <w:r w:rsidR="009A28BF" w:rsidRPr="00FF4C1D">
        <w:rPr>
          <w:rFonts w:ascii="Times New Roman" w:hAnsi="Times New Roman"/>
          <w:sz w:val="20"/>
        </w:rPr>
        <w:t>E</w:t>
      </w:r>
      <w:r w:rsidR="009A28BF" w:rsidRPr="00FF4C1D">
        <w:rPr>
          <w:rFonts w:ascii="Times New Roman" w:hAnsi="Times New Roman"/>
          <w:sz w:val="20"/>
          <w:vertAlign w:val="subscript"/>
        </w:rPr>
        <w:t>1</w:t>
      </w:r>
      <w:r w:rsidRPr="00FF4C1D">
        <w:rPr>
          <w:rFonts w:ascii="Times New Roman" w:hAnsi="Times New Roman"/>
          <w:sz w:val="20"/>
        </w:rPr>
        <w:t xml:space="preserve"> o wartości tego stosunku </w:t>
      </w:r>
      <w:r w:rsidR="003E762F" w:rsidRPr="00FF4C1D">
        <w:rPr>
          <w:rFonts w:ascii="Times New Roman" w:hAnsi="Times New Roman"/>
          <w:sz w:val="20"/>
        </w:rPr>
        <w:t>≤ 2.2</w:t>
      </w:r>
    </w:p>
    <w:p w:rsidR="008B419C" w:rsidRPr="00FF4C1D" w:rsidRDefault="008B419C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Minimalne wartości wtórnego modułu odkształcenia na poziomie spodu konstrukcji nawierzchni ( koryta ) powinny wynosić: </w:t>
      </w:r>
    </w:p>
    <w:p w:rsidR="008B419C" w:rsidRPr="00FF4C1D" w:rsidRDefault="008B419C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- dla ruchu KR3</w:t>
      </w:r>
      <m:oMath>
        <m:r>
          <w:rPr>
            <w:rFonts w:ascii="Cambria Math" w:hAnsi="Cambria Math"/>
            <w:sz w:val="20"/>
          </w:rPr>
          <m:t>÷</m:t>
        </m:r>
      </m:oMath>
      <w:r w:rsidRPr="00FF4C1D">
        <w:rPr>
          <w:rFonts w:ascii="Times New Roman" w:hAnsi="Times New Roman"/>
          <w:sz w:val="20"/>
        </w:rPr>
        <w:t>KR</w:t>
      </w:r>
      <w:r w:rsidR="001E1826" w:rsidRPr="00FF4C1D">
        <w:rPr>
          <w:rFonts w:ascii="Times New Roman" w:hAnsi="Times New Roman"/>
          <w:sz w:val="20"/>
        </w:rPr>
        <w:t>6</w:t>
      </w:r>
      <w:r w:rsidRPr="00FF4C1D">
        <w:rPr>
          <w:rFonts w:ascii="Times New Roman" w:hAnsi="Times New Roman"/>
          <w:sz w:val="20"/>
        </w:rPr>
        <w:t>, E</w:t>
      </w:r>
      <w:r w:rsidRPr="00FF4C1D">
        <w:rPr>
          <w:rFonts w:ascii="Times New Roman" w:hAnsi="Times New Roman"/>
          <w:sz w:val="20"/>
          <w:vertAlign w:val="subscript"/>
        </w:rPr>
        <w:t>2</w:t>
      </w:r>
      <w:r w:rsidR="009A28BF" w:rsidRPr="00FF4C1D">
        <w:rPr>
          <w:rFonts w:ascii="Times New Roman" w:hAnsi="Times New Roman"/>
          <w:sz w:val="20"/>
          <w:vertAlign w:val="subscript"/>
        </w:rPr>
        <w:t xml:space="preserve"> </w:t>
      </w:r>
      <w:r w:rsidRPr="00FF4C1D">
        <w:rPr>
          <w:rFonts w:ascii="Times New Roman" w:hAnsi="Times New Roman"/>
          <w:sz w:val="20"/>
        </w:rPr>
        <w:t>≥</w:t>
      </w:r>
      <w:r w:rsidR="009A28BF" w:rsidRPr="00FF4C1D">
        <w:rPr>
          <w:rFonts w:ascii="Times New Roman" w:hAnsi="Times New Roman"/>
          <w:sz w:val="20"/>
        </w:rPr>
        <w:t xml:space="preserve"> </w:t>
      </w:r>
      <w:r w:rsidRPr="00FF4C1D">
        <w:rPr>
          <w:rFonts w:ascii="Times New Roman" w:hAnsi="Times New Roman"/>
          <w:sz w:val="20"/>
        </w:rPr>
        <w:t xml:space="preserve">120 </w:t>
      </w:r>
      <w:proofErr w:type="spellStart"/>
      <w:r w:rsidRPr="00FF4C1D">
        <w:rPr>
          <w:rFonts w:ascii="Times New Roman" w:hAnsi="Times New Roman"/>
          <w:sz w:val="20"/>
        </w:rPr>
        <w:t>MPa</w:t>
      </w:r>
      <w:proofErr w:type="spellEnd"/>
    </w:p>
    <w:p w:rsidR="008B419C" w:rsidRPr="00FF4C1D" w:rsidRDefault="008B419C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- dla ruchu KR1</w:t>
      </w:r>
      <m:oMath>
        <m:r>
          <w:rPr>
            <w:rFonts w:ascii="Cambria Math" w:hAnsi="Cambria Math"/>
            <w:sz w:val="20"/>
          </w:rPr>
          <m:t>÷</m:t>
        </m:r>
      </m:oMath>
      <w:r w:rsidRPr="00FF4C1D">
        <w:rPr>
          <w:rFonts w:ascii="Times New Roman" w:hAnsi="Times New Roman"/>
          <w:sz w:val="20"/>
        </w:rPr>
        <w:t>KR2, E</w:t>
      </w:r>
      <w:r w:rsidRPr="00FF4C1D">
        <w:rPr>
          <w:rFonts w:ascii="Times New Roman" w:hAnsi="Times New Roman"/>
          <w:sz w:val="20"/>
          <w:vertAlign w:val="subscript"/>
        </w:rPr>
        <w:t>2</w:t>
      </w:r>
      <w:r w:rsidR="009A28BF" w:rsidRPr="00FF4C1D">
        <w:rPr>
          <w:rFonts w:ascii="Times New Roman" w:hAnsi="Times New Roman"/>
          <w:sz w:val="20"/>
          <w:vertAlign w:val="subscript"/>
        </w:rPr>
        <w:t xml:space="preserve"> </w:t>
      </w:r>
      <w:r w:rsidRPr="00FF4C1D">
        <w:rPr>
          <w:rFonts w:ascii="Times New Roman" w:hAnsi="Times New Roman"/>
          <w:sz w:val="20"/>
        </w:rPr>
        <w:t>≥</w:t>
      </w:r>
      <w:r w:rsidR="009A28BF" w:rsidRPr="00FF4C1D">
        <w:rPr>
          <w:rFonts w:ascii="Times New Roman" w:hAnsi="Times New Roman"/>
          <w:sz w:val="20"/>
        </w:rPr>
        <w:t xml:space="preserve"> </w:t>
      </w:r>
      <w:r w:rsidRPr="00FF4C1D">
        <w:rPr>
          <w:rFonts w:ascii="Times New Roman" w:hAnsi="Times New Roman"/>
          <w:sz w:val="20"/>
        </w:rPr>
        <w:t xml:space="preserve">100 </w:t>
      </w:r>
      <w:proofErr w:type="spellStart"/>
      <w:r w:rsidRPr="00FF4C1D">
        <w:rPr>
          <w:rFonts w:ascii="Times New Roman" w:hAnsi="Times New Roman"/>
          <w:sz w:val="20"/>
        </w:rPr>
        <w:t>MPa</w:t>
      </w:r>
      <w:proofErr w:type="spellEnd"/>
    </w:p>
    <w:p w:rsidR="007D3544" w:rsidRPr="00FF4C1D" w:rsidRDefault="007D3544" w:rsidP="00FF4C1D">
      <w:pPr>
        <w:rPr>
          <w:rFonts w:ascii="Times New Roman" w:hAnsi="Times New Roman"/>
          <w:sz w:val="6"/>
          <w:szCs w:val="6"/>
        </w:rPr>
      </w:pP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5.</w:t>
      </w:r>
      <w:r w:rsidR="00F626AE" w:rsidRPr="00FF4C1D">
        <w:rPr>
          <w:rFonts w:ascii="Times New Roman" w:hAnsi="Times New Roman"/>
          <w:b/>
          <w:sz w:val="20"/>
        </w:rPr>
        <w:t>5</w:t>
      </w:r>
      <w:r w:rsidRPr="00FF4C1D">
        <w:rPr>
          <w:rFonts w:ascii="Times New Roman" w:hAnsi="Times New Roman"/>
          <w:b/>
          <w:sz w:val="20"/>
        </w:rPr>
        <w:t>. Utrzymanie wyprofilowanego i zagęszczonego podłoża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Podłoże po wyprofilowaniu i zagęszczeniu powinno być utrzymywane w dobrym stanie.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Jeżeli po wykonaniu robót związanych z profilowaniem i zagęszczeniem podłoża nastąpi przerwa w robotach i Wykonawca nie przystąpi do natychmiastowego układania warstw nawierzchni, to powinien on zabezpieczyć podłoże przed nadmiernym zawilgoceniem, na przykład przez rozłożenie folii lub w inny sposób uzgodniony i zaakceptowany przez Inżyniera.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Jeżeli wyprofilowane i zagęszczone podłoże uległo nadmiernemu zawilgoceniu, to przystąpić do układania podbudowy można dopiero po jego naturalnym osuszeniu.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Po osuszeniu podłoża Inżynier oceni jego stan i ewentualnie zaleci wykonania niezbędnych napraw. Jeżeli zawilgocenie nastąpiło na skutek zaniedbań Wykonawcy, to naprawę wykona on na własny koszt.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6. Kontrola jakości robót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Ogólne zasady kontroli jakości robót podano w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 xml:space="preserve"> D-M.00.00.00. "Wymagania ogólne".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6.1. Częstotliwość oraz zakres badań i pomiarów</w:t>
      </w:r>
    </w:p>
    <w:p w:rsidR="00F626AE" w:rsidRPr="00FF4C1D" w:rsidRDefault="00F626AE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W czasie robót Wykonawca powinien prowadzić systematyczne badania kontrolne w zakresie i z częstością gwarantującą zachowanie wymagań jakości robót.</w:t>
      </w:r>
    </w:p>
    <w:p w:rsidR="00FF4C1D" w:rsidRPr="00FF4C1D" w:rsidRDefault="00FF4C1D" w:rsidP="00FF4C1D">
      <w:pPr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2656"/>
        <w:gridCol w:w="3298"/>
      </w:tblGrid>
      <w:tr w:rsidR="00815B30" w:rsidRPr="00C20B89" w:rsidTr="00524F7C">
        <w:trPr>
          <w:cantSplit/>
        </w:trPr>
        <w:tc>
          <w:tcPr>
            <w:tcW w:w="567" w:type="dxa"/>
            <w:vMerge w:val="restart"/>
            <w:shd w:val="pct5" w:color="auto" w:fill="FFFFFF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L.p.</w:t>
            </w:r>
          </w:p>
        </w:tc>
        <w:tc>
          <w:tcPr>
            <w:tcW w:w="2551" w:type="dxa"/>
            <w:vMerge w:val="restart"/>
            <w:shd w:val="pct5" w:color="auto" w:fill="FFFFFF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Wyszczególnienie badań</w:t>
            </w:r>
          </w:p>
        </w:tc>
        <w:tc>
          <w:tcPr>
            <w:tcW w:w="5954" w:type="dxa"/>
            <w:gridSpan w:val="2"/>
            <w:shd w:val="pct5" w:color="auto" w:fill="FFFFFF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Częstość badań</w:t>
            </w:r>
          </w:p>
        </w:tc>
      </w:tr>
      <w:tr w:rsidR="00815B30" w:rsidRPr="00C20B89" w:rsidTr="00524F7C">
        <w:trPr>
          <w:cantSplit/>
        </w:trPr>
        <w:tc>
          <w:tcPr>
            <w:tcW w:w="567" w:type="dxa"/>
            <w:vMerge/>
            <w:shd w:val="pct5" w:color="auto" w:fill="FFFFFF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pct5" w:color="auto" w:fill="FFFFFF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6" w:type="dxa"/>
            <w:shd w:val="pct5" w:color="auto" w:fill="FFFFFF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Minimalna liczba badań na dziennej działce roboczej</w:t>
            </w:r>
          </w:p>
        </w:tc>
        <w:tc>
          <w:tcPr>
            <w:tcW w:w="3298" w:type="dxa"/>
            <w:shd w:val="pct5" w:color="auto" w:fill="FFFFFF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Maksymalna powierzchnia (m</w:t>
            </w:r>
            <w:r w:rsidRPr="00C20B89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r w:rsidRPr="00C20B89">
              <w:rPr>
                <w:rFonts w:ascii="Times New Roman" w:hAnsi="Times New Roman"/>
                <w:sz w:val="16"/>
                <w:szCs w:val="16"/>
              </w:rPr>
              <w:t>) przypadająca na jedno badanie</w:t>
            </w:r>
          </w:p>
        </w:tc>
      </w:tr>
      <w:tr w:rsidR="00815B30" w:rsidRPr="00C20B89" w:rsidTr="00524F7C">
        <w:trPr>
          <w:cantSplit/>
          <w:trHeight w:val="445"/>
        </w:trPr>
        <w:tc>
          <w:tcPr>
            <w:tcW w:w="567" w:type="dxa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551" w:type="dxa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Cechy geometryczne</w:t>
            </w:r>
          </w:p>
        </w:tc>
        <w:tc>
          <w:tcPr>
            <w:tcW w:w="5954" w:type="dxa"/>
            <w:gridSpan w:val="2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Z częstością gwarantującą spełnienie wymagań przy odbiorze</w:t>
            </w:r>
          </w:p>
        </w:tc>
      </w:tr>
      <w:tr w:rsidR="00815B30" w:rsidRPr="00C20B89" w:rsidTr="00B43945">
        <w:trPr>
          <w:cantSplit/>
          <w:trHeight w:val="918"/>
        </w:trPr>
        <w:tc>
          <w:tcPr>
            <w:tcW w:w="567" w:type="dxa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551" w:type="dxa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Fonts w:ascii="Times New Roman" w:hAnsi="Times New Roman"/>
                <w:sz w:val="16"/>
                <w:szCs w:val="16"/>
              </w:rPr>
              <w:t>Zagęszczenie, nośność i wilgotność gruntu</w:t>
            </w:r>
          </w:p>
        </w:tc>
        <w:tc>
          <w:tcPr>
            <w:tcW w:w="5954" w:type="dxa"/>
            <w:gridSpan w:val="2"/>
            <w:vAlign w:val="center"/>
          </w:tcPr>
          <w:p w:rsidR="00F626AE" w:rsidRPr="00C20B89" w:rsidRDefault="00F626AE" w:rsidP="00FF4C1D">
            <w:pPr>
              <w:rPr>
                <w:rFonts w:ascii="Times New Roman" w:hAnsi="Times New Roman"/>
                <w:sz w:val="16"/>
                <w:szCs w:val="16"/>
              </w:rPr>
            </w:pPr>
            <w:r w:rsidRPr="00C20B89">
              <w:rPr>
                <w:rStyle w:val="podpunkt"/>
                <w:b w:val="0"/>
                <w:sz w:val="16"/>
                <w:szCs w:val="16"/>
              </w:rPr>
              <w:t xml:space="preserve">Polega na skontrolowaniu zgodności wskaźnika zagęszczenia </w:t>
            </w:r>
            <w:proofErr w:type="spellStart"/>
            <w:r w:rsidRPr="00C20B89">
              <w:rPr>
                <w:rStyle w:val="podpunkt"/>
                <w:b w:val="0"/>
                <w:sz w:val="16"/>
                <w:szCs w:val="16"/>
              </w:rPr>
              <w:t>I</w:t>
            </w:r>
            <w:r w:rsidRPr="00C20B89">
              <w:rPr>
                <w:rStyle w:val="podpunkt"/>
                <w:b w:val="0"/>
                <w:sz w:val="16"/>
                <w:szCs w:val="16"/>
                <w:vertAlign w:val="subscript"/>
              </w:rPr>
              <w:t>s</w:t>
            </w:r>
            <w:proofErr w:type="spellEnd"/>
            <w:r w:rsidRPr="00C20B89">
              <w:rPr>
                <w:rStyle w:val="podpunkt"/>
                <w:b w:val="0"/>
                <w:sz w:val="16"/>
                <w:szCs w:val="16"/>
              </w:rPr>
              <w:t xml:space="preserve"> (lub I</w:t>
            </w:r>
            <w:r w:rsidRPr="00C20B89">
              <w:rPr>
                <w:rStyle w:val="podpunkt"/>
                <w:b w:val="0"/>
                <w:sz w:val="16"/>
                <w:szCs w:val="16"/>
                <w:vertAlign w:val="subscript"/>
              </w:rPr>
              <w:t>0</w:t>
            </w:r>
            <w:r w:rsidRPr="00C20B89">
              <w:rPr>
                <w:rStyle w:val="podpunkt"/>
                <w:b w:val="0"/>
                <w:sz w:val="16"/>
                <w:szCs w:val="16"/>
              </w:rPr>
              <w:t>) oraz modułu odkształcenia E</w:t>
            </w:r>
            <w:r w:rsidRPr="00C20B89">
              <w:rPr>
                <w:rStyle w:val="podpunkt"/>
                <w:b w:val="0"/>
                <w:sz w:val="16"/>
                <w:szCs w:val="16"/>
                <w:vertAlign w:val="subscript"/>
              </w:rPr>
              <w:t>2</w:t>
            </w:r>
            <w:r w:rsidRPr="00C20B89">
              <w:rPr>
                <w:rStyle w:val="podpunkt"/>
                <w:b w:val="0"/>
                <w:sz w:val="16"/>
                <w:szCs w:val="16"/>
              </w:rPr>
              <w:t xml:space="preserve"> z częstościami określonymi w PN-S-02205, p. 3.2.11</w:t>
            </w:r>
            <w:r w:rsidR="009A28BF" w:rsidRPr="00C20B89">
              <w:rPr>
                <w:rStyle w:val="podpunkt"/>
                <w:b w:val="0"/>
                <w:sz w:val="16"/>
                <w:szCs w:val="16"/>
              </w:rPr>
              <w:t>,</w:t>
            </w:r>
            <w:r w:rsidR="0003295F" w:rsidRPr="00C20B89">
              <w:rPr>
                <w:rStyle w:val="podpunkt"/>
                <w:b w:val="0"/>
                <w:sz w:val="16"/>
                <w:szCs w:val="16"/>
              </w:rPr>
              <w:t xml:space="preserve"> lub innymi metodami zaakceptowanymi przez Inżyniera</w:t>
            </w:r>
            <w:r w:rsidRPr="00C20B89">
              <w:rPr>
                <w:rStyle w:val="podpunkt"/>
                <w:b w:val="0"/>
                <w:sz w:val="16"/>
                <w:szCs w:val="16"/>
              </w:rPr>
              <w:t>.</w:t>
            </w:r>
          </w:p>
        </w:tc>
      </w:tr>
    </w:tbl>
    <w:p w:rsidR="00F626AE" w:rsidRPr="00FF4C1D" w:rsidRDefault="00F626AE" w:rsidP="00FF4C1D">
      <w:pPr>
        <w:rPr>
          <w:rFonts w:ascii="Times New Roman" w:hAnsi="Times New Roman"/>
          <w:sz w:val="6"/>
          <w:szCs w:val="6"/>
        </w:rPr>
      </w:pPr>
    </w:p>
    <w:p w:rsidR="00F626AE" w:rsidRPr="00FF4C1D" w:rsidRDefault="00F626AE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Tolerancje dotyczące cech geometrycznych koryta drogi (szerokość, równość podłużna i poprzeczna, spadki poprzeczne, rzędne wysokościowe, ukształtowanie osi w planie) powinny być zgodne z wymaganiami podanymi w PN-S-002205, Tablica 1.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7. Obmiar robót</w:t>
      </w:r>
    </w:p>
    <w:p w:rsidR="0003295F" w:rsidRPr="00FF4C1D" w:rsidRDefault="0003295F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Kontrakt ryczałtowy – jednostką obmiaru jest wykonana i odebrana protokołem Odbioru Końcowego jednostka określona w </w:t>
      </w:r>
      <w:proofErr w:type="spellStart"/>
      <w:r w:rsidRPr="00FF4C1D">
        <w:rPr>
          <w:rFonts w:ascii="Times New Roman" w:hAnsi="Times New Roman"/>
          <w:sz w:val="20"/>
        </w:rPr>
        <w:t>STWiORB</w:t>
      </w:r>
      <w:proofErr w:type="spellEnd"/>
      <w:r w:rsidRPr="00FF4C1D">
        <w:rPr>
          <w:rFonts w:ascii="Times New Roman" w:hAnsi="Times New Roman"/>
          <w:sz w:val="20"/>
        </w:rPr>
        <w:t>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8. Odbiór robót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Ogólne zasady odbioru robót podano w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 xml:space="preserve"> D-M.00.00.00. "Wymagania ogólne".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 xml:space="preserve">Roboty uznaje się za wykonane zgodnie z Dokumentacją Projektową i </w:t>
      </w:r>
      <w:r w:rsidR="009F75A4">
        <w:rPr>
          <w:rFonts w:ascii="Times New Roman" w:hAnsi="Times New Roman"/>
          <w:sz w:val="20"/>
        </w:rPr>
        <w:t>SST</w:t>
      </w:r>
      <w:r w:rsidRPr="00FF4C1D">
        <w:rPr>
          <w:rFonts w:ascii="Times New Roman" w:hAnsi="Times New Roman"/>
          <w:sz w:val="20"/>
        </w:rPr>
        <w:t>, jeżeli wszystkie badania i pomiary wg pkt. 6 z uwzględnieniem tolerancji dały wyniki pozytywne.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 xml:space="preserve">9. </w:t>
      </w:r>
      <w:r w:rsidR="00BA6D80" w:rsidRPr="00FF4C1D">
        <w:rPr>
          <w:rFonts w:ascii="Times New Roman" w:hAnsi="Times New Roman"/>
          <w:b/>
          <w:sz w:val="20"/>
        </w:rPr>
        <w:t>Podstawa</w:t>
      </w:r>
      <w:r w:rsidRPr="00FF4C1D">
        <w:rPr>
          <w:rFonts w:ascii="Times New Roman" w:hAnsi="Times New Roman"/>
          <w:b/>
          <w:sz w:val="20"/>
        </w:rPr>
        <w:t xml:space="preserve"> płatności</w:t>
      </w:r>
    </w:p>
    <w:p w:rsidR="00BA6D80" w:rsidRPr="00FF4C1D" w:rsidRDefault="00BA6D80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Wynagrodzenie ryczałtowe: zasady płatności podano w umowie pomiędzy Zamawiającym a Wykonawcą.</w:t>
      </w:r>
    </w:p>
    <w:p w:rsidR="003E1283" w:rsidRPr="00FF4C1D" w:rsidRDefault="003E1283" w:rsidP="00FF4C1D">
      <w:pPr>
        <w:rPr>
          <w:rFonts w:ascii="Times New Roman" w:hAnsi="Times New Roman"/>
          <w:b/>
          <w:sz w:val="20"/>
        </w:rPr>
      </w:pPr>
      <w:r w:rsidRPr="00FF4C1D">
        <w:rPr>
          <w:rFonts w:ascii="Times New Roman" w:hAnsi="Times New Roman"/>
          <w:b/>
          <w:sz w:val="20"/>
        </w:rPr>
        <w:t>10. Przepisy związane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PN-S-02205</w:t>
      </w:r>
      <w:r w:rsidR="009A28BF" w:rsidRPr="00FF4C1D">
        <w:rPr>
          <w:rFonts w:ascii="Times New Roman" w:hAnsi="Times New Roman"/>
          <w:sz w:val="20"/>
        </w:rPr>
        <w:t>: 1998</w:t>
      </w:r>
      <w:r w:rsidRPr="00FF4C1D">
        <w:rPr>
          <w:rFonts w:ascii="Times New Roman" w:hAnsi="Times New Roman"/>
          <w:sz w:val="20"/>
        </w:rPr>
        <w:tab/>
        <w:t>Drogi samochodowe. Roboty ziemne. Wymagania i badania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PN-B-04481</w:t>
      </w:r>
      <w:r w:rsidR="009A28BF" w:rsidRPr="00FF4C1D">
        <w:rPr>
          <w:rFonts w:ascii="Times New Roman" w:hAnsi="Times New Roman"/>
          <w:sz w:val="20"/>
        </w:rPr>
        <w:t>:1988</w:t>
      </w:r>
      <w:r w:rsidRPr="00FF4C1D">
        <w:rPr>
          <w:rFonts w:ascii="Times New Roman" w:hAnsi="Times New Roman"/>
          <w:sz w:val="20"/>
        </w:rPr>
        <w:tab/>
        <w:t>Grunty budowlane. Badanie próbek gruntu.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BN-68/8931-04</w:t>
      </w:r>
      <w:r w:rsidRPr="00FF4C1D">
        <w:rPr>
          <w:rFonts w:ascii="Times New Roman" w:hAnsi="Times New Roman"/>
          <w:sz w:val="20"/>
        </w:rPr>
        <w:tab/>
      </w:r>
      <w:r w:rsidR="00C20B89">
        <w:rPr>
          <w:rFonts w:ascii="Times New Roman" w:hAnsi="Times New Roman"/>
          <w:sz w:val="20"/>
        </w:rPr>
        <w:tab/>
      </w:r>
      <w:r w:rsidRPr="00FF4C1D">
        <w:rPr>
          <w:rFonts w:ascii="Times New Roman" w:hAnsi="Times New Roman"/>
          <w:sz w:val="20"/>
        </w:rPr>
        <w:t xml:space="preserve">Drogi samochodowe. Pomiar nierówności nawierzchni </w:t>
      </w:r>
      <w:proofErr w:type="spellStart"/>
      <w:r w:rsidRPr="00FF4C1D">
        <w:rPr>
          <w:rFonts w:ascii="Times New Roman" w:hAnsi="Times New Roman"/>
          <w:sz w:val="20"/>
        </w:rPr>
        <w:t>planografem</w:t>
      </w:r>
      <w:proofErr w:type="spellEnd"/>
      <w:r w:rsidRPr="00FF4C1D">
        <w:rPr>
          <w:rFonts w:ascii="Times New Roman" w:hAnsi="Times New Roman"/>
          <w:sz w:val="20"/>
        </w:rPr>
        <w:t xml:space="preserve"> i łatą.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  <w:r w:rsidRPr="00FF4C1D">
        <w:rPr>
          <w:rFonts w:ascii="Times New Roman" w:hAnsi="Times New Roman"/>
          <w:sz w:val="20"/>
        </w:rPr>
        <w:t>BN-77/8931-12</w:t>
      </w:r>
      <w:r w:rsidRPr="00FF4C1D">
        <w:rPr>
          <w:rFonts w:ascii="Times New Roman" w:hAnsi="Times New Roman"/>
          <w:sz w:val="20"/>
        </w:rPr>
        <w:tab/>
      </w:r>
      <w:r w:rsidR="00C20B89">
        <w:rPr>
          <w:rFonts w:ascii="Times New Roman" w:hAnsi="Times New Roman"/>
          <w:sz w:val="20"/>
        </w:rPr>
        <w:tab/>
      </w:r>
      <w:r w:rsidRPr="00FF4C1D">
        <w:rPr>
          <w:rFonts w:ascii="Times New Roman" w:hAnsi="Times New Roman"/>
          <w:sz w:val="20"/>
        </w:rPr>
        <w:t>Oznaczanie wskaźnika zagęszczenia gruntu.</w:t>
      </w:r>
    </w:p>
    <w:p w:rsidR="003E1283" w:rsidRPr="00FF4C1D" w:rsidRDefault="003E1283" w:rsidP="00FF4C1D">
      <w:pPr>
        <w:rPr>
          <w:rFonts w:ascii="Times New Roman" w:hAnsi="Times New Roman"/>
          <w:sz w:val="20"/>
        </w:rPr>
      </w:pPr>
    </w:p>
    <w:sectPr w:rsidR="003E1283" w:rsidRPr="00FF4C1D" w:rsidSect="002429D4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993" w:right="1418" w:bottom="1135" w:left="1418" w:header="567" w:footer="862" w:gutter="0"/>
      <w:pgNumType w:start="4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49F" w:rsidRDefault="009F349F">
      <w:pPr>
        <w:spacing w:line="20" w:lineRule="exact"/>
      </w:pPr>
    </w:p>
  </w:endnote>
  <w:endnote w:type="continuationSeparator" w:id="0">
    <w:p w:rsidR="009F349F" w:rsidRDefault="009F349F">
      <w:r>
        <w:t xml:space="preserve"> </w:t>
      </w:r>
    </w:p>
  </w:endnote>
  <w:endnote w:type="continuationNotice" w:id="1">
    <w:p w:rsidR="009F349F" w:rsidRDefault="009F349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Gatineau">
    <w:altName w:val="Albertus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283" w:rsidRDefault="003E1283" w:rsidP="0062324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1283" w:rsidRDefault="003E1283">
    <w:pPr>
      <w:pBdr>
        <w:bottom w:val="single" w:sz="12" w:space="1" w:color="auto"/>
      </w:pBdr>
      <w:tabs>
        <w:tab w:val="right" w:pos="9636"/>
      </w:tabs>
      <w:suppressAutoHyphens/>
      <w:jc w:val="both"/>
      <w:rPr>
        <w:rFonts w:ascii="Times New Roman" w:hAnsi="Times New Roman"/>
        <w:i/>
        <w:spacing w:val="-1"/>
        <w:sz w:val="16"/>
        <w:lang w:val="en-US"/>
      </w:rPr>
    </w:pPr>
  </w:p>
  <w:p w:rsidR="003E1283" w:rsidRDefault="003E1283">
    <w:pPr>
      <w:tabs>
        <w:tab w:val="right" w:pos="9636"/>
      </w:tabs>
      <w:suppressAutoHyphens/>
      <w:jc w:val="both"/>
      <w:rPr>
        <w:rFonts w:ascii="Impact" w:hAnsi="Impact"/>
        <w:spacing w:val="-3"/>
      </w:rPr>
    </w:pPr>
    <w:r>
      <w:rPr>
        <w:rFonts w:ascii="Impact" w:hAnsi="Impact"/>
        <w:i/>
        <w:spacing w:val="-1"/>
        <w:sz w:val="14"/>
        <w:lang w:val="en-US"/>
      </w:rPr>
      <w:tab/>
    </w:r>
    <w:r>
      <w:rPr>
        <w:rFonts w:ascii="Times New Roman" w:hAnsi="Times New Roman"/>
        <w:i/>
        <w:spacing w:val="-1"/>
        <w:sz w:val="16"/>
      </w:rPr>
      <w:t>OBWODNICA m. BIAŁOBRZEGI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D4" w:rsidRPr="002429D4" w:rsidRDefault="002429D4">
    <w:pPr>
      <w:pStyle w:val="Stopka"/>
      <w:jc w:val="right"/>
      <w:rPr>
        <w:sz w:val="14"/>
        <w:szCs w:val="14"/>
      </w:rPr>
    </w:pPr>
  </w:p>
  <w:p w:rsidR="002429D4" w:rsidRDefault="00242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49F" w:rsidRDefault="009F349F">
      <w:r>
        <w:separator/>
      </w:r>
    </w:p>
  </w:footnote>
  <w:footnote w:type="continuationSeparator" w:id="0">
    <w:p w:rsidR="009F349F" w:rsidRDefault="009F3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283" w:rsidRDefault="003E1283">
    <w:pPr>
      <w:pStyle w:val="Nagwek"/>
      <w:framePr w:wrap="around" w:vAnchor="text" w:hAnchor="margin" w:xAlign="outside" w:y="1"/>
      <w:rPr>
        <w:rStyle w:val="Numerstrony"/>
        <w:rFonts w:ascii="Times New Roman" w:hAnsi="Times New Roman"/>
        <w:sz w:val="22"/>
      </w:rPr>
    </w:pPr>
    <w:r>
      <w:rPr>
        <w:rStyle w:val="Numerstrony"/>
        <w:rFonts w:ascii="Times New Roman" w:hAnsi="Times New Roman"/>
        <w:sz w:val="22"/>
      </w:rPr>
      <w:fldChar w:fldCharType="begin"/>
    </w:r>
    <w:r>
      <w:rPr>
        <w:rStyle w:val="Numerstrony"/>
        <w:rFonts w:ascii="Times New Roman" w:hAnsi="Times New Roman"/>
        <w:sz w:val="22"/>
      </w:rPr>
      <w:instrText xml:space="preserve">PAGE  </w:instrText>
    </w:r>
    <w:r>
      <w:rPr>
        <w:rStyle w:val="Numerstrony"/>
        <w:rFonts w:ascii="Times New Roman" w:hAnsi="Times New Roman"/>
        <w:sz w:val="22"/>
      </w:rPr>
      <w:fldChar w:fldCharType="separate"/>
    </w:r>
    <w:r>
      <w:rPr>
        <w:rStyle w:val="Numerstrony"/>
        <w:rFonts w:ascii="Times New Roman" w:hAnsi="Times New Roman"/>
        <w:noProof/>
        <w:sz w:val="22"/>
      </w:rPr>
      <w:t>136</w:t>
    </w:r>
    <w:r>
      <w:rPr>
        <w:rStyle w:val="Numerstrony"/>
        <w:rFonts w:ascii="Times New Roman" w:hAnsi="Times New Roman"/>
        <w:sz w:val="22"/>
      </w:rPr>
      <w:fldChar w:fldCharType="end"/>
    </w:r>
  </w:p>
  <w:p w:rsidR="003E1283" w:rsidRDefault="00263847">
    <w:pPr>
      <w:pBdr>
        <w:bottom w:val="single" w:sz="12" w:space="1" w:color="auto"/>
      </w:pBdr>
      <w:tabs>
        <w:tab w:val="left" w:pos="-720"/>
      </w:tabs>
      <w:suppressAutoHyphens/>
      <w:ind w:right="-3"/>
      <w:jc w:val="both"/>
      <w:rPr>
        <w:rFonts w:ascii="Times New Roman" w:hAnsi="Times New Roman"/>
        <w:i/>
        <w:spacing w:val="-1"/>
        <w:sz w:val="16"/>
        <w:lang w:val="en-US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E0438D3" wp14:editId="7304B5BD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118860" cy="1524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88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E1283" w:rsidRDefault="003E1283">
                          <w:pPr>
                            <w:tabs>
                              <w:tab w:val="center" w:pos="4818"/>
                              <w:tab w:val="right" w:pos="9636"/>
                            </w:tabs>
                            <w:rPr>
                              <w:rFonts w:ascii="Gatineau" w:hAnsi="Gatineau"/>
                              <w:spacing w:val="-3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0438D3" id="Rectangle 1" o:spid="_x0000_s1026" style="position:absolute;left:0;text-align:left;margin-left:56.7pt;margin-top:0;width:481.8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" o:allowincell="f" filled="f" stroked="f" strokeweight="0">
              <v:textbox inset="0,0,0,0">
                <w:txbxContent>
                  <w:p w:rsidR="003E1283" w:rsidRDefault="003E1283">
                    <w:pPr>
                      <w:tabs>
                        <w:tab w:val="center" w:pos="4818"/>
                        <w:tab w:val="right" w:pos="9636"/>
                      </w:tabs>
                      <w:rPr>
                        <w:rFonts w:ascii="Gatineau" w:hAnsi="Gatineau"/>
                        <w:spacing w:val="-3"/>
                        <w:lang w:val="en-US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3E1283">
      <w:rPr>
        <w:rFonts w:ascii="Impact" w:hAnsi="Impact"/>
        <w:i/>
        <w:spacing w:val="-1"/>
        <w:sz w:val="14"/>
      </w:rPr>
      <w:tab/>
    </w:r>
    <w:r w:rsidR="003E1283">
      <w:rPr>
        <w:rFonts w:ascii="Times New Roman" w:hAnsi="Times New Roman"/>
        <w:i/>
        <w:spacing w:val="-1"/>
        <w:sz w:val="16"/>
      </w:rPr>
      <w:t>„Profil” Sp. z o.o.</w:t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</w:rPr>
      <w:tab/>
    </w:r>
    <w:r w:rsidR="003E1283">
      <w:rPr>
        <w:rFonts w:ascii="Times New Roman" w:hAnsi="Times New Roman"/>
        <w:i/>
        <w:spacing w:val="-1"/>
        <w:sz w:val="16"/>
        <w:lang w:val="en-US"/>
      </w:rPr>
      <w:t>D.04.01.01.</w:t>
    </w:r>
  </w:p>
  <w:p w:rsidR="003E1283" w:rsidRDefault="003E1283">
    <w:pPr>
      <w:spacing w:after="140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283" w:rsidRPr="00FF4C1D" w:rsidRDefault="00FF4C1D" w:rsidP="00FF4C1D">
    <w:pPr>
      <w:pBdr>
        <w:bottom w:val="single" w:sz="4" w:space="1" w:color="auto"/>
      </w:pBdr>
      <w:suppressAutoHyphens/>
      <w:jc w:val="center"/>
      <w:rPr>
        <w:rFonts w:ascii="Times New Roman" w:hAnsi="Times New Roman"/>
        <w:sz w:val="16"/>
        <w:szCs w:val="16"/>
      </w:rPr>
    </w:pPr>
    <w:r w:rsidRPr="00FF4C1D">
      <w:rPr>
        <w:rFonts w:ascii="Times New Roman" w:hAnsi="Times New Roman"/>
        <w:sz w:val="16"/>
        <w:szCs w:val="16"/>
      </w:rPr>
      <w:t xml:space="preserve">D.04.01.01. </w:t>
    </w:r>
    <w:r w:rsidRPr="00FF4C1D">
      <w:rPr>
        <w:rFonts w:ascii="Times New Roman" w:hAnsi="Times New Roman"/>
        <w:sz w:val="16"/>
        <w:szCs w:val="16"/>
      </w:rPr>
      <w:tab/>
    </w:r>
    <w:r w:rsidRPr="00FF4C1D">
      <w:rPr>
        <w:rFonts w:ascii="Times New Roman" w:hAnsi="Times New Roman"/>
        <w:caps/>
        <w:snapToGrid w:val="0"/>
        <w:sz w:val="16"/>
        <w:szCs w:val="16"/>
      </w:rPr>
      <w:t>Koryto wraz Profilowaniem</w:t>
    </w:r>
    <w:r w:rsidRPr="00FF4C1D">
      <w:rPr>
        <w:rFonts w:ascii="Times New Roman" w:hAnsi="Times New Roman"/>
        <w:sz w:val="16"/>
        <w:szCs w:val="16"/>
      </w:rPr>
      <w:t xml:space="preserve"> </w:t>
    </w:r>
    <w:r w:rsidRPr="00FF4C1D">
      <w:rPr>
        <w:rFonts w:ascii="Times New Roman" w:hAnsi="Times New Roman"/>
        <w:caps/>
        <w:snapToGrid w:val="0"/>
        <w:sz w:val="16"/>
        <w:szCs w:val="16"/>
      </w:rPr>
      <w:t>i zagęszczeniem podłoża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D6169B"/>
    <w:multiLevelType w:val="hybridMultilevel"/>
    <w:tmpl w:val="C3B44DE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81A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2E0D86"/>
    <w:multiLevelType w:val="singleLevel"/>
    <w:tmpl w:val="C296687E"/>
    <w:lvl w:ilvl="0">
      <w:start w:val="6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19DC3D5C"/>
    <w:multiLevelType w:val="hybridMultilevel"/>
    <w:tmpl w:val="8C622092"/>
    <w:lvl w:ilvl="0" w:tplc="08D897BC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05F1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A21368"/>
    <w:multiLevelType w:val="hybridMultilevel"/>
    <w:tmpl w:val="58A061A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04F10"/>
    <w:multiLevelType w:val="multilevel"/>
    <w:tmpl w:val="7D8CEC2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263C0E5B"/>
    <w:multiLevelType w:val="hybridMultilevel"/>
    <w:tmpl w:val="D77E79AC"/>
    <w:lvl w:ilvl="0" w:tplc="DEE46A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B3C8F"/>
    <w:multiLevelType w:val="hybridMultilevel"/>
    <w:tmpl w:val="0DB89CC4"/>
    <w:lvl w:ilvl="0" w:tplc="B1F6BFC2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cs="Times New Roman" w:hint="default"/>
      </w:rPr>
    </w:lvl>
    <w:lvl w:ilvl="1" w:tplc="201C2714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84B488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61821F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615C85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E1C00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A321D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4F48015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DACE8A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27995540"/>
    <w:multiLevelType w:val="hybridMultilevel"/>
    <w:tmpl w:val="91D4ED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D1CFA"/>
    <w:multiLevelType w:val="hybridMultilevel"/>
    <w:tmpl w:val="AF3C4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C4610"/>
    <w:multiLevelType w:val="hybridMultilevel"/>
    <w:tmpl w:val="50068EA6"/>
    <w:lvl w:ilvl="0" w:tplc="61404AEE">
      <w:numFmt w:val="bullet"/>
      <w:lvlText w:val="–"/>
      <w:lvlJc w:val="left"/>
      <w:pPr>
        <w:tabs>
          <w:tab w:val="num" w:pos="1441"/>
        </w:tabs>
        <w:ind w:left="14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1031D"/>
    <w:multiLevelType w:val="hybridMultilevel"/>
    <w:tmpl w:val="4DE6C808"/>
    <w:lvl w:ilvl="0" w:tplc="61404AEE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79"/>
        </w:tabs>
        <w:ind w:left="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99"/>
        </w:tabs>
        <w:ind w:left="1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19"/>
        </w:tabs>
        <w:ind w:left="1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39"/>
        </w:tabs>
        <w:ind w:left="2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59"/>
        </w:tabs>
        <w:ind w:left="3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79"/>
        </w:tabs>
        <w:ind w:left="4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99"/>
        </w:tabs>
        <w:ind w:left="4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19"/>
        </w:tabs>
        <w:ind w:left="5519" w:hanging="360"/>
      </w:pPr>
      <w:rPr>
        <w:rFonts w:ascii="Wingdings" w:hAnsi="Wingdings" w:hint="default"/>
      </w:rPr>
    </w:lvl>
  </w:abstractNum>
  <w:abstractNum w:abstractNumId="14" w15:restartNumberingAfterBreak="0">
    <w:nsid w:val="54FF05B5"/>
    <w:multiLevelType w:val="hybridMultilevel"/>
    <w:tmpl w:val="67BE5F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700A6"/>
    <w:multiLevelType w:val="hybridMultilevel"/>
    <w:tmpl w:val="7882B6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13262"/>
    <w:multiLevelType w:val="hybridMultilevel"/>
    <w:tmpl w:val="2646C6FE"/>
    <w:lvl w:ilvl="0" w:tplc="08D897BC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7F0F4362"/>
    <w:multiLevelType w:val="hybridMultilevel"/>
    <w:tmpl w:val="79567540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5116CC"/>
    <w:multiLevelType w:val="multilevel"/>
    <w:tmpl w:val="655CE55A"/>
    <w:lvl w:ilvl="0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Zero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16"/>
  </w:num>
  <w:num w:numId="7">
    <w:abstractNumId w:val="8"/>
  </w:num>
  <w:num w:numId="8">
    <w:abstractNumId w:val="7"/>
  </w:num>
  <w:num w:numId="9">
    <w:abstractNumId w:val="14"/>
  </w:num>
  <w:num w:numId="10">
    <w:abstractNumId w:val="17"/>
  </w:num>
  <w:num w:numId="11">
    <w:abstractNumId w:val="10"/>
  </w:num>
  <w:num w:numId="12">
    <w:abstractNumId w:val="6"/>
  </w:num>
  <w:num w:numId="13">
    <w:abstractNumId w:val="1"/>
  </w:num>
  <w:num w:numId="14">
    <w:abstractNumId w:val="15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>
    <w:abstractNumId w:val="13"/>
  </w:num>
  <w:num w:numId="17">
    <w:abstractNumId w:val="12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F5F"/>
    <w:rsid w:val="00004F5F"/>
    <w:rsid w:val="00006E56"/>
    <w:rsid w:val="000122C5"/>
    <w:rsid w:val="0002709B"/>
    <w:rsid w:val="0003295F"/>
    <w:rsid w:val="00034A2A"/>
    <w:rsid w:val="000377CD"/>
    <w:rsid w:val="00055380"/>
    <w:rsid w:val="00062470"/>
    <w:rsid w:val="00091401"/>
    <w:rsid w:val="0009237C"/>
    <w:rsid w:val="000A12CC"/>
    <w:rsid w:val="000D1F8E"/>
    <w:rsid w:val="00117F8C"/>
    <w:rsid w:val="00131B05"/>
    <w:rsid w:val="00135E3D"/>
    <w:rsid w:val="0018114D"/>
    <w:rsid w:val="001864EE"/>
    <w:rsid w:val="00186858"/>
    <w:rsid w:val="00192FD7"/>
    <w:rsid w:val="001967B4"/>
    <w:rsid w:val="001C0B30"/>
    <w:rsid w:val="001C293E"/>
    <w:rsid w:val="001D667E"/>
    <w:rsid w:val="001E1826"/>
    <w:rsid w:val="002327FD"/>
    <w:rsid w:val="00236D37"/>
    <w:rsid w:val="002429D4"/>
    <w:rsid w:val="00246040"/>
    <w:rsid w:val="002517AF"/>
    <w:rsid w:val="00263847"/>
    <w:rsid w:val="0028756C"/>
    <w:rsid w:val="002938A5"/>
    <w:rsid w:val="00294F3B"/>
    <w:rsid w:val="002A3E88"/>
    <w:rsid w:val="002C513E"/>
    <w:rsid w:val="002D2984"/>
    <w:rsid w:val="002D7862"/>
    <w:rsid w:val="002E7F4A"/>
    <w:rsid w:val="00306F50"/>
    <w:rsid w:val="00313E4D"/>
    <w:rsid w:val="0031607D"/>
    <w:rsid w:val="00380278"/>
    <w:rsid w:val="0038041D"/>
    <w:rsid w:val="003923E4"/>
    <w:rsid w:val="003C0CAA"/>
    <w:rsid w:val="003C3165"/>
    <w:rsid w:val="003C4F86"/>
    <w:rsid w:val="003D0E18"/>
    <w:rsid w:val="003E1283"/>
    <w:rsid w:val="003E705D"/>
    <w:rsid w:val="003E762F"/>
    <w:rsid w:val="004325E3"/>
    <w:rsid w:val="0045653C"/>
    <w:rsid w:val="004653E5"/>
    <w:rsid w:val="0048247E"/>
    <w:rsid w:val="00482A2E"/>
    <w:rsid w:val="0048736E"/>
    <w:rsid w:val="004C388D"/>
    <w:rsid w:val="004D0C0C"/>
    <w:rsid w:val="004D6504"/>
    <w:rsid w:val="004F0883"/>
    <w:rsid w:val="005054AF"/>
    <w:rsid w:val="005061A4"/>
    <w:rsid w:val="00524F7C"/>
    <w:rsid w:val="00526AB7"/>
    <w:rsid w:val="005514B3"/>
    <w:rsid w:val="00567259"/>
    <w:rsid w:val="00595851"/>
    <w:rsid w:val="005D4788"/>
    <w:rsid w:val="005E4019"/>
    <w:rsid w:val="005E7EE8"/>
    <w:rsid w:val="0061032F"/>
    <w:rsid w:val="0062324F"/>
    <w:rsid w:val="00625E66"/>
    <w:rsid w:val="0064256A"/>
    <w:rsid w:val="0066492A"/>
    <w:rsid w:val="00670C9E"/>
    <w:rsid w:val="006D433B"/>
    <w:rsid w:val="00705A18"/>
    <w:rsid w:val="00730F03"/>
    <w:rsid w:val="00733232"/>
    <w:rsid w:val="0077680D"/>
    <w:rsid w:val="007C79F6"/>
    <w:rsid w:val="007D3544"/>
    <w:rsid w:val="007E0D62"/>
    <w:rsid w:val="007E6DEB"/>
    <w:rsid w:val="00805445"/>
    <w:rsid w:val="00805868"/>
    <w:rsid w:val="00805CA1"/>
    <w:rsid w:val="00805EF7"/>
    <w:rsid w:val="00815B30"/>
    <w:rsid w:val="00826B1C"/>
    <w:rsid w:val="00860F0F"/>
    <w:rsid w:val="00862344"/>
    <w:rsid w:val="00887CAC"/>
    <w:rsid w:val="0089504F"/>
    <w:rsid w:val="00897B4A"/>
    <w:rsid w:val="008B419C"/>
    <w:rsid w:val="008C3646"/>
    <w:rsid w:val="008C4062"/>
    <w:rsid w:val="008D2E49"/>
    <w:rsid w:val="00923416"/>
    <w:rsid w:val="0099463C"/>
    <w:rsid w:val="009A0799"/>
    <w:rsid w:val="009A28BF"/>
    <w:rsid w:val="009A3160"/>
    <w:rsid w:val="009A7CC5"/>
    <w:rsid w:val="009B428C"/>
    <w:rsid w:val="009C06A3"/>
    <w:rsid w:val="009C73FF"/>
    <w:rsid w:val="009C7F2E"/>
    <w:rsid w:val="009D5864"/>
    <w:rsid w:val="009F349F"/>
    <w:rsid w:val="009F75A4"/>
    <w:rsid w:val="00A26903"/>
    <w:rsid w:val="00A32A77"/>
    <w:rsid w:val="00AA6CAE"/>
    <w:rsid w:val="00AD18E8"/>
    <w:rsid w:val="00AD2C7A"/>
    <w:rsid w:val="00AE68BF"/>
    <w:rsid w:val="00B000EA"/>
    <w:rsid w:val="00B00258"/>
    <w:rsid w:val="00B40305"/>
    <w:rsid w:val="00B41AEC"/>
    <w:rsid w:val="00B43945"/>
    <w:rsid w:val="00B473F5"/>
    <w:rsid w:val="00B5625C"/>
    <w:rsid w:val="00B65789"/>
    <w:rsid w:val="00B84CC7"/>
    <w:rsid w:val="00B90F4F"/>
    <w:rsid w:val="00B9348A"/>
    <w:rsid w:val="00BA0D65"/>
    <w:rsid w:val="00BA6D80"/>
    <w:rsid w:val="00BC2AC9"/>
    <w:rsid w:val="00C20B89"/>
    <w:rsid w:val="00C52EB1"/>
    <w:rsid w:val="00C542A3"/>
    <w:rsid w:val="00C734CF"/>
    <w:rsid w:val="00C94E99"/>
    <w:rsid w:val="00C96438"/>
    <w:rsid w:val="00CC148D"/>
    <w:rsid w:val="00CC261B"/>
    <w:rsid w:val="00D03669"/>
    <w:rsid w:val="00D16DB6"/>
    <w:rsid w:val="00D25C49"/>
    <w:rsid w:val="00D46E94"/>
    <w:rsid w:val="00D702B3"/>
    <w:rsid w:val="00D8131E"/>
    <w:rsid w:val="00D91189"/>
    <w:rsid w:val="00DB500A"/>
    <w:rsid w:val="00DC2DCD"/>
    <w:rsid w:val="00DD28DE"/>
    <w:rsid w:val="00DE6199"/>
    <w:rsid w:val="00E07AC3"/>
    <w:rsid w:val="00E25F7D"/>
    <w:rsid w:val="00E4285A"/>
    <w:rsid w:val="00E52FCA"/>
    <w:rsid w:val="00E632CC"/>
    <w:rsid w:val="00E85124"/>
    <w:rsid w:val="00EA3FCA"/>
    <w:rsid w:val="00EC3526"/>
    <w:rsid w:val="00F077AB"/>
    <w:rsid w:val="00F12C53"/>
    <w:rsid w:val="00F34FB6"/>
    <w:rsid w:val="00F46CF8"/>
    <w:rsid w:val="00F515E2"/>
    <w:rsid w:val="00F53822"/>
    <w:rsid w:val="00F626AE"/>
    <w:rsid w:val="00F63E05"/>
    <w:rsid w:val="00F65871"/>
    <w:rsid w:val="00F82FB1"/>
    <w:rsid w:val="00FB0050"/>
    <w:rsid w:val="00FC48B3"/>
    <w:rsid w:val="00FC5D47"/>
    <w:rsid w:val="00FD2B0E"/>
    <w:rsid w:val="00FE444C"/>
    <w:rsid w:val="00FF2C50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F76F60"/>
  <w15:docId w15:val="{08DFB13E-114D-42F0-A46B-92A459EB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CG Times" w:hAnsi="CG Times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1">
    <w:name w:val="paragraph 1"/>
    <w:pPr>
      <w:tabs>
        <w:tab w:val="left" w:pos="-720"/>
      </w:tabs>
      <w:suppressAutoHyphens/>
    </w:pPr>
    <w:rPr>
      <w:rFonts w:ascii="CG Times" w:hAnsi="CG Times"/>
      <w:sz w:val="24"/>
      <w:lang w:val="en-US"/>
    </w:rPr>
  </w:style>
  <w:style w:type="character" w:customStyle="1" w:styleId="Document8">
    <w:name w:val="Document 8"/>
    <w:basedOn w:val="Domylnaczcionkaakapitu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omylnaczcionkaakapitu"/>
  </w:style>
  <w:style w:type="character" w:customStyle="1" w:styleId="Document5">
    <w:name w:val="Document 5"/>
    <w:basedOn w:val="Domylnaczcionkaakapitu"/>
  </w:style>
  <w:style w:type="character" w:customStyle="1" w:styleId="Document2">
    <w:name w:val="Document 2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omylnaczcionkaakapitu"/>
  </w:style>
  <w:style w:type="character" w:customStyle="1" w:styleId="Bibliogrphy">
    <w:name w:val="Bibliogrphy"/>
    <w:basedOn w:val="Domylnaczcionkaakapitu"/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G Times" w:hAnsi="CG Times"/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G Times" w:hAnsi="CG Times"/>
      <w:sz w:val="24"/>
      <w:lang w:val="en-US"/>
    </w:rPr>
  </w:style>
  <w:style w:type="character" w:customStyle="1" w:styleId="Document3">
    <w:name w:val="Document 3"/>
    <w:rPr>
      <w:rFonts w:ascii="CG Times" w:hAnsi="CG Times"/>
      <w:noProof w:val="0"/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G Times" w:hAnsi="CG Times"/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G Times" w:hAnsi="CG Times"/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G Times" w:hAnsi="CG Times"/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G Times" w:hAnsi="CG Times"/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G Times" w:hAnsi="CG Times"/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G Times" w:hAnsi="CG Times"/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</w:style>
  <w:style w:type="character" w:customStyle="1" w:styleId="TechInit">
    <w:name w:val="Tech Init"/>
    <w:rPr>
      <w:rFonts w:ascii="CG Times" w:hAnsi="CG Times"/>
      <w:noProof w:val="0"/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rFonts w:ascii="CG Times" w:hAnsi="CG Times"/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rFonts w:ascii="CG Times" w:hAnsi="CG Times"/>
      <w:b/>
      <w:sz w:val="24"/>
      <w:lang w:val="en-US"/>
    </w:rPr>
  </w:style>
  <w:style w:type="character" w:customStyle="1" w:styleId="Technical2">
    <w:name w:val="Technical 2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Pr>
      <w:rFonts w:ascii="CG Times" w:hAnsi="CG Times"/>
      <w:noProof w:val="0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character" w:customStyle="1" w:styleId="Technical1">
    <w:name w:val="Technical 1"/>
    <w:rPr>
      <w:rFonts w:ascii="CG Times" w:hAnsi="CG Times"/>
      <w:noProof w:val="0"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rFonts w:ascii="CG Times" w:hAnsi="CG Times"/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rFonts w:ascii="CG Times" w:hAnsi="CG Times"/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rFonts w:ascii="CG Times" w:hAnsi="CG Times"/>
      <w:sz w:val="24"/>
      <w:lang w:val="en-US"/>
    </w:rPr>
  </w:style>
  <w:style w:type="character" w:customStyle="1" w:styleId="Nagwek21">
    <w:name w:val="Nagłówek 21"/>
    <w:rPr>
      <w:sz w:val="29"/>
      <w:u w:val="single"/>
    </w:rPr>
  </w:style>
  <w:style w:type="character" w:customStyle="1" w:styleId="Nagwek11">
    <w:name w:val="Nagłówek 11"/>
    <w:rPr>
      <w:b/>
      <w:sz w:val="36"/>
    </w:rPr>
  </w:style>
  <w:style w:type="character" w:customStyle="1" w:styleId="BulletList">
    <w:name w:val="Bullet List"/>
    <w:basedOn w:val="Domylnaczcionkaakapitu"/>
  </w:style>
  <w:style w:type="paragraph" w:styleId="Spistreci1">
    <w:name w:val="toc 1"/>
    <w:basedOn w:val="Normalny"/>
    <w:next w:val="Normalny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</w:style>
  <w:style w:type="character" w:customStyle="1" w:styleId="EquationCaption">
    <w:name w:val="_Equation Caption"/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pPr>
      <w:widowControl w:val="0"/>
      <w:ind w:left="567"/>
      <w:jc w:val="both"/>
    </w:pPr>
    <w:rPr>
      <w:rFonts w:ascii="Times New Roman" w:hAnsi="Times New Roman"/>
      <w:snapToGrid w:val="0"/>
    </w:rPr>
  </w:style>
  <w:style w:type="paragraph" w:styleId="Tekstpodstawowywcity2">
    <w:name w:val="Body Text Indent 2"/>
    <w:basedOn w:val="Normalny"/>
    <w:pPr>
      <w:widowControl w:val="0"/>
      <w:ind w:left="426"/>
      <w:jc w:val="both"/>
    </w:pPr>
    <w:rPr>
      <w:rFonts w:ascii="Times New Roman" w:hAnsi="Times New Roman"/>
      <w:snapToGrid w:val="0"/>
    </w:rPr>
  </w:style>
  <w:style w:type="paragraph" w:styleId="Tekstpodstawowy">
    <w:name w:val="Body Text"/>
    <w:basedOn w:val="Normalny"/>
    <w:pPr>
      <w:suppressAutoHyphens/>
      <w:jc w:val="both"/>
    </w:pPr>
    <w:rPr>
      <w:rFonts w:ascii="Times New Roman" w:hAnsi="Times New Roman"/>
      <w:spacing w:val="-3"/>
      <w:sz w:val="22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styleId="Tekstpodstawowy2">
    <w:name w:val="Body Text 2"/>
    <w:basedOn w:val="Normalny"/>
    <w:pPr>
      <w:suppressAutoHyphens/>
      <w:jc w:val="both"/>
    </w:pPr>
    <w:rPr>
      <w:rFonts w:ascii="Times New Roman" w:hAnsi="Times New Roman"/>
      <w:color w:val="0000FF"/>
      <w:sz w:val="20"/>
    </w:rPr>
  </w:style>
  <w:style w:type="paragraph" w:styleId="Tekstpodstawowy3">
    <w:name w:val="Body Text 3"/>
    <w:basedOn w:val="Normalny"/>
    <w:rPr>
      <w:rFonts w:ascii="Times New Roman" w:hAnsi="Times New Roman"/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-720"/>
        <w:tab w:val="left" w:pos="0"/>
        <w:tab w:val="left" w:pos="51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30546"/>
      </w:tabs>
      <w:suppressAutoHyphens/>
      <w:overflowPunct w:val="0"/>
      <w:autoSpaceDE w:val="0"/>
      <w:autoSpaceDN w:val="0"/>
      <w:adjustRightInd w:val="0"/>
      <w:ind w:left="510" w:hanging="510"/>
      <w:jc w:val="both"/>
      <w:textAlignment w:val="baseline"/>
    </w:pPr>
    <w:rPr>
      <w:rFonts w:ascii="Times New Roman" w:hAnsi="Times New Roman"/>
      <w:spacing w:val="-3"/>
    </w:rPr>
  </w:style>
  <w:style w:type="paragraph" w:customStyle="1" w:styleId="Plandokumentu">
    <w:name w:val="Plan dokumentu"/>
    <w:basedOn w:val="Normalny"/>
    <w:semiHidden/>
    <w:rsid w:val="00004F5F"/>
    <w:pPr>
      <w:shd w:val="clear" w:color="auto" w:fill="000080"/>
    </w:pPr>
    <w:rPr>
      <w:rFonts w:ascii="Tahoma" w:hAnsi="Tahoma" w:cs="Tahoma"/>
      <w:sz w:val="20"/>
    </w:rPr>
  </w:style>
  <w:style w:type="paragraph" w:customStyle="1" w:styleId="AAAAA">
    <w:name w:val="AAAAA"/>
    <w:rsid w:val="002938A5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dokomentarza">
    <w:name w:val="annotation reference"/>
    <w:rsid w:val="001C29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C293E"/>
    <w:rPr>
      <w:sz w:val="20"/>
    </w:rPr>
  </w:style>
  <w:style w:type="character" w:customStyle="1" w:styleId="TekstkomentarzaZnak">
    <w:name w:val="Tekst komentarza Znak"/>
    <w:link w:val="Tekstkomentarza"/>
    <w:rsid w:val="001C293E"/>
    <w:rPr>
      <w:rFonts w:ascii="CG Times" w:hAnsi="CG Times"/>
    </w:rPr>
  </w:style>
  <w:style w:type="paragraph" w:styleId="Tematkomentarza">
    <w:name w:val="annotation subject"/>
    <w:basedOn w:val="Tekstkomentarza"/>
    <w:next w:val="Tekstkomentarza"/>
    <w:link w:val="TematkomentarzaZnak"/>
    <w:rsid w:val="001C293E"/>
    <w:rPr>
      <w:b/>
      <w:bCs/>
    </w:rPr>
  </w:style>
  <w:style w:type="character" w:customStyle="1" w:styleId="TematkomentarzaZnak">
    <w:name w:val="Temat komentarza Znak"/>
    <w:link w:val="Tematkomentarza"/>
    <w:rsid w:val="001C293E"/>
    <w:rPr>
      <w:rFonts w:ascii="CG Times" w:hAnsi="CG Times"/>
      <w:b/>
      <w:bCs/>
    </w:rPr>
  </w:style>
  <w:style w:type="paragraph" w:styleId="Tekstdymka">
    <w:name w:val="Balloon Text"/>
    <w:basedOn w:val="Normalny"/>
    <w:link w:val="TekstdymkaZnak"/>
    <w:rsid w:val="001C29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C293E"/>
    <w:rPr>
      <w:rFonts w:ascii="Tahoma" w:hAnsi="Tahoma" w:cs="Tahoma"/>
      <w:sz w:val="16"/>
      <w:szCs w:val="16"/>
    </w:rPr>
  </w:style>
  <w:style w:type="character" w:customStyle="1" w:styleId="podpunkt">
    <w:name w:val="podpunkt"/>
    <w:rsid w:val="00F626AE"/>
    <w:rPr>
      <w:rFonts w:ascii="Times New Roman" w:hAnsi="Times New Roman"/>
      <w:b/>
    </w:rPr>
  </w:style>
  <w:style w:type="table" w:styleId="Tabela-Siatka">
    <w:name w:val="Table Grid"/>
    <w:basedOn w:val="Standardowy"/>
    <w:rsid w:val="00EA3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2429D4"/>
    <w:rPr>
      <w:rFonts w:ascii="CG Times" w:hAnsi="CG 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D.04.01.01"Koryto,profilowanie,zagęszczenie"</vt:lpstr>
    </vt:vector>
  </TitlesOfParts>
  <Company>Profil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D.04.01.01"Koryto,profilowanie,zagęszczenie"</dc:title>
  <dc:subject>Rawa</dc:subject>
  <dc:creator>WT-LD Kraków</dc:creator>
  <cp:lastModifiedBy>User</cp:lastModifiedBy>
  <cp:revision>21</cp:revision>
  <cp:lastPrinted>2019-02-22T10:32:00Z</cp:lastPrinted>
  <dcterms:created xsi:type="dcterms:W3CDTF">2015-03-10T16:11:00Z</dcterms:created>
  <dcterms:modified xsi:type="dcterms:W3CDTF">2019-02-22T10:32:00Z</dcterms:modified>
</cp:coreProperties>
</file>