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D0ABC" w14:textId="77777777" w:rsidR="000976B4" w:rsidRPr="00D86AEC" w:rsidRDefault="000976B4" w:rsidP="000976B4">
      <w:pPr>
        <w:jc w:val="right"/>
        <w:rPr>
          <w:rFonts w:cstheme="minorHAnsi"/>
        </w:rPr>
      </w:pPr>
      <w:r w:rsidRPr="00D86AEC">
        <w:rPr>
          <w:rFonts w:cstheme="minorHAnsi"/>
        </w:rPr>
        <w:t>MKS/3526/06/2024</w:t>
      </w:r>
    </w:p>
    <w:p w14:paraId="6ECB4A4D" w14:textId="77777777" w:rsidR="000976B4" w:rsidRDefault="000976B4" w:rsidP="00BE1140">
      <w:pPr>
        <w:jc w:val="right"/>
        <w:rPr>
          <w:rFonts w:cstheme="minorHAnsi"/>
        </w:rPr>
      </w:pPr>
    </w:p>
    <w:p w14:paraId="1D0E3B02" w14:textId="1ED1B9A2" w:rsidR="00BE1140" w:rsidRPr="00D86AEC" w:rsidRDefault="00BE1140" w:rsidP="00BE1140">
      <w:pPr>
        <w:jc w:val="right"/>
        <w:rPr>
          <w:rFonts w:cstheme="minorHAnsi"/>
        </w:rPr>
      </w:pPr>
      <w:r w:rsidRPr="00D86AEC">
        <w:rPr>
          <w:rFonts w:cstheme="minorHAnsi"/>
        </w:rPr>
        <w:t>Załącznik nr 10</w:t>
      </w:r>
      <w:r w:rsidR="00BA013A" w:rsidRPr="00D86AEC">
        <w:rPr>
          <w:rFonts w:cstheme="minorHAnsi"/>
        </w:rPr>
        <w:t xml:space="preserve"> do SWZ </w:t>
      </w:r>
    </w:p>
    <w:p w14:paraId="13DEE345" w14:textId="7CFD6158" w:rsidR="00BA013A" w:rsidRPr="00C85199" w:rsidRDefault="00C85199" w:rsidP="00C85199">
      <w:pPr>
        <w:jc w:val="both"/>
        <w:rPr>
          <w:rFonts w:cstheme="minorHAnsi"/>
          <w:b/>
          <w:bCs/>
        </w:rPr>
      </w:pPr>
      <w:r w:rsidRPr="00C85199">
        <w:rPr>
          <w:rFonts w:cstheme="minorHAnsi"/>
          <w:b/>
          <w:bCs/>
        </w:rPr>
        <w:t>„Budowa infrastruktury niezbędnej do użytkowania autobusów elektrycznych  w formule zaprojektuj i wybuduj”</w:t>
      </w:r>
    </w:p>
    <w:p w14:paraId="5C502917" w14:textId="11FA2E3B" w:rsidR="00D86AEC" w:rsidRPr="00D86AEC" w:rsidRDefault="00D86AEC" w:rsidP="00D86AEC">
      <w:pPr>
        <w:jc w:val="center"/>
        <w:rPr>
          <w:rFonts w:eastAsia="Calibri" w:cstheme="minorHAnsi"/>
          <w:b/>
          <w:bCs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b/>
          <w:bCs/>
          <w:color w:val="000000"/>
          <w:kern w:val="3"/>
          <w:sz w:val="24"/>
          <w:szCs w:val="24"/>
          <w14:ligatures w14:val="none"/>
        </w:rPr>
        <w:t>Szczegółowe parametry ładowarek do ładowania magazynów energii elektrycznej (baterii, akumulatorów trakcyjnych)</w:t>
      </w:r>
    </w:p>
    <w:p w14:paraId="0A453C96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1. Informacje ogólne.</w:t>
      </w:r>
    </w:p>
    <w:p w14:paraId="1D32092E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1.1. Wykonawca dostarczy, zamontuje i uruchomi ładowarki umożliwiające ładowanie magazynów energii w autobusach elektrycznych.</w:t>
      </w:r>
    </w:p>
    <w:p w14:paraId="2396F684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1.2. Po zamontowaniu ładowarek Wykonawca przeprowadzi niezbędne pomiary i odbiory techniczne, zgodnie z obowiązującymi w tym zakresie przepisami oraz wymaganiami Urzędu Dozoru Technicznego, które zostaną potwierdzone stosownymi protokołami.</w:t>
      </w:r>
    </w:p>
    <w:p w14:paraId="717BE065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1.3. Wykonawca w okresie gwarancji zobowiązany jest wykonać na własny koszt:</w:t>
      </w:r>
    </w:p>
    <w:p w14:paraId="385C769B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a) okresowe obsługi serwisowe,</w:t>
      </w:r>
    </w:p>
    <w:p w14:paraId="4E3EF226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b) niezbędne pomiary elektryczne,</w:t>
      </w:r>
    </w:p>
    <w:p w14:paraId="5FDC6D7A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c) przeglądy dostarczonych urządzeń zgodnie z warunkami gwarancji i dokumentacją technicznoruchową oraz obowiązującymi przepisami prawa.</w:t>
      </w:r>
    </w:p>
    <w:p w14:paraId="2660BAB6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d) usunięcia wszelkich wad i usterek w dostarczonych ładowarkach oraz stacji transformatorowej wraz z infrastrukturą, zgłoszonych przez użytkownika. Wszystkie materiały eksploatacyjne niezbędne do wykonania przywołanych wyżej czynności zapewnia Wykonawca na koszt własny.</w:t>
      </w:r>
    </w:p>
    <w:p w14:paraId="67E7A657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 xml:space="preserve">1.4. Dostarczone ładowarki muszą współpracować w zakresie protokołów komunikacji z autobusami różnych producentów. </w:t>
      </w:r>
    </w:p>
    <w:p w14:paraId="3CE549B9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1.5. Wykonawca zapewni, iż zastosowane rozwiązania, a w szczególności złącza i gniazda ładowania oraz protokoły komunikacyjne są zestandaryzowane i powszechnie stosowane i możliwe będzie korzystanie ze stacji ładowania przez pojazdy różnych producentów.</w:t>
      </w:r>
    </w:p>
    <w:p w14:paraId="434A0A2F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 xml:space="preserve">1.6. Protokół transmisji danych ładowania plug-in: komunikacja przewodowa PLC (Power Line </w:t>
      </w:r>
      <w:proofErr w:type="spellStart"/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Communication</w:t>
      </w:r>
      <w:proofErr w:type="spellEnd"/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) bazująca na normach: IEC 61851, DIN SPEC 70121 i ISO 15118 (PN-EN ISO 15118-1, PN-EN ISO 15118-2, PN-EN ISO 15118-3) lub równoważne.</w:t>
      </w:r>
    </w:p>
    <w:p w14:paraId="0A758DF6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1.7. Wykonawca dostarczy dokumentację techniczno-ruchową oraz instrukcję obsługi do każdej zainstalowanej ładowarki w języku polskim.</w:t>
      </w:r>
    </w:p>
    <w:p w14:paraId="5AD3C486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1.8. Wykonawca zapewni, że ładowarki spełniają wszystkie obowiązujące na dzień odbiorów normy, dyrektywy i przepisy prawa.</w:t>
      </w:r>
    </w:p>
    <w:p w14:paraId="09271E54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 Ładowarki dwustanowiskowe o mocy 2x60kW w liczbie 3 sztuk.</w:t>
      </w:r>
    </w:p>
    <w:p w14:paraId="3CC3213B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lastRenderedPageBreak/>
        <w:t xml:space="preserve">2.1. Każda ładowarka musi posiadać konstrukcję wolnostojącego, autonomicznego urządzenia posadowionego na dedykowanym dla każdej ładowarki betonowym fundamencie </w:t>
      </w:r>
    </w:p>
    <w:p w14:paraId="24DEAE6D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 xml:space="preserve">2.2. Maksymalna moc jednego punktu ładowania pojazdów – 120 </w:t>
      </w:r>
      <w:proofErr w:type="spellStart"/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kW.</w:t>
      </w:r>
      <w:proofErr w:type="spellEnd"/>
    </w:p>
    <w:p w14:paraId="0DD644D9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2.3. Moc wyjściowa ładowarki nie mniejsza niż 120kW (2x60 kW).</w:t>
      </w:r>
    </w:p>
    <w:p w14:paraId="701BE39D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2.4. Ładowarka z automatycznym przełączaniem ładowania na dwa pojazdy w momencie podłączeniu drugiego autobusu.</w:t>
      </w:r>
    </w:p>
    <w:p w14:paraId="78F7F35F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2.5. Wykonawca dostarczy, zamontuje i uruchomi ładowarki we wskazanym przez Zamawiającego miejscu. Orientacyjne lokalizacje są przedstawione na rysunku w załączniku.</w:t>
      </w:r>
    </w:p>
    <w:p w14:paraId="5B406EBC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2.6. Ładowarki będą znajdować się na terenie otwartym, w związku z czym ich konstrukcja ma uniemożliwiać ingerencję osób trzecich oraz być wandaloodporna. Powinna być również odporna na działanie skrajnie niekorzystnych warunków atmosferycznych.</w:t>
      </w:r>
    </w:p>
    <w:p w14:paraId="51E4F970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 xml:space="preserve">2.7. Obudowy ładowarek z blachy stalowej zabezpieczonej galwanicznie oraz malowanej proszkowo. </w:t>
      </w:r>
    </w:p>
    <w:p w14:paraId="5842210B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2.8. Każda ładowarka będzie obsługiwała dwa stanowiska ładowania (dwa autobusy).</w:t>
      </w:r>
    </w:p>
    <w:p w14:paraId="7BFA7749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2.9. Każda ładowarka ma posiadać możliwość zdalnych aktualizacji i zdalnego serwisowania urządzenia.</w:t>
      </w:r>
    </w:p>
    <w:p w14:paraId="52BF38FC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2.10. Każda ładowarka musi posiadać układ chłodzenia powietrzem lub cieczą zapewniający stabilną pracę .</w:t>
      </w:r>
    </w:p>
    <w:p w14:paraId="0CF9F2FE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2.11. Zakres temperatury pracy: przynajmniej w zakresie od -25°C do +45°C.</w:t>
      </w:r>
    </w:p>
    <w:p w14:paraId="6BEBACC6" w14:textId="001008F0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2.12. Wykonawca dopasuje długość złącza, tak aby możliwe było podłączenie autobusu umieszczonego na stanowisku ładowania zgodnie z załączonym orientacyjnym planem sytuacyjnym. Przewód zasilający do gniazda autobusu zabezpieczony przed przetarciem. Możliwe jest stosowanie rozwiązań umożliwiających zarządzanie długością przewodów.</w:t>
      </w:r>
    </w:p>
    <w:p w14:paraId="4B50121A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2.13. Każda ładowarka musi zapewniać możliwość odczytu zużycia energii pobranej przez pojazd w trakcie i po zakończeniu ładowania.</w:t>
      </w:r>
    </w:p>
    <w:p w14:paraId="59D3581E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2.14. Napięcie na wyjściu złącza ładowania powinno pojawić się dopiero po poprawnym podłączeniu i komunikacji autobusu ze stacją ładowania oraz zablokowaniu mechanicznym, uniemożliwiającym rozłączenie w trakcie ładowania.</w:t>
      </w:r>
    </w:p>
    <w:p w14:paraId="1BE86D96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 xml:space="preserve">2.15. Po podłączeniu autobusu do ładowarki uruchomienie procesu ładowania musi odbywać się samoczynnie po identyfikacji pojazdu w systemie nadzoru bez konieczności wykonywania dodatkowych czynności przez użytkownika autobusu. </w:t>
      </w:r>
    </w:p>
    <w:p w14:paraId="3EC0E28B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2.16. Każda ładowarka musi być wyposażona w przycisk awaryjny dający możliwość odłączenia zasilania do pojazdu.</w:t>
      </w:r>
    </w:p>
    <w:p w14:paraId="08BFBA2D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 xml:space="preserve">2.17. Każda ładowarka musi być wyposażona w panel informacyjny w formie lampek LED oraz podświetlanego wyświetlacza LCD informującego co najmniej o stanie poziomu naładowania </w:t>
      </w: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lastRenderedPageBreak/>
        <w:t xml:space="preserve">magazynu energii podłączonego pojazdu, aktualnej mocy ładowania, ilości pobranej przez pojazd energii oraz ewentualnych awariach. </w:t>
      </w:r>
    </w:p>
    <w:p w14:paraId="3E56155B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2.18. Każda ładowarka musi posiadać wbudowany moduł łączności GSM.</w:t>
      </w:r>
    </w:p>
    <w:p w14:paraId="077E2911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2.19. Każda ładowarka musi być wyposażona w powszechnie stosowany zestandaryzowany interfejs ładowania CCS (Combo2, Type2/Mode4) lub równoważne.</w:t>
      </w:r>
    </w:p>
    <w:p w14:paraId="0DFA1EF6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2.20. Kolor obudowy ładowarek do uzgodnienia z Zamawiającym po podpisaniu umowy.</w:t>
      </w:r>
    </w:p>
    <w:p w14:paraId="4F82762B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2.21. Ładowarki będą podłączone do sieci TN-S.</w:t>
      </w:r>
    </w:p>
    <w:p w14:paraId="5AFC2F4E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3. System nadzoru nad procesem ładowania.</w:t>
      </w:r>
    </w:p>
    <w:p w14:paraId="17AF9B74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3.1. Wykonawca dostarczy i uruchomi w miejscu wskazanym przez Zamawiającego system do monitorowania i zarządzania ładowarkami.</w:t>
      </w:r>
    </w:p>
    <w:p w14:paraId="46EB7BFE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3.2. Wszystkie ładowarki oraz system nadzoru dostarczony przez Wykonawcę będą zgodne z protokołem OCPP 1.6 (JSON) lub równoważnym.</w:t>
      </w:r>
    </w:p>
    <w:p w14:paraId="5300AAB8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3.3. System nadzoru będzie rejestrował informacje w relacyjnej bazie danych, która stanowić będzie element Systemu.</w:t>
      </w:r>
    </w:p>
    <w:p w14:paraId="5BA240D0" w14:textId="07388A8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3.4. Zamawiający nie dopuszcza rozwiązania, konsoli graficznej systemu nadzoru zrealizowanej w sposób, który ogranicza jej uruchamianie do wybranego środowiska systemowego</w:t>
      </w:r>
      <w:r w:rsidR="007C4FAB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.</w:t>
      </w:r>
    </w:p>
    <w:p w14:paraId="7A9D61F2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3.5. System nadzoru będzie posiadać konsolę graficzną dla operatora.</w:t>
      </w:r>
    </w:p>
    <w:p w14:paraId="02C380D2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3.6. Konsola systemu nadzoru umożliwiać będzie:</w:t>
      </w:r>
    </w:p>
    <w:p w14:paraId="2131AE2A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a) podgląd stanu wszystkich ładowarek monitorowanych przez system nadzoru w zajezdni Zamawiającego,</w:t>
      </w:r>
    </w:p>
    <w:p w14:paraId="09F34BBE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b) podgląd podłączonych urządzeń do stacji ładowania,</w:t>
      </w:r>
    </w:p>
    <w:p w14:paraId="55AD7145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c) przeglądanie zarejestrowanych sesji ładowania wraz z następującymi parametrami:</w:t>
      </w:r>
    </w:p>
    <w:p w14:paraId="79DF3536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•</w:t>
      </w: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ab/>
        <w:t>data i czas rozpoczęcia sesji ładowania,</w:t>
      </w:r>
    </w:p>
    <w:p w14:paraId="03094DF5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•</w:t>
      </w: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ab/>
        <w:t>data i czas zakończenia sesji ładowania,</w:t>
      </w:r>
    </w:p>
    <w:p w14:paraId="170074DE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•</w:t>
      </w: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ab/>
        <w:t>czas trwania sesji ładowania,</w:t>
      </w:r>
    </w:p>
    <w:p w14:paraId="0790195C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•</w:t>
      </w: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ab/>
        <w:t>łączna energia pobrana przez pojazd w czasie sesji ładowania,</w:t>
      </w:r>
    </w:p>
    <w:p w14:paraId="3E298516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•</w:t>
      </w: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ab/>
        <w:t>początkowy i końcowy poziom naładowania magazynu energii,</w:t>
      </w:r>
    </w:p>
    <w:p w14:paraId="59E36C57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•</w:t>
      </w: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ab/>
        <w:t>identyfikator pojazdu przedstawiony jako numer taborowy pojazdu,</w:t>
      </w:r>
    </w:p>
    <w:p w14:paraId="04C02D29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 xml:space="preserve">3.10. System nadzoru musi umożliwić operatorowi eksport danych z wszystkich raportów dostępnych w Systemie na serwer zamawiającego. System nadzoru musi umożliwić co najmniej eksport danych w formacie </w:t>
      </w:r>
      <w:proofErr w:type="spellStart"/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csv</w:t>
      </w:r>
      <w:proofErr w:type="spellEnd"/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 xml:space="preserve"> lub równoważnym z uwzględnieniem nagłówków kolumn. Eksport danych musi uwzględniać aktualne filtrowanie i sortowanie raportów lub list.</w:t>
      </w:r>
    </w:p>
    <w:p w14:paraId="5B91326B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lastRenderedPageBreak/>
        <w:t>3.11. System nadzoru wraz z jego komponentami zostanie dostarczony z niezbędnymi bezterminowymi licencjami umożliwiającymi użytkowanie Systemu nadzoru przez Zamawiającego w pełnym zakresie w odniesieniu do wszystkich dostarczonych ładowarek.</w:t>
      </w:r>
    </w:p>
    <w:p w14:paraId="6C48195F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3.12. Zamawiający zezwala na monitorowanie dostarczonych urządzeń przez Wykonawcę w okresie gwarancji.</w:t>
      </w:r>
    </w:p>
    <w:p w14:paraId="25023DEF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3.13 Brak połączenia z siecią GSM nie będzie blokowało możliwości ładowania pojazdów. Zgromadzone w tycz czasie dane będą przesyłane do serwera po uzyskaniu połączenia z GSM.</w:t>
      </w:r>
    </w:p>
    <w:p w14:paraId="620ECD5E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 xml:space="preserve">3.14 Ładowarka musi mieć możliwość lokalnego ustawienia poziomu </w:t>
      </w:r>
      <w:proofErr w:type="spellStart"/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SoC</w:t>
      </w:r>
      <w:proofErr w:type="spellEnd"/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 xml:space="preserve"> przy którym zakończy ładowanie. Ustawienie to po naładowaniu i odłączeniu pojazdu musi automatycznie wrócić do domyślnej wartości 100%. </w:t>
      </w:r>
    </w:p>
    <w:p w14:paraId="6CE97D4A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3.15 Ładowarka musi mieć możliwość lokalnego ustawienia maksymalnej mocy ładowania. Ustawienie to po naładowaniu i odłączeniu pojazdu musi automatycznie wrócić do wartości maksymalnej.</w:t>
      </w:r>
    </w:p>
    <w:p w14:paraId="54788089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4. System zarządzania mocą.</w:t>
      </w:r>
    </w:p>
    <w:p w14:paraId="2DE7DCF7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4.1 Wraz z ładowarkami należy dostarczyć lokalny system zarzadzania ich mocą.</w:t>
      </w:r>
    </w:p>
    <w:p w14:paraId="3314B75D" w14:textId="77777777" w:rsidR="00D86AEC" w:rsidRPr="00D86AEC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4.2 Zarządzanie mocą ładowarek musi odbywać się poprzez protokół OCPP1.6 lub wyższy.</w:t>
      </w:r>
    </w:p>
    <w:p w14:paraId="4AFC5F33" w14:textId="77777777" w:rsidR="00446C0D" w:rsidRDefault="00D86AEC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 w:rsidRPr="00D86AEC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5. Minimalny okres gwarancji jakości dla ładowarek minimum 60 miesięcy.</w:t>
      </w:r>
    </w:p>
    <w:p w14:paraId="3304D477" w14:textId="058C9A1C" w:rsidR="00446C0D" w:rsidRDefault="002908A5" w:rsidP="00D86AEC">
      <w:pPr>
        <w:jc w:val="both"/>
        <w:rPr>
          <w:rFonts w:eastAsia="Calibri" w:cstheme="minorHAnsi"/>
          <w:color w:val="000000"/>
          <w:kern w:val="3"/>
          <w:sz w:val="24"/>
          <w:szCs w:val="24"/>
          <w14:ligatures w14:val="none"/>
        </w:rPr>
      </w:pPr>
      <w:r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 xml:space="preserve">6. </w:t>
      </w:r>
      <w:r w:rsidRPr="002908A5">
        <w:rPr>
          <w:rFonts w:eastAsia="Calibri" w:cstheme="minorHAnsi"/>
          <w:color w:val="000000"/>
          <w:kern w:val="3"/>
          <w:sz w:val="24"/>
          <w:szCs w:val="24"/>
          <w14:ligatures w14:val="none"/>
        </w:rPr>
        <w:t>Wykonawca na własny koszt przeszkoli, w siedzibie zamawiającego 2 pracowników działu technicznego oraz 2 pracowników nadzoru ruchu zamawiającego, wskazanych przez zamawiającego, w zakresie prawidłowej obsługi ładowarek, obsługi systemu do monitorowania i zarządzania ładowarkami, oraz dostarczenia szkolonym pracownikom niezbędnych materiałów szkoleniowych - w formie elektronicznej i papierowej. Szkolenie powinno być przeprowadzone przed końcowym odbiorem stacji ładowania – czas szkolenia minimum 6 godzin.</w:t>
      </w:r>
    </w:p>
    <w:p w14:paraId="4F478AA2" w14:textId="77777777" w:rsidR="00713CDD" w:rsidRPr="00D86AEC" w:rsidRDefault="00713CDD" w:rsidP="00713CDD">
      <w:pPr>
        <w:pStyle w:val="Tekstpodstawowy"/>
        <w:spacing w:before="5"/>
        <w:ind w:left="0"/>
        <w:rPr>
          <w:rFonts w:asciiTheme="minorHAnsi" w:hAnsiTheme="minorHAnsi" w:cstheme="minorHAnsi"/>
        </w:rPr>
      </w:pPr>
    </w:p>
    <w:p w14:paraId="7EFD019A" w14:textId="02339CEF" w:rsidR="00BE1140" w:rsidRPr="00D86AEC" w:rsidRDefault="00BE1140" w:rsidP="00446C0D">
      <w:pPr>
        <w:pStyle w:val="Tekstpodstawowy"/>
        <w:spacing w:before="139"/>
        <w:ind w:left="0" w:right="115"/>
        <w:jc w:val="right"/>
        <w:rPr>
          <w:rFonts w:asciiTheme="minorHAnsi" w:hAnsiTheme="minorHAnsi" w:cstheme="minorHAnsi"/>
        </w:rPr>
      </w:pPr>
    </w:p>
    <w:sectPr w:rsidR="00BE1140" w:rsidRPr="00D86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1CB38" w14:textId="77777777" w:rsidR="004B19FA" w:rsidRDefault="004B19FA" w:rsidP="00BE1140">
      <w:pPr>
        <w:spacing w:after="0" w:line="240" w:lineRule="auto"/>
      </w:pPr>
      <w:r>
        <w:separator/>
      </w:r>
    </w:p>
  </w:endnote>
  <w:endnote w:type="continuationSeparator" w:id="0">
    <w:p w14:paraId="12D737BA" w14:textId="77777777" w:rsidR="004B19FA" w:rsidRDefault="004B19FA" w:rsidP="00BE1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315DE" w14:textId="77777777" w:rsidR="004B19FA" w:rsidRDefault="004B19FA" w:rsidP="00BE1140">
      <w:pPr>
        <w:spacing w:after="0" w:line="240" w:lineRule="auto"/>
      </w:pPr>
      <w:r>
        <w:separator/>
      </w:r>
    </w:p>
  </w:footnote>
  <w:footnote w:type="continuationSeparator" w:id="0">
    <w:p w14:paraId="7CFA7E0C" w14:textId="77777777" w:rsidR="004B19FA" w:rsidRDefault="004B19FA" w:rsidP="00BE11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140"/>
    <w:rsid w:val="0004771C"/>
    <w:rsid w:val="000976B4"/>
    <w:rsid w:val="000D47FE"/>
    <w:rsid w:val="000E00A3"/>
    <w:rsid w:val="0014386D"/>
    <w:rsid w:val="00197BDA"/>
    <w:rsid w:val="001B4D89"/>
    <w:rsid w:val="001B7BB7"/>
    <w:rsid w:val="001E44BE"/>
    <w:rsid w:val="0027058D"/>
    <w:rsid w:val="002908A5"/>
    <w:rsid w:val="002A7B83"/>
    <w:rsid w:val="002C1A43"/>
    <w:rsid w:val="002D2021"/>
    <w:rsid w:val="00445EBE"/>
    <w:rsid w:val="00446C0D"/>
    <w:rsid w:val="004A6A36"/>
    <w:rsid w:val="004B19FA"/>
    <w:rsid w:val="00523DA6"/>
    <w:rsid w:val="00525CA5"/>
    <w:rsid w:val="00573295"/>
    <w:rsid w:val="00614025"/>
    <w:rsid w:val="0068347B"/>
    <w:rsid w:val="00713CDD"/>
    <w:rsid w:val="007A66C4"/>
    <w:rsid w:val="007C4FAB"/>
    <w:rsid w:val="008646E6"/>
    <w:rsid w:val="00866B38"/>
    <w:rsid w:val="008930C0"/>
    <w:rsid w:val="00961E8B"/>
    <w:rsid w:val="009B4B66"/>
    <w:rsid w:val="009D0F7C"/>
    <w:rsid w:val="00AE04BA"/>
    <w:rsid w:val="00B50BFB"/>
    <w:rsid w:val="00B5476D"/>
    <w:rsid w:val="00B564AB"/>
    <w:rsid w:val="00BA013A"/>
    <w:rsid w:val="00BD20BE"/>
    <w:rsid w:val="00BE1140"/>
    <w:rsid w:val="00C85199"/>
    <w:rsid w:val="00D21247"/>
    <w:rsid w:val="00D21816"/>
    <w:rsid w:val="00D3039C"/>
    <w:rsid w:val="00D3458B"/>
    <w:rsid w:val="00D46479"/>
    <w:rsid w:val="00D80A5D"/>
    <w:rsid w:val="00D86AEC"/>
    <w:rsid w:val="00DB3522"/>
    <w:rsid w:val="00E16F1D"/>
    <w:rsid w:val="00E411E9"/>
    <w:rsid w:val="00E55752"/>
    <w:rsid w:val="00E570F5"/>
    <w:rsid w:val="00E66B53"/>
    <w:rsid w:val="00EE647D"/>
    <w:rsid w:val="00F91EA0"/>
    <w:rsid w:val="00FC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DB6A"/>
  <w15:chartTrackingRefBased/>
  <w15:docId w15:val="{3A1CFE76-A301-4D05-8B07-41DD1BC0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11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114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114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114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5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5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458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713CD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13CDD"/>
    <w:pPr>
      <w:widowControl w:val="0"/>
      <w:autoSpaceDE w:val="0"/>
      <w:autoSpaceDN w:val="0"/>
      <w:spacing w:after="0" w:line="240" w:lineRule="auto"/>
      <w:ind w:left="116"/>
    </w:pPr>
    <w:rPr>
      <w:rFonts w:ascii="Carlito" w:eastAsia="Carlito" w:hAnsi="Carlito" w:cs="Carlito"/>
      <w:kern w:val="0"/>
      <w:sz w:val="23"/>
      <w:szCs w:val="23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3CDD"/>
    <w:rPr>
      <w:rFonts w:ascii="Carlito" w:eastAsia="Carlito" w:hAnsi="Carlito" w:cs="Carlito"/>
      <w:kern w:val="0"/>
      <w:sz w:val="23"/>
      <w:szCs w:val="23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13CD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14:ligatures w14:val="none"/>
    </w:rPr>
  </w:style>
  <w:style w:type="paragraph" w:customStyle="1" w:styleId="Standard">
    <w:name w:val="Standard"/>
    <w:rsid w:val="00B5476D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1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DA0BE-CADA-4376-BC72-53E301E1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1192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Wzorek</dc:creator>
  <cp:keywords/>
  <dc:description/>
  <cp:lastModifiedBy>Bogdan Wzorek</cp:lastModifiedBy>
  <cp:revision>16</cp:revision>
  <cp:lastPrinted>2024-10-07T07:52:00Z</cp:lastPrinted>
  <dcterms:created xsi:type="dcterms:W3CDTF">2024-08-28T12:08:00Z</dcterms:created>
  <dcterms:modified xsi:type="dcterms:W3CDTF">2024-10-14T08:35:00Z</dcterms:modified>
</cp:coreProperties>
</file>