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21F1B" w14:textId="3B9AFEAF" w:rsidR="007F7565" w:rsidRPr="00797B35" w:rsidRDefault="00BD3251" w:rsidP="0045047B">
      <w:pPr>
        <w:pStyle w:val="Akapitzlist"/>
        <w:pBdr>
          <w:top w:val="nil"/>
          <w:left w:val="nil"/>
          <w:bottom w:val="nil"/>
          <w:right w:val="nil"/>
          <w:between w:val="nil"/>
        </w:pBdr>
        <w:rPr>
          <w:rFonts w:asciiTheme="minorHAnsi" w:eastAsia="Calibri" w:hAnsiTheme="minorHAnsi" w:cstheme="minorHAnsi"/>
          <w:b/>
          <w:color w:val="000000"/>
          <w:u w:val="single"/>
        </w:rPr>
      </w:pPr>
      <w:r w:rsidRPr="00797B35">
        <w:rPr>
          <w:rFonts w:asciiTheme="minorHAnsi" w:eastAsia="Calibri" w:hAnsiTheme="minorHAnsi" w:cstheme="minorHAnsi"/>
          <w:b/>
          <w:color w:val="000000"/>
          <w:u w:val="single"/>
        </w:rPr>
        <w:t>Specyfikacja przedmiotu zamówienia</w:t>
      </w:r>
    </w:p>
    <w:tbl>
      <w:tblPr>
        <w:tblStyle w:val="a"/>
        <w:tblW w:w="1035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93"/>
        <w:gridCol w:w="1957"/>
      </w:tblGrid>
      <w:tr w:rsidR="007F7565" w:rsidRPr="0092125A" w14:paraId="07E5C44A" w14:textId="77777777" w:rsidTr="00A336F0">
        <w:tc>
          <w:tcPr>
            <w:tcW w:w="8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000DF8" w14:textId="77777777" w:rsidR="007F7565" w:rsidRPr="0092125A" w:rsidRDefault="00BD3251" w:rsidP="0092125A">
            <w:pPr>
              <w:jc w:val="center"/>
              <w:rPr>
                <w:rFonts w:asciiTheme="minorHAnsi" w:eastAsia="Calibri" w:hAnsiTheme="minorHAnsi" w:cstheme="minorHAnsi"/>
                <w:b/>
              </w:rPr>
            </w:pPr>
            <w:r w:rsidRPr="0092125A">
              <w:rPr>
                <w:rFonts w:asciiTheme="minorHAnsi" w:eastAsia="Calibri" w:hAnsiTheme="minorHAnsi" w:cstheme="minorHAnsi"/>
                <w:b/>
              </w:rPr>
              <w:t>Wyszczególnienie</w:t>
            </w:r>
          </w:p>
        </w:tc>
        <w:tc>
          <w:tcPr>
            <w:tcW w:w="1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4E805" w14:textId="3552024E" w:rsidR="007F7565" w:rsidRPr="0092125A" w:rsidRDefault="000A1054" w:rsidP="0092125A">
            <w:pPr>
              <w:jc w:val="center"/>
              <w:rPr>
                <w:rFonts w:asciiTheme="minorHAnsi" w:eastAsia="Calibri" w:hAnsiTheme="minorHAnsi" w:cstheme="minorHAnsi"/>
                <w:b/>
              </w:rPr>
            </w:pPr>
            <w:r>
              <w:rPr>
                <w:rFonts w:asciiTheme="minorHAnsi" w:eastAsia="Calibri" w:hAnsiTheme="minorHAnsi" w:cstheme="minorHAnsi"/>
                <w:b/>
              </w:rPr>
              <w:t>Liczba</w:t>
            </w:r>
          </w:p>
        </w:tc>
      </w:tr>
      <w:tr w:rsidR="006F3A3C" w:rsidRPr="0092125A" w14:paraId="417E9320" w14:textId="77777777" w:rsidTr="00A336F0">
        <w:trPr>
          <w:trHeight w:val="2774"/>
        </w:trPr>
        <w:tc>
          <w:tcPr>
            <w:tcW w:w="8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F9587CF" w14:textId="6114057E" w:rsidR="002F13E6" w:rsidRPr="0018139B" w:rsidRDefault="00B17739" w:rsidP="0092125A">
            <w:pPr>
              <w:numPr>
                <w:ilvl w:val="0"/>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Komputer stacjonarny</w:t>
            </w:r>
            <w:r w:rsidR="006F3A3C" w:rsidRPr="0018139B">
              <w:rPr>
                <w:rFonts w:asciiTheme="minorHAnsi" w:eastAsia="Calibri" w:hAnsiTheme="minorHAnsi" w:cstheme="minorHAnsi"/>
                <w:b/>
                <w:color w:val="000000"/>
              </w:rPr>
              <w:t>:</w:t>
            </w:r>
          </w:p>
          <w:p w14:paraId="4A0607E8" w14:textId="1D9F686D" w:rsidR="006F3A3C" w:rsidRPr="0018139B" w:rsidRDefault="00B17739" w:rsidP="0092125A">
            <w:pPr>
              <w:numPr>
                <w:ilvl w:val="1"/>
                <w:numId w:val="1"/>
              </w:numPr>
              <w:pBdr>
                <w:top w:val="nil"/>
                <w:left w:val="nil"/>
                <w:bottom w:val="nil"/>
                <w:right w:val="nil"/>
                <w:between w:val="nil"/>
              </w:pBdr>
              <w:tabs>
                <w:tab w:val="left" w:pos="360"/>
              </w:tabs>
              <w:ind w:hanging="443"/>
              <w:jc w:val="both"/>
              <w:rPr>
                <w:rFonts w:asciiTheme="minorHAnsi" w:eastAsia="Calibri" w:hAnsiTheme="minorHAnsi" w:cstheme="minorHAnsi"/>
                <w:b/>
                <w:color w:val="000000"/>
              </w:rPr>
            </w:pPr>
            <w:r w:rsidRPr="0018139B">
              <w:rPr>
                <w:rFonts w:asciiTheme="minorHAnsi" w:eastAsia="Calibri" w:hAnsiTheme="minorHAnsi" w:cstheme="minorHAnsi"/>
                <w:b/>
                <w:color w:val="000000"/>
              </w:rPr>
              <w:t>Typ</w:t>
            </w:r>
          </w:p>
          <w:p w14:paraId="07ADC0AB" w14:textId="485E42BF" w:rsidR="00B17739" w:rsidRPr="0018139B" w:rsidRDefault="00B17739" w:rsidP="00B1773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Komputer stacjonarny. Typu </w:t>
            </w:r>
            <w:proofErr w:type="spellStart"/>
            <w:r w:rsidRPr="0018139B">
              <w:rPr>
                <w:rFonts w:asciiTheme="minorHAnsi" w:hAnsiTheme="minorHAnsi" w:cstheme="minorHAnsi"/>
                <w:bCs/>
              </w:rPr>
              <w:t>All</w:t>
            </w:r>
            <w:proofErr w:type="spellEnd"/>
            <w:r w:rsidRPr="0018139B">
              <w:rPr>
                <w:rFonts w:asciiTheme="minorHAnsi" w:hAnsiTheme="minorHAnsi" w:cstheme="minorHAnsi"/>
                <w:bCs/>
              </w:rPr>
              <w:t xml:space="preserve"> in One, komputer fabrycznie wbudowany w obudowę monitora</w:t>
            </w:r>
          </w:p>
          <w:p w14:paraId="209B6501" w14:textId="77777777" w:rsidR="00B17739" w:rsidRPr="0018139B" w:rsidRDefault="00B17739" w:rsidP="00B1773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Zastosowanie</w:t>
            </w:r>
          </w:p>
          <w:p w14:paraId="09A63D7B" w14:textId="77777777" w:rsidR="006F3A3C" w:rsidRPr="0018139B" w:rsidRDefault="00B17739" w:rsidP="00B1773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Komputer będzie wykorzystywany dla potrzeb aplikacji biurowych, aplikacji edukacyjnych, aplikacji obliczeniowych, dostępu do Internetu oraz poczty elektronicznej, jako lokalna baza danych, stacja programistyczna</w:t>
            </w:r>
          </w:p>
          <w:p w14:paraId="483D4284" w14:textId="77777777" w:rsidR="00B17739" w:rsidRPr="0018139B" w:rsidRDefault="00B17739" w:rsidP="00B1773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
              </w:rPr>
              <w:t>Obudowa</w:t>
            </w:r>
          </w:p>
          <w:p w14:paraId="3E0C1CC4" w14:textId="467BD06C" w:rsidR="00B17739" w:rsidRPr="0018139B" w:rsidRDefault="00B17739" w:rsidP="00B1773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Typu </w:t>
            </w:r>
            <w:proofErr w:type="spellStart"/>
            <w:r w:rsidRPr="0018139B">
              <w:rPr>
                <w:rFonts w:asciiTheme="minorHAnsi" w:hAnsiTheme="minorHAnsi" w:cstheme="minorHAnsi"/>
                <w:bCs/>
              </w:rPr>
              <w:t>All</w:t>
            </w:r>
            <w:proofErr w:type="spellEnd"/>
            <w:r w:rsidRPr="0018139B">
              <w:rPr>
                <w:rFonts w:asciiTheme="minorHAnsi" w:hAnsiTheme="minorHAnsi" w:cstheme="minorHAnsi"/>
                <w:bCs/>
              </w:rPr>
              <w:t>-in-One zintegrowana z monitorem min. 23.8”. Obudowa musi umożliwiać zastosowanie zabezpieczenia fizycznego w postaci linki metalowej, demontaż tylnej pokrywy musi odbywać się bez użycia narzędzi. System montażowy VESA 100</w:t>
            </w:r>
          </w:p>
          <w:p w14:paraId="5BE70CEC" w14:textId="77777777" w:rsidR="005975A9" w:rsidRPr="0018139B" w:rsidRDefault="005975A9" w:rsidP="005975A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
              </w:rPr>
              <w:t>Płyta główna</w:t>
            </w:r>
          </w:p>
          <w:p w14:paraId="656ED341" w14:textId="6517C4D5" w:rsidR="005975A9" w:rsidRPr="0018139B" w:rsidRDefault="005975A9" w:rsidP="005975A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Płyta główna </w:t>
            </w:r>
            <w:r w:rsidRPr="0018139B">
              <w:rPr>
                <w:rFonts w:asciiTheme="minorHAnsi" w:hAnsiTheme="minorHAnsi" w:cstheme="minorHAnsi"/>
                <w:bCs/>
                <w:lang w:eastAsia="en-US"/>
              </w:rPr>
              <w:t xml:space="preserve">zaprojektowana i wyprodukowana na zlecenie producenta komputera, trwale oznaczona logo producenta oferowanej jednostki, dedykowana dla danego urządzenia; </w:t>
            </w:r>
            <w:r w:rsidRPr="0018139B">
              <w:rPr>
                <w:rFonts w:asciiTheme="minorHAnsi" w:hAnsiTheme="minorHAnsi" w:cstheme="minorHAnsi"/>
                <w:bCs/>
              </w:rPr>
              <w:t>wyposażona w min. 2 złącza SO - DIMM z obsługą do 64GB DDR5 pamięci RAM, min. 2 złącza M.2 2280 dla dysku oraz 1 złącze M.2 k</w:t>
            </w:r>
            <w:r w:rsidRPr="001F360B">
              <w:rPr>
                <w:rFonts w:asciiTheme="minorHAnsi" w:hAnsiTheme="minorHAnsi" w:cstheme="minorHAnsi"/>
                <w:bCs/>
              </w:rPr>
              <w:t xml:space="preserve">arty </w:t>
            </w:r>
            <w:proofErr w:type="spellStart"/>
            <w:r w:rsidRPr="001F360B">
              <w:rPr>
                <w:rFonts w:asciiTheme="minorHAnsi" w:hAnsiTheme="minorHAnsi" w:cstheme="minorHAnsi"/>
                <w:bCs/>
              </w:rPr>
              <w:t>WiFi</w:t>
            </w:r>
            <w:proofErr w:type="spellEnd"/>
            <w:r w:rsidRPr="0018139B">
              <w:rPr>
                <w:rFonts w:asciiTheme="minorHAnsi" w:hAnsiTheme="minorHAnsi" w:cstheme="minorHAnsi"/>
                <w:bCs/>
              </w:rPr>
              <w:t>.</w:t>
            </w:r>
          </w:p>
          <w:p w14:paraId="0E548A3F" w14:textId="77777777" w:rsidR="005975A9" w:rsidRPr="0018139B" w:rsidRDefault="005975A9" w:rsidP="005975A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Wykonawca dostarczy oświadczenie poparte oświadczeniem producenta komputera iż przez cały okres trwania gwarancji komputera, w przypadku uszkodzenia płyty głównej, zostanie ona wymieniona na ten sam model, z możliwością przypisania numeru seryjnego komputera w BIOS</w:t>
            </w:r>
          </w:p>
          <w:p w14:paraId="794204E4" w14:textId="77777777" w:rsidR="005975A9" w:rsidRPr="0018139B" w:rsidRDefault="005975A9" w:rsidP="005975A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Procesor</w:t>
            </w:r>
          </w:p>
          <w:p w14:paraId="570E4185" w14:textId="0C2DA04E" w:rsidR="005975A9" w:rsidRPr="0018139B" w:rsidRDefault="00240888" w:rsidP="005975A9">
            <w:pPr>
              <w:numPr>
                <w:ilvl w:val="2"/>
                <w:numId w:val="1"/>
              </w:numPr>
              <w:pBdr>
                <w:top w:val="nil"/>
                <w:left w:val="nil"/>
                <w:bottom w:val="nil"/>
                <w:right w:val="nil"/>
                <w:between w:val="nil"/>
              </w:pBdr>
              <w:jc w:val="both"/>
              <w:rPr>
                <w:rStyle w:val="Hipercze"/>
                <w:rFonts w:asciiTheme="minorHAnsi" w:eastAsia="Calibri" w:hAnsiTheme="minorHAnsi" w:cstheme="minorHAnsi"/>
                <w:b/>
                <w:color w:val="000000"/>
                <w:u w:val="none"/>
              </w:rPr>
            </w:pPr>
            <w:r w:rsidRPr="0018139B">
              <w:rPr>
                <w:rFonts w:asciiTheme="minorHAnsi" w:hAnsiTheme="minorHAnsi" w:cstheme="minorHAnsi"/>
                <w:bCs/>
              </w:rPr>
              <w:t xml:space="preserve">Procesor dedykowany do pracy w komputerach stacjonarnych, osiągający w teście </w:t>
            </w:r>
            <w:proofErr w:type="spellStart"/>
            <w:r w:rsidRPr="0018139B">
              <w:rPr>
                <w:rFonts w:asciiTheme="minorHAnsi" w:hAnsiTheme="minorHAnsi" w:cstheme="minorHAnsi"/>
                <w:bCs/>
              </w:rPr>
              <w:t>Passmark</w:t>
            </w:r>
            <w:proofErr w:type="spellEnd"/>
            <w:r w:rsidRPr="0018139B">
              <w:rPr>
                <w:rFonts w:asciiTheme="minorHAnsi" w:hAnsiTheme="minorHAnsi" w:cstheme="minorHAnsi"/>
                <w:bCs/>
              </w:rPr>
              <w:t xml:space="preserve"> CPU Mark, w kategorii </w:t>
            </w:r>
            <w:proofErr w:type="spellStart"/>
            <w:r w:rsidRPr="0018139B">
              <w:rPr>
                <w:rFonts w:asciiTheme="minorHAnsi" w:hAnsiTheme="minorHAnsi" w:cstheme="minorHAnsi"/>
                <w:bCs/>
              </w:rPr>
              <w:t>Average</w:t>
            </w:r>
            <w:proofErr w:type="spellEnd"/>
            <w:r w:rsidRPr="0018139B">
              <w:rPr>
                <w:rFonts w:asciiTheme="minorHAnsi" w:hAnsiTheme="minorHAnsi" w:cstheme="minorHAnsi"/>
                <w:bCs/>
              </w:rPr>
              <w:t xml:space="preserve"> CPU Mark wynik </w:t>
            </w:r>
            <w:r w:rsidR="009E1420">
              <w:rPr>
                <w:rFonts w:asciiTheme="minorHAnsi" w:hAnsiTheme="minorHAnsi" w:cstheme="minorHAnsi"/>
                <w:bCs/>
              </w:rPr>
              <w:t>większy niż</w:t>
            </w:r>
            <w:r w:rsidRPr="0018139B">
              <w:rPr>
                <w:rFonts w:asciiTheme="minorHAnsi" w:hAnsiTheme="minorHAnsi" w:cstheme="minorHAnsi"/>
                <w:bCs/>
              </w:rPr>
              <w:t xml:space="preserve"> 32000 pkt. według wyników opublikowanych na stronie </w:t>
            </w:r>
            <w:hyperlink r:id="rId9" w:history="1">
              <w:r w:rsidRPr="0018139B">
                <w:rPr>
                  <w:rStyle w:val="Hipercze"/>
                  <w:rFonts w:asciiTheme="minorHAnsi" w:hAnsiTheme="minorHAnsi" w:cstheme="minorHAnsi"/>
                  <w:bCs/>
                </w:rPr>
                <w:t>https://www.cpubenchmark.net/cpu_list.php</w:t>
              </w:r>
            </w:hyperlink>
          </w:p>
          <w:p w14:paraId="5D178BF0" w14:textId="77777777" w:rsidR="00240888" w:rsidRPr="0018139B" w:rsidRDefault="00240888" w:rsidP="00240888">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
              </w:rPr>
              <w:t>Pamięć RAM</w:t>
            </w:r>
          </w:p>
          <w:p w14:paraId="70E6FB37" w14:textId="5BAAF25E" w:rsidR="00240888" w:rsidRPr="0018139B" w:rsidRDefault="00240888" w:rsidP="00240888">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 xml:space="preserve">Minimum 16GB </w:t>
            </w:r>
          </w:p>
          <w:p w14:paraId="78B5E51E" w14:textId="327385BF" w:rsidR="00240888" w:rsidRPr="0018139B" w:rsidRDefault="00240888" w:rsidP="00240888">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Możliwość rozbudowy do min</w:t>
            </w:r>
            <w:r w:rsidR="00CE7B30">
              <w:rPr>
                <w:rFonts w:asciiTheme="minorHAnsi" w:hAnsiTheme="minorHAnsi" w:cstheme="minorHAnsi"/>
                <w:bCs/>
              </w:rPr>
              <w:t>.</w:t>
            </w:r>
            <w:r w:rsidRPr="0018139B">
              <w:rPr>
                <w:rFonts w:asciiTheme="minorHAnsi" w:hAnsiTheme="minorHAnsi" w:cstheme="minorHAnsi"/>
                <w:bCs/>
              </w:rPr>
              <w:t xml:space="preserve"> 64GB</w:t>
            </w:r>
          </w:p>
          <w:p w14:paraId="5D496078" w14:textId="77777777" w:rsidR="00E65C99" w:rsidRPr="0018139B" w:rsidRDefault="00E65C99" w:rsidP="00E65C9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Pamięć masowa</w:t>
            </w:r>
          </w:p>
          <w:p w14:paraId="763810C9" w14:textId="306CB5D9" w:rsidR="00E65C99" w:rsidRPr="0018139B" w:rsidRDefault="00E65C99" w:rsidP="00E65C99">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lang w:eastAsia="en-US"/>
              </w:rPr>
              <w:t xml:space="preserve">1TB SSD M.2 </w:t>
            </w:r>
            <w:proofErr w:type="spellStart"/>
            <w:r w:rsidRPr="0018139B">
              <w:rPr>
                <w:rFonts w:asciiTheme="minorHAnsi" w:hAnsiTheme="minorHAnsi" w:cstheme="minorHAnsi"/>
                <w:bCs/>
                <w:lang w:eastAsia="en-US"/>
              </w:rPr>
              <w:t>NVMe</w:t>
            </w:r>
            <w:proofErr w:type="spellEnd"/>
          </w:p>
          <w:p w14:paraId="06ADF0E3" w14:textId="77777777" w:rsidR="00E65C99" w:rsidRPr="0018139B" w:rsidRDefault="00E65C99" w:rsidP="00E65C9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rPr>
              <w:t>Płyta główna musi umożliwiać montażu drugiego dysku M.2</w:t>
            </w:r>
          </w:p>
          <w:p w14:paraId="1A7CE548" w14:textId="77777777" w:rsidR="00E65C99" w:rsidRPr="0018139B" w:rsidRDefault="00E65C99" w:rsidP="00E65C9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
              </w:rPr>
              <w:t>Karta graficzna</w:t>
            </w:r>
          </w:p>
          <w:p w14:paraId="529EFDAC" w14:textId="77777777" w:rsidR="00E65C99" w:rsidRPr="0018139B" w:rsidRDefault="00E65C99" w:rsidP="00E65C9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Zintegrowana z procesorem umożliwiająca wyświetlanie obrazu na trzech wyświetlaczach w tym min. dwóch zewnętrznych</w:t>
            </w:r>
          </w:p>
          <w:p w14:paraId="652F882E" w14:textId="77777777" w:rsidR="00E65C99" w:rsidRPr="0018139B" w:rsidRDefault="00E65C99" w:rsidP="00E65C9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Matryca</w:t>
            </w:r>
          </w:p>
          <w:p w14:paraId="26D54757" w14:textId="72F04B36" w:rsidR="00E65C99" w:rsidRPr="0018139B" w:rsidRDefault="00B14C6C" w:rsidP="00E65C9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Rozmiar matrycy / plamki min. 23,8” IPS / max. 0,275mm</w:t>
            </w:r>
          </w:p>
          <w:p w14:paraId="4A295B30" w14:textId="01E2EC0C" w:rsidR="00B14C6C" w:rsidRPr="0018139B" w:rsidRDefault="00B14C6C" w:rsidP="00E65C9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Rozdzielczość min. FHD (1920x1080)</w:t>
            </w:r>
          </w:p>
          <w:p w14:paraId="058363F4" w14:textId="63BA1256" w:rsidR="00B14C6C" w:rsidRPr="0018139B" w:rsidRDefault="00B14C6C" w:rsidP="00E65C9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Kontrast typowy min. 1000:1</w:t>
            </w:r>
          </w:p>
          <w:p w14:paraId="02DCB136" w14:textId="77777777" w:rsidR="007A3C7A" w:rsidRPr="0018139B" w:rsidRDefault="00B14C6C"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Rodzaj matrycy: matowa IPS</w:t>
            </w:r>
          </w:p>
          <w:p w14:paraId="2DED28C7" w14:textId="77777777" w:rsidR="007A3C7A" w:rsidRPr="0018139B" w:rsidRDefault="007A3C7A" w:rsidP="007A3C7A">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
              </w:rPr>
              <w:t>Komunikacja</w:t>
            </w:r>
          </w:p>
          <w:p w14:paraId="17084AC5" w14:textId="4D166FB5" w:rsidR="007A3C7A" w:rsidRPr="0018139B" w:rsidRDefault="007A3C7A"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Karta sieciowa 10/100/1000 zintegrowana z płytą główną</w:t>
            </w:r>
          </w:p>
          <w:p w14:paraId="787D2F9E" w14:textId="77777777" w:rsidR="007A3C7A" w:rsidRPr="0018139B" w:rsidRDefault="007A3C7A"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Karta WIFI 6E 802.11ax z Bluetooth w wersji  5.3</w:t>
            </w:r>
          </w:p>
          <w:p w14:paraId="6459875E" w14:textId="77777777" w:rsidR="007A3C7A" w:rsidRPr="0018139B" w:rsidRDefault="007A3C7A" w:rsidP="007A3C7A">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 </w:t>
            </w:r>
            <w:r w:rsidRPr="0018139B">
              <w:rPr>
                <w:rFonts w:asciiTheme="minorHAnsi" w:hAnsiTheme="minorHAnsi" w:cstheme="minorHAnsi"/>
                <w:b/>
              </w:rPr>
              <w:t>Wyposażenie multimedialne</w:t>
            </w:r>
          </w:p>
          <w:p w14:paraId="03CBC40F" w14:textId="77777777" w:rsidR="007A3C7A" w:rsidRPr="0018139B" w:rsidRDefault="007A3C7A"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Karta dźwiękowa zintegrowana z płytą główną</w:t>
            </w:r>
          </w:p>
          <w:p w14:paraId="499DA02E" w14:textId="4BABC141" w:rsidR="007A3C7A" w:rsidRPr="0018139B" w:rsidRDefault="007A3C7A"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wbudowane dwa głośniki o mocy 2W każdy </w:t>
            </w:r>
          </w:p>
          <w:p w14:paraId="71B93C71" w14:textId="1019C4DD" w:rsidR="007A3C7A" w:rsidRPr="0018139B" w:rsidRDefault="007A3C7A"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Wbudowana w obudowę matrycy cyfrowa kamera Full HD</w:t>
            </w:r>
          </w:p>
          <w:p w14:paraId="640F5C51" w14:textId="77777777" w:rsidR="007A3C7A" w:rsidRPr="0018139B" w:rsidRDefault="007A3C7A" w:rsidP="007A3C7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Wbudowane w obudowę dwa mikrofony</w:t>
            </w:r>
          </w:p>
          <w:p w14:paraId="57F881A4" w14:textId="77777777" w:rsidR="00872D89" w:rsidRPr="0018139B" w:rsidRDefault="00872D89" w:rsidP="00872D89">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Porty</w:t>
            </w:r>
          </w:p>
          <w:p w14:paraId="125F8CE4" w14:textId="06E4DAD5"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Min. 4 x USB 3.2 Gen 2 Typu A</w:t>
            </w:r>
          </w:p>
          <w:p w14:paraId="7E19A7A0" w14:textId="59CE5975"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Min. 2 x USB 3.2 Gen 1 Typu A</w:t>
            </w:r>
          </w:p>
          <w:p w14:paraId="589D48EF" w14:textId="04F7B5DE"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Min. 1 x USB 3.2 Gen 2 Typu C</w:t>
            </w:r>
          </w:p>
          <w:p w14:paraId="73DB12BE" w14:textId="51181948"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Min. 1 x Port Audio </w:t>
            </w:r>
            <w:proofErr w:type="spellStart"/>
            <w:r w:rsidRPr="0018139B">
              <w:rPr>
                <w:rFonts w:asciiTheme="minorHAnsi" w:hAnsiTheme="minorHAnsi" w:cstheme="minorHAnsi"/>
                <w:bCs/>
              </w:rPr>
              <w:t>combo</w:t>
            </w:r>
            <w:proofErr w:type="spellEnd"/>
            <w:r w:rsidRPr="0018139B">
              <w:rPr>
                <w:rFonts w:asciiTheme="minorHAnsi" w:hAnsiTheme="minorHAnsi" w:cstheme="minorHAnsi"/>
                <w:bCs/>
              </w:rPr>
              <w:t xml:space="preserve"> (słuchawki i mikrofon)</w:t>
            </w:r>
          </w:p>
          <w:p w14:paraId="019B9265" w14:textId="0B877649"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lastRenderedPageBreak/>
              <w:t>Min. 1 x wyjście audio (na panelu tylnym)</w:t>
            </w:r>
          </w:p>
          <w:p w14:paraId="75A0A961" w14:textId="5F1CFCAE"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Min. 1 x </w:t>
            </w:r>
            <w:proofErr w:type="spellStart"/>
            <w:r w:rsidRPr="0018139B">
              <w:rPr>
                <w:rFonts w:asciiTheme="minorHAnsi" w:hAnsiTheme="minorHAnsi" w:cstheme="minorHAnsi"/>
                <w:bCs/>
              </w:rPr>
              <w:t>DisplayPort</w:t>
            </w:r>
            <w:proofErr w:type="spellEnd"/>
            <w:r w:rsidRPr="0018139B">
              <w:rPr>
                <w:rFonts w:asciiTheme="minorHAnsi" w:hAnsiTheme="minorHAnsi" w:cstheme="minorHAnsi"/>
                <w:bCs/>
              </w:rPr>
              <w:t xml:space="preserve"> ++ 1.4a (wyjście wideo)</w:t>
            </w:r>
          </w:p>
          <w:p w14:paraId="5DE98A01" w14:textId="7CB6289A"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Min. 1 x HDMI 2.1 (wyjście wideo)</w:t>
            </w:r>
          </w:p>
          <w:p w14:paraId="3009CEA7" w14:textId="6FDA095A"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Min. 1 x HDMI 1.4b (wejście wideo)</w:t>
            </w:r>
          </w:p>
          <w:p w14:paraId="363969B8" w14:textId="77777777" w:rsidR="00872D89" w:rsidRPr="0018139B" w:rsidRDefault="00872D89" w:rsidP="00872D89">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Wbudowany w obudowę czytnik kart pamięci SD 4.0</w:t>
            </w:r>
          </w:p>
          <w:p w14:paraId="7B5F4C08" w14:textId="77777777" w:rsidR="001A641A" w:rsidRPr="0018139B" w:rsidRDefault="001A641A" w:rsidP="001A641A">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BIOS</w:t>
            </w:r>
          </w:p>
          <w:p w14:paraId="7738DCCF" w14:textId="7E5B4DE6" w:rsidR="001A641A" w:rsidRPr="0018139B" w:rsidRDefault="001A641A" w:rsidP="001A641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BIOS zgodny ze specyfikacją UEFI, wyprodukowany przez producenta komputera, zawierający logo producenta komputera lub nazwę producenta komputera lub nazwę modelu oferowanego komputera</w:t>
            </w:r>
          </w:p>
          <w:p w14:paraId="0B141FCB" w14:textId="5012210C" w:rsidR="001A641A" w:rsidRPr="0018139B" w:rsidRDefault="001A641A" w:rsidP="001A641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Pełna obsługa BIOS za pomocą klawiatury i myszy oraz samej myszy </w:t>
            </w:r>
          </w:p>
          <w:p w14:paraId="6E5DAC2D" w14:textId="479C3E62" w:rsidR="00F22F1F" w:rsidRPr="0018139B" w:rsidRDefault="001A641A" w:rsidP="001A641A">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zainstalowanego procesora, pojemności zainstalowanego lub zainstalowanych dysków twardych, MAC adresie zintegrowanej karty sieciowej, zintegrowanym układzie graficznym, kontrolerze audio </w:t>
            </w:r>
          </w:p>
          <w:p w14:paraId="18D648A9" w14:textId="1E8DF928" w:rsidR="00F22F1F" w:rsidRPr="0018139B" w:rsidRDefault="001A641A" w:rsidP="00F22F1F">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Funkcja umożliwiająca </w:t>
            </w:r>
            <w:proofErr w:type="spellStart"/>
            <w:r w:rsidRPr="0018139B">
              <w:rPr>
                <w:rFonts w:asciiTheme="minorHAnsi" w:hAnsiTheme="minorHAnsi" w:cstheme="minorHAnsi"/>
                <w:bCs/>
              </w:rPr>
              <w:t>wł</w:t>
            </w:r>
            <w:proofErr w:type="spellEnd"/>
            <w:r w:rsidRPr="0018139B">
              <w:rPr>
                <w:rFonts w:asciiTheme="minorHAnsi" w:hAnsiTheme="minorHAnsi" w:cstheme="minorHAnsi"/>
                <w:bCs/>
              </w:rPr>
              <w:t>/wy kamery, mikrofonu, audio</w:t>
            </w:r>
          </w:p>
          <w:p w14:paraId="2DC1268F" w14:textId="78BA4FA2" w:rsidR="00F22F1F" w:rsidRPr="0018139B" w:rsidRDefault="001A641A" w:rsidP="00F22F1F">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Funkcja blokowania/odblokowania BOOT-</w:t>
            </w:r>
            <w:proofErr w:type="spellStart"/>
            <w:r w:rsidRPr="0018139B">
              <w:rPr>
                <w:rFonts w:asciiTheme="minorHAnsi" w:hAnsiTheme="minorHAnsi" w:cstheme="minorHAnsi"/>
                <w:bCs/>
              </w:rPr>
              <w:t>owania</w:t>
            </w:r>
            <w:proofErr w:type="spellEnd"/>
            <w:r w:rsidRPr="0018139B">
              <w:rPr>
                <w:rFonts w:asciiTheme="minorHAnsi" w:hAnsiTheme="minorHAnsi" w:cstheme="minorHAnsi"/>
                <w:bCs/>
              </w:rPr>
              <w:t xml:space="preserve"> stacji roboczej z zewnętrznych urządzeń, możliwość ustawienia hasła systemowego/użytkownika umożliwiającego uruchomienie komputera przy jednoczesnym zdefiniowanym haśle administratora. Możliwość ustawienia haseł użytkownika i administratora składających się z cyfr, małych liter, dużych liter oraz znaków specjalnych</w:t>
            </w:r>
          </w:p>
          <w:p w14:paraId="69B61365" w14:textId="467DD863" w:rsidR="00F22F1F" w:rsidRPr="0018139B" w:rsidRDefault="001A641A" w:rsidP="00F22F1F">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Możliwość ustawienia portów USB w trybie „no BOOT” (podczas startu komputer nie wykrywa urządzeń </w:t>
            </w:r>
            <w:proofErr w:type="spellStart"/>
            <w:r w:rsidRPr="0018139B">
              <w:rPr>
                <w:rFonts w:asciiTheme="minorHAnsi" w:hAnsiTheme="minorHAnsi" w:cstheme="minorHAnsi"/>
                <w:bCs/>
              </w:rPr>
              <w:t>bootujących</w:t>
            </w:r>
            <w:proofErr w:type="spellEnd"/>
            <w:r w:rsidRPr="0018139B">
              <w:rPr>
                <w:rFonts w:asciiTheme="minorHAnsi" w:hAnsiTheme="minorHAnsi" w:cstheme="minorHAnsi"/>
                <w:bCs/>
              </w:rPr>
              <w:t xml:space="preserve"> typu USB)</w:t>
            </w:r>
          </w:p>
          <w:p w14:paraId="420357EF" w14:textId="77777777" w:rsidR="001A641A" w:rsidRPr="0018139B" w:rsidRDefault="001A641A" w:rsidP="00F22F1F">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Możliwość wyłączania portów USB pojedynczo</w:t>
            </w:r>
          </w:p>
          <w:p w14:paraId="614BD531" w14:textId="77777777" w:rsidR="00F22F1F" w:rsidRPr="0018139B" w:rsidRDefault="00F22F1F" w:rsidP="00F22F1F">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 xml:space="preserve"> Oprogramowanie diagnostyczne</w:t>
            </w:r>
          </w:p>
          <w:p w14:paraId="0B28FB53" w14:textId="169830D9" w:rsidR="00F22F1F" w:rsidRPr="0018139B" w:rsidRDefault="00F22F1F" w:rsidP="00F22F1F">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System diagnostyczny z graficznym interfejsem użytkownika, działający poza środowiskiem systemu operacyjnego, dostępny z poziomu szybkiego menu </w:t>
            </w:r>
            <w:proofErr w:type="spellStart"/>
            <w:r w:rsidRPr="0018139B">
              <w:rPr>
                <w:rFonts w:asciiTheme="minorHAnsi" w:hAnsiTheme="minorHAnsi" w:cstheme="minorHAnsi"/>
                <w:bCs/>
              </w:rPr>
              <w:t>boot</w:t>
            </w:r>
            <w:proofErr w:type="spellEnd"/>
            <w:r w:rsidRPr="0018139B">
              <w:rPr>
                <w:rFonts w:asciiTheme="minorHAnsi" w:hAnsiTheme="minorHAnsi" w:cstheme="minorHAnsi"/>
                <w:bCs/>
              </w:rPr>
              <w:t xml:space="preserve"> lub BIOS,  umożliwiający przetestowanie podzespołów komputera </w:t>
            </w:r>
          </w:p>
          <w:p w14:paraId="6C40C3BE" w14:textId="15998024" w:rsidR="00F22F1F" w:rsidRPr="0018139B" w:rsidRDefault="00F22F1F" w:rsidP="00F22F1F">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System musi zapewniać pełną funkcjonalność, a także zachować interfejs graficzny również w przypadku braku dysku twardego, jego uszkodzenia oraz sformatowania, bez konieczności stosowania dodatkowych nośników pamięci masowej i zapewnienia dostępu do </w:t>
            </w:r>
            <w:proofErr w:type="spellStart"/>
            <w:r w:rsidRPr="0018139B">
              <w:rPr>
                <w:rFonts w:asciiTheme="minorHAnsi" w:hAnsiTheme="minorHAnsi" w:cstheme="minorHAnsi"/>
                <w:bCs/>
              </w:rPr>
              <w:t>internetu</w:t>
            </w:r>
            <w:proofErr w:type="spellEnd"/>
            <w:r w:rsidRPr="0018139B">
              <w:rPr>
                <w:rFonts w:asciiTheme="minorHAnsi" w:hAnsiTheme="minorHAnsi" w:cstheme="minorHAnsi"/>
                <w:bCs/>
              </w:rPr>
              <w:t xml:space="preserve"> i sieci lokalnej</w:t>
            </w:r>
          </w:p>
          <w:p w14:paraId="697D267D" w14:textId="77777777" w:rsidR="00A07DF4" w:rsidRPr="0018139B" w:rsidRDefault="00F22F1F" w:rsidP="00F22F1F">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 xml:space="preserve"> Zintegrowany system diagnostyczny</w:t>
            </w:r>
          </w:p>
          <w:p w14:paraId="02E00F6A" w14:textId="77777777" w:rsidR="00F22F1F" w:rsidRPr="0018139B" w:rsidRDefault="00F22F1F" w:rsidP="00A07DF4">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color w:val="000000"/>
              </w:rPr>
              <w:t xml:space="preserve">Wbudowany w obudowie wizualny system diagnostyczny, </w:t>
            </w:r>
            <w:r w:rsidRPr="0018139B">
              <w:rPr>
                <w:rFonts w:asciiTheme="minorHAnsi" w:hAnsiTheme="minorHAnsi" w:cstheme="minorHAnsi"/>
                <w:bCs/>
              </w:rPr>
              <w:t>działający w oparciu  sygnalizację LED, służący do sygnalizowania i diagnozowania problemów z komputerem i jego komponentami poprzez zmianę statusów wyświetlania diody</w:t>
            </w:r>
            <w:r w:rsidR="00A07DF4" w:rsidRPr="0018139B">
              <w:rPr>
                <w:rFonts w:asciiTheme="minorHAnsi" w:hAnsiTheme="minorHAnsi" w:cstheme="minorHAnsi"/>
                <w:bCs/>
              </w:rPr>
              <w:t xml:space="preserve">. </w:t>
            </w:r>
            <w:r w:rsidRPr="0018139B">
              <w:rPr>
                <w:rFonts w:asciiTheme="minorHAnsi" w:hAnsiTheme="minorHAnsi" w:cstheme="minorHAnsi"/>
                <w:bCs/>
              </w:rPr>
              <w:t xml:space="preserve">System diagnostyczny musi sygnalizować: uszkodzenie lub brak pamięci RAM, uszkodzenie płyty głównej, awarię </w:t>
            </w:r>
            <w:proofErr w:type="spellStart"/>
            <w:r w:rsidRPr="0018139B">
              <w:rPr>
                <w:rFonts w:asciiTheme="minorHAnsi" w:hAnsiTheme="minorHAnsi" w:cstheme="minorHAnsi"/>
                <w:bCs/>
              </w:rPr>
              <w:t>BIOS’u</w:t>
            </w:r>
            <w:proofErr w:type="spellEnd"/>
            <w:r w:rsidRPr="0018139B">
              <w:rPr>
                <w:rFonts w:asciiTheme="minorHAnsi" w:hAnsiTheme="minorHAnsi" w:cstheme="minorHAnsi"/>
                <w:bCs/>
              </w:rPr>
              <w:t>, awarię procesora</w:t>
            </w:r>
          </w:p>
          <w:p w14:paraId="21C57638" w14:textId="77777777" w:rsidR="00A07DF4" w:rsidRPr="0018139B" w:rsidRDefault="00A07DF4" w:rsidP="00A07DF4">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Zasilacz</w:t>
            </w:r>
          </w:p>
          <w:p w14:paraId="35A60F4A" w14:textId="52A58B03" w:rsidR="00A07DF4" w:rsidRPr="00804D34" w:rsidRDefault="00A07DF4" w:rsidP="00A07DF4">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Zasilacz wewnętrzny o mocy nie większej niż 160W i sprawności na poziomie 85% przy 50% obciążenia</w:t>
            </w:r>
          </w:p>
          <w:p w14:paraId="39315E5D" w14:textId="77777777" w:rsidR="00804D34" w:rsidRDefault="00804D34" w:rsidP="00804D34">
            <w:pPr>
              <w:numPr>
                <w:ilvl w:val="1"/>
                <w:numId w:val="1"/>
              </w:numPr>
              <w:pBdr>
                <w:top w:val="nil"/>
                <w:left w:val="nil"/>
                <w:bottom w:val="nil"/>
                <w:right w:val="nil"/>
                <w:between w:val="nil"/>
              </w:pBdr>
              <w:jc w:val="both"/>
              <w:rPr>
                <w:rFonts w:asciiTheme="minorHAnsi" w:eastAsia="Calibri" w:hAnsiTheme="minorHAnsi" w:cstheme="minorHAnsi"/>
                <w:b/>
                <w:color w:val="000000"/>
              </w:rPr>
            </w:pPr>
            <w:r>
              <w:rPr>
                <w:rFonts w:asciiTheme="minorHAnsi" w:eastAsia="Calibri" w:hAnsiTheme="minorHAnsi" w:cstheme="minorHAnsi"/>
                <w:b/>
                <w:color w:val="000000"/>
              </w:rPr>
              <w:t xml:space="preserve"> Bezpieczeństwo </w:t>
            </w:r>
          </w:p>
          <w:p w14:paraId="6BFE489C" w14:textId="77777777" w:rsidR="00804D34" w:rsidRDefault="00804D34" w:rsidP="00804D34">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804D34">
              <w:rPr>
                <w:rFonts w:asciiTheme="minorHAnsi" w:hAnsiTheme="minorHAnsi" w:cstheme="minorHAnsi"/>
                <w:bCs/>
              </w:rPr>
              <w:t xml:space="preserve">Ukryty w laminacie płyty głównej układ sprzętowy TPM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71701506" w14:textId="0E18E462" w:rsidR="00804D34" w:rsidRPr="00804D34" w:rsidRDefault="00804D34" w:rsidP="00804D34">
            <w:pPr>
              <w:numPr>
                <w:ilvl w:val="2"/>
                <w:numId w:val="1"/>
              </w:numPr>
              <w:pBdr>
                <w:top w:val="nil"/>
                <w:left w:val="nil"/>
                <w:bottom w:val="nil"/>
                <w:right w:val="nil"/>
                <w:between w:val="nil"/>
              </w:pBdr>
              <w:jc w:val="both"/>
              <w:rPr>
                <w:rFonts w:asciiTheme="minorHAnsi" w:eastAsia="Calibri" w:hAnsiTheme="minorHAnsi" w:cstheme="minorHAnsi"/>
                <w:b/>
                <w:color w:val="000000" w:themeColor="text1"/>
              </w:rPr>
            </w:pPr>
            <w:r w:rsidRPr="00804D34">
              <w:rPr>
                <w:rFonts w:asciiTheme="minorHAnsi" w:hAnsiTheme="minorHAnsi" w:cstheme="minorHAnsi"/>
                <w:bCs/>
                <w:color w:val="000000" w:themeColor="text1"/>
              </w:rPr>
              <w:t>Komputer musi być wyposażony w czujnik otwarcia obudowy współpracujący z oprogramowaniem zarządzająco – diagnostycznym.</w:t>
            </w:r>
          </w:p>
          <w:p w14:paraId="3DB5D61E" w14:textId="031DEE0F" w:rsidR="00804D34" w:rsidRPr="0018139B" w:rsidRDefault="00804D34" w:rsidP="00804D34">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804D34">
              <w:rPr>
                <w:rFonts w:asciiTheme="minorHAnsi" w:hAnsiTheme="minorHAnsi" w:cstheme="minorHAnsi"/>
                <w:bCs/>
                <w:color w:val="000000" w:themeColor="text1"/>
              </w:rPr>
              <w:lastRenderedPageBreak/>
              <w:t xml:space="preserve">Obudowa musi umożliwiać zastosowanie zabezpieczenia fizycznego w postaci linki metalowej (wbudowane w obudowę gniazdo blokady </w:t>
            </w:r>
            <w:proofErr w:type="spellStart"/>
            <w:r w:rsidRPr="00804D34">
              <w:rPr>
                <w:rFonts w:asciiTheme="minorHAnsi" w:hAnsiTheme="minorHAnsi" w:cstheme="minorHAnsi"/>
                <w:bCs/>
                <w:color w:val="000000" w:themeColor="text1"/>
              </w:rPr>
              <w:t>Kensington</w:t>
            </w:r>
            <w:proofErr w:type="spellEnd"/>
            <w:r w:rsidRPr="00804D34">
              <w:rPr>
                <w:rFonts w:asciiTheme="minorHAnsi" w:hAnsiTheme="minorHAnsi" w:cstheme="minorHAnsi"/>
                <w:bCs/>
                <w:color w:val="000000" w:themeColor="text1"/>
              </w:rPr>
              <w:t>)</w:t>
            </w:r>
          </w:p>
          <w:p w14:paraId="4973423B" w14:textId="2FF12F04" w:rsidR="00804D34" w:rsidRPr="00804D34" w:rsidRDefault="00A07DF4" w:rsidP="00804D34">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Zdalne zarządzanie</w:t>
            </w:r>
          </w:p>
          <w:p w14:paraId="1DC659C0" w14:textId="77777777" w:rsidR="00A07DF4" w:rsidRPr="0018139B" w:rsidRDefault="00A07DF4" w:rsidP="00A07DF4">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73B38FA4" w14:textId="77777777" w:rsidR="006D650A" w:rsidRPr="0018139B" w:rsidRDefault="00A07DF4" w:rsidP="006D650A">
            <w:pPr>
              <w:numPr>
                <w:ilvl w:val="3"/>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 xml:space="preserve">monitorowanie konfiguracji komponentów komputera - CPU, Pamięć, HDD wersja BIOS płyty głównej; </w:t>
            </w:r>
          </w:p>
          <w:p w14:paraId="6400BBF6" w14:textId="77777777" w:rsidR="006D650A" w:rsidRPr="0018139B" w:rsidRDefault="00A07DF4" w:rsidP="006D650A">
            <w:pPr>
              <w:numPr>
                <w:ilvl w:val="3"/>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zdalną konfigurację ustawień BIOS,</w:t>
            </w:r>
          </w:p>
          <w:p w14:paraId="63A941C8" w14:textId="0CA4C1EE" w:rsidR="006D650A" w:rsidRPr="00804D34" w:rsidRDefault="00A07DF4" w:rsidP="006D650A">
            <w:pPr>
              <w:numPr>
                <w:ilvl w:val="3"/>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bCs/>
              </w:rPr>
              <w:t>zdalne przejęcie konsoli tekstowej systemu, przekierowanie procesu ładowania systemu operacyjnego z wirtualnego CD ROM lub FDD z  serwera zarządzającego;</w:t>
            </w:r>
          </w:p>
          <w:p w14:paraId="08BFC183" w14:textId="77777777" w:rsidR="006D650A" w:rsidRPr="0018139B" w:rsidRDefault="006D650A" w:rsidP="006D650A">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 xml:space="preserve"> System operacyjny</w:t>
            </w:r>
          </w:p>
          <w:p w14:paraId="7A312900" w14:textId="3CD59AE1" w:rsidR="006D650A" w:rsidRPr="00906293" w:rsidRDefault="006D650A" w:rsidP="006D650A">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Zainstalowany system operacyjny Windows 11 Professional, klucz licencyjny zapisany trwale w BIOS</w:t>
            </w:r>
            <w:r w:rsidR="00836DB1">
              <w:rPr>
                <w:rFonts w:asciiTheme="minorHAnsi" w:hAnsiTheme="minorHAnsi" w:cstheme="minorHAnsi"/>
                <w:bCs/>
              </w:rPr>
              <w:t xml:space="preserve"> </w:t>
            </w:r>
            <w:r w:rsidR="00906293">
              <w:rPr>
                <w:rFonts w:asciiTheme="minorHAnsi" w:hAnsiTheme="minorHAnsi" w:cstheme="minorHAnsi"/>
                <w:bCs/>
              </w:rPr>
              <w:t xml:space="preserve">musi </w:t>
            </w:r>
            <w:r w:rsidR="00836DB1" w:rsidRPr="00906293">
              <w:rPr>
                <w:rFonts w:asciiTheme="minorHAnsi" w:hAnsiTheme="minorHAnsi" w:cstheme="minorHAnsi"/>
                <w:bCs/>
              </w:rPr>
              <w:t xml:space="preserve">umożliwiać </w:t>
            </w:r>
            <w:proofErr w:type="spellStart"/>
            <w:r w:rsidR="00836DB1" w:rsidRPr="00906293">
              <w:rPr>
                <w:rFonts w:asciiTheme="minorHAnsi" w:hAnsiTheme="minorHAnsi" w:cstheme="minorHAnsi"/>
                <w:bCs/>
              </w:rPr>
              <w:t>reinstalację</w:t>
            </w:r>
            <w:proofErr w:type="spellEnd"/>
            <w:r w:rsidR="00836DB1" w:rsidRPr="00906293">
              <w:rPr>
                <w:rFonts w:asciiTheme="minorHAnsi" w:hAnsiTheme="minorHAnsi" w:cstheme="minorHAnsi"/>
                <w:bCs/>
              </w:rPr>
              <w:t xml:space="preserve"> systemu operacyjnego bez potrzeby ręcznego wpisywania klucza licencyjnego.</w:t>
            </w:r>
          </w:p>
          <w:p w14:paraId="048A8496" w14:textId="77777777" w:rsidR="00287E2F" w:rsidRPr="0018139B" w:rsidRDefault="006D650A" w:rsidP="00287E2F">
            <w:pPr>
              <w:numPr>
                <w:ilvl w:val="1"/>
                <w:numId w:val="1"/>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eastAsia="Calibri" w:hAnsiTheme="minorHAnsi" w:cstheme="minorHAnsi"/>
                <w:b/>
                <w:color w:val="000000"/>
              </w:rPr>
              <w:t xml:space="preserve"> Wymagania dodatkowe</w:t>
            </w:r>
          </w:p>
          <w:p w14:paraId="1F93A4E1" w14:textId="77777777" w:rsidR="00287E2F" w:rsidRPr="0018139B" w:rsidRDefault="00287E2F" w:rsidP="00287E2F">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 xml:space="preserve">Klawiatura USB w układzie polski programisty </w:t>
            </w:r>
          </w:p>
          <w:p w14:paraId="35448F7A" w14:textId="77777777" w:rsidR="00287E2F" w:rsidRPr="0018139B" w:rsidRDefault="00287E2F" w:rsidP="00287E2F">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Mysz optyczna USB z dwoma przyciskami oraz rolką (</w:t>
            </w:r>
            <w:proofErr w:type="spellStart"/>
            <w:r w:rsidRPr="0018139B">
              <w:rPr>
                <w:rFonts w:asciiTheme="minorHAnsi" w:hAnsiTheme="minorHAnsi" w:cstheme="minorHAnsi"/>
                <w:bCs/>
              </w:rPr>
              <w:t>scroll</w:t>
            </w:r>
            <w:proofErr w:type="spellEnd"/>
            <w:r w:rsidRPr="0018139B">
              <w:rPr>
                <w:rFonts w:asciiTheme="minorHAnsi" w:hAnsiTheme="minorHAnsi" w:cstheme="minorHAnsi"/>
                <w:bCs/>
              </w:rPr>
              <w:t xml:space="preserve">) </w:t>
            </w:r>
          </w:p>
          <w:p w14:paraId="6ED3E545" w14:textId="77777777" w:rsidR="00287E2F" w:rsidRPr="0018139B" w:rsidRDefault="00287E2F" w:rsidP="00287E2F">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Każdy komputer powinien być oznaczony niepowtarzalnym numerem seryjnym umieszczonym na obudowie, oraz musi być wpisany na stałe w BIOS.</w:t>
            </w:r>
          </w:p>
          <w:p w14:paraId="594BE793" w14:textId="77777777" w:rsidR="00287E2F" w:rsidRPr="0018139B" w:rsidRDefault="00287E2F" w:rsidP="00287E2F">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 xml:space="preserve">Podstawa jednostki typu </w:t>
            </w:r>
            <w:proofErr w:type="spellStart"/>
            <w:r w:rsidRPr="0018139B">
              <w:rPr>
                <w:rFonts w:asciiTheme="minorHAnsi" w:hAnsiTheme="minorHAnsi" w:cstheme="minorHAnsi"/>
                <w:bCs/>
              </w:rPr>
              <w:t>All</w:t>
            </w:r>
            <w:proofErr w:type="spellEnd"/>
            <w:r w:rsidRPr="0018139B">
              <w:rPr>
                <w:rFonts w:asciiTheme="minorHAnsi" w:hAnsiTheme="minorHAnsi" w:cstheme="minorHAnsi"/>
                <w:bCs/>
              </w:rPr>
              <w:t xml:space="preserve"> – in – One musi umożliwiać:</w:t>
            </w:r>
          </w:p>
          <w:p w14:paraId="345681BA" w14:textId="3DA2FCFA" w:rsidR="00287E2F" w:rsidRPr="0018139B" w:rsidRDefault="00287E2F" w:rsidP="00287E2F">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regulację pochyłu pionowego w zakresie od -5 do 30 stopn</w:t>
            </w:r>
            <w:r w:rsidR="007B3BE6">
              <w:rPr>
                <w:rFonts w:asciiTheme="minorHAnsi" w:hAnsiTheme="minorHAnsi" w:cstheme="minorHAnsi"/>
                <w:bCs/>
              </w:rPr>
              <w:t>i</w:t>
            </w:r>
            <w:r w:rsidRPr="0018139B">
              <w:rPr>
                <w:rFonts w:asciiTheme="minorHAnsi" w:hAnsiTheme="minorHAnsi" w:cstheme="minorHAnsi"/>
                <w:bCs/>
              </w:rPr>
              <w:t>.</w:t>
            </w:r>
          </w:p>
          <w:p w14:paraId="4E53220E" w14:textId="5BB37A24" w:rsidR="00287E2F" w:rsidRPr="0018139B" w:rsidRDefault="00287E2F" w:rsidP="00287E2F">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regulację wysokości w zakresie minimum 10 cm</w:t>
            </w:r>
          </w:p>
          <w:p w14:paraId="0976BC92" w14:textId="477E84A5" w:rsidR="00287E2F" w:rsidRPr="0018139B" w:rsidRDefault="00287E2F" w:rsidP="00287E2F">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 xml:space="preserve">ustawienie jednostki w trybie </w:t>
            </w:r>
            <w:proofErr w:type="spellStart"/>
            <w:r w:rsidRPr="0018139B">
              <w:rPr>
                <w:rFonts w:asciiTheme="minorHAnsi" w:hAnsiTheme="minorHAnsi" w:cstheme="minorHAnsi"/>
                <w:bCs/>
              </w:rPr>
              <w:t>Pivot</w:t>
            </w:r>
            <w:proofErr w:type="spellEnd"/>
          </w:p>
          <w:p w14:paraId="1184D68F" w14:textId="7EF7A9B8" w:rsidR="00287E2F" w:rsidRPr="0018139B" w:rsidRDefault="00287E2F" w:rsidP="00287E2F">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obrót podstawy w lewą oraz prawą stronę</w:t>
            </w:r>
          </w:p>
          <w:p w14:paraId="43D7E1C4" w14:textId="77777777" w:rsidR="00226709" w:rsidRPr="0018139B" w:rsidRDefault="00226709" w:rsidP="00226709">
            <w:pPr>
              <w:numPr>
                <w:ilvl w:val="1"/>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eastAsia="Calibri" w:hAnsiTheme="minorHAnsi" w:cstheme="minorHAnsi"/>
                <w:b/>
              </w:rPr>
              <w:t>Dodatkowe oprogramowanie</w:t>
            </w:r>
          </w:p>
          <w:p w14:paraId="457F5F13" w14:textId="1A944BC3" w:rsidR="00226709" w:rsidRPr="0018139B" w:rsidRDefault="00226709" w:rsidP="00226709">
            <w:pPr>
              <w:numPr>
                <w:ilvl w:val="2"/>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Oprogramowanie z nieograniczoną czasowo licencją na użytkowanie umożliwiające:</w:t>
            </w:r>
          </w:p>
          <w:p w14:paraId="445B710E" w14:textId="77777777" w:rsidR="00226709" w:rsidRPr="0018139B" w:rsidRDefault="00226709" w:rsidP="00226709">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 xml:space="preserve">upgrade i instalacje wszystkich sterowników dostarczonych w obrazie systemu operacyjnego producenta, </w:t>
            </w:r>
            <w:proofErr w:type="spellStart"/>
            <w:r w:rsidRPr="0018139B">
              <w:rPr>
                <w:rFonts w:asciiTheme="minorHAnsi" w:hAnsiTheme="minorHAnsi" w:cstheme="minorHAnsi"/>
                <w:bCs/>
              </w:rPr>
              <w:t>BIOS’u</w:t>
            </w:r>
            <w:proofErr w:type="spellEnd"/>
            <w:r w:rsidRPr="0018139B">
              <w:rPr>
                <w:rFonts w:asciiTheme="minorHAnsi" w:hAnsiTheme="minorHAnsi" w:cstheme="minorHAnsi"/>
                <w:bCs/>
              </w:rPr>
              <w:t xml:space="preserve"> z certyfikatem zgodności producenta do najnowszej dostępnej wersji, </w:t>
            </w:r>
          </w:p>
          <w:p w14:paraId="270F4A92" w14:textId="30CFDCA9" w:rsidR="00226709" w:rsidRPr="0018139B" w:rsidRDefault="00226709" w:rsidP="00226709">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sprawdzenie przed zainstalowaniem wszystkich sterowników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w:t>
            </w:r>
          </w:p>
          <w:p w14:paraId="6D23F14E" w14:textId="4559EDB5" w:rsidR="00226709" w:rsidRPr="0018139B" w:rsidRDefault="00226709" w:rsidP="00226709">
            <w:pPr>
              <w:numPr>
                <w:ilvl w:val="3"/>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hAnsiTheme="minorHAnsi" w:cstheme="minorHAnsi"/>
                <w:bCs/>
              </w:rPr>
              <w:t>dostęp do wykazu najnowszych aktualizacji z podziałem na krytyczne (wymagające natychmiastowej instalacji), rekomendowane i opcjonalne</w:t>
            </w:r>
          </w:p>
          <w:p w14:paraId="3C00218A" w14:textId="18BB8682" w:rsidR="00287E2F" w:rsidRPr="0018139B" w:rsidRDefault="00287E2F" w:rsidP="00226709">
            <w:pPr>
              <w:numPr>
                <w:ilvl w:val="1"/>
                <w:numId w:val="1"/>
              </w:numPr>
              <w:pBdr>
                <w:top w:val="nil"/>
                <w:left w:val="nil"/>
                <w:bottom w:val="nil"/>
                <w:right w:val="nil"/>
                <w:between w:val="nil"/>
              </w:pBdr>
              <w:jc w:val="both"/>
              <w:rPr>
                <w:rFonts w:asciiTheme="minorHAnsi" w:eastAsia="Calibri" w:hAnsiTheme="minorHAnsi" w:cstheme="minorHAnsi"/>
                <w:b/>
              </w:rPr>
            </w:pPr>
            <w:r w:rsidRPr="0018139B">
              <w:rPr>
                <w:rFonts w:asciiTheme="minorHAnsi" w:eastAsia="Calibri" w:hAnsiTheme="minorHAnsi" w:cstheme="minorHAnsi"/>
                <w:b/>
                <w:color w:val="000000"/>
              </w:rPr>
              <w:t>Gwarancja</w:t>
            </w:r>
          </w:p>
          <w:p w14:paraId="1308B7A8" w14:textId="77777777" w:rsidR="00287E2F" w:rsidRPr="0018139B" w:rsidRDefault="00287E2F" w:rsidP="00226709">
            <w:pPr>
              <w:numPr>
                <w:ilvl w:val="2"/>
                <w:numId w:val="6"/>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rPr>
              <w:t>Min. 5-letnia</w:t>
            </w:r>
            <w:r w:rsidRPr="0018139B">
              <w:rPr>
                <w:rFonts w:asciiTheme="minorHAnsi" w:hAnsiTheme="minorHAnsi" w:cstheme="minorHAnsi"/>
                <w:color w:val="00B050"/>
              </w:rPr>
              <w:t xml:space="preserve"> </w:t>
            </w:r>
            <w:r w:rsidRPr="0018139B">
              <w:rPr>
                <w:rFonts w:asciiTheme="minorHAnsi" w:hAnsiTheme="minorHAnsi" w:cstheme="minorHAnsi"/>
              </w:rPr>
              <w:t>gwarancja producenta świadczona na miejscu u klienta</w:t>
            </w:r>
          </w:p>
          <w:p w14:paraId="619838A3" w14:textId="77777777" w:rsidR="00287E2F" w:rsidRPr="0018139B" w:rsidRDefault="00287E2F" w:rsidP="00226709">
            <w:pPr>
              <w:numPr>
                <w:ilvl w:val="2"/>
                <w:numId w:val="6"/>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rPr>
              <w:t>Czas reakcji serwisu - do końca następnego dnia roboczego</w:t>
            </w:r>
          </w:p>
          <w:p w14:paraId="5C316BA3" w14:textId="77777777" w:rsidR="00287E2F" w:rsidRPr="0018139B" w:rsidRDefault="00287E2F" w:rsidP="00226709">
            <w:pPr>
              <w:numPr>
                <w:ilvl w:val="2"/>
                <w:numId w:val="6"/>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rPr>
              <w:t>Oświadczenie producenta komputera, że w przypadku nie wywiązywania się z obowiązków gwarancyjnych oferenta lub firmy serwisującej, przejmie na siebie wszelkie zobowiązania związane z serwisem</w:t>
            </w:r>
          </w:p>
          <w:p w14:paraId="50E6F439" w14:textId="0DA05F17" w:rsidR="00287E2F" w:rsidRPr="0018139B" w:rsidRDefault="00287E2F" w:rsidP="00226709">
            <w:pPr>
              <w:numPr>
                <w:ilvl w:val="2"/>
                <w:numId w:val="6"/>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rPr>
              <w:t xml:space="preserve">W przypadku awarii dysk twardy zostaje u Zamawiającego – do oferty </w:t>
            </w:r>
            <w:r w:rsidR="00836DB1">
              <w:rPr>
                <w:rFonts w:asciiTheme="minorHAnsi" w:hAnsiTheme="minorHAnsi" w:cstheme="minorHAnsi"/>
              </w:rPr>
              <w:t xml:space="preserve">należy </w:t>
            </w:r>
            <w:r w:rsidRPr="0018139B">
              <w:rPr>
                <w:rFonts w:asciiTheme="minorHAnsi" w:hAnsiTheme="minorHAnsi" w:cstheme="minorHAnsi"/>
              </w:rPr>
              <w:t>załączyć oświadczenie producenta o spełnieniu tego warunku</w:t>
            </w:r>
          </w:p>
          <w:p w14:paraId="22F2BB28" w14:textId="351F588D" w:rsidR="00287E2F" w:rsidRPr="0018139B" w:rsidRDefault="00287E2F" w:rsidP="00226709">
            <w:pPr>
              <w:numPr>
                <w:ilvl w:val="2"/>
                <w:numId w:val="6"/>
              </w:numPr>
              <w:pBdr>
                <w:top w:val="nil"/>
                <w:left w:val="nil"/>
                <w:bottom w:val="nil"/>
                <w:right w:val="nil"/>
                <w:between w:val="nil"/>
              </w:pBdr>
              <w:jc w:val="both"/>
              <w:rPr>
                <w:rFonts w:asciiTheme="minorHAnsi" w:eastAsia="Calibri" w:hAnsiTheme="minorHAnsi" w:cstheme="minorHAnsi"/>
                <w:b/>
                <w:color w:val="000000"/>
              </w:rPr>
            </w:pPr>
            <w:r w:rsidRPr="0018139B">
              <w:rPr>
                <w:rFonts w:asciiTheme="minorHAnsi" w:hAnsiTheme="minorHAnsi" w:cstheme="minorHAnsi"/>
              </w:rPr>
              <w:t>Zamawiający wymaga narzędzia do zarządzania zgłoszeniami serwisowymi samodzielnie przez portal internetowy lub inne narzędzie nie wymagające działań po stronie dostawcy.</w:t>
            </w:r>
          </w:p>
        </w:tc>
        <w:tc>
          <w:tcPr>
            <w:tcW w:w="1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85457" w14:textId="3F3EA1BB" w:rsidR="006F3A3C" w:rsidRDefault="000A1054" w:rsidP="0092125A">
            <w:pPr>
              <w:rPr>
                <w:rFonts w:asciiTheme="minorHAnsi" w:eastAsia="Calibri" w:hAnsiTheme="minorHAnsi" w:cstheme="minorHAnsi"/>
                <w:b/>
              </w:rPr>
            </w:pPr>
            <w:r>
              <w:rPr>
                <w:rFonts w:asciiTheme="minorHAnsi" w:eastAsia="Calibri" w:hAnsiTheme="minorHAnsi" w:cstheme="minorHAnsi"/>
                <w:b/>
              </w:rPr>
              <w:lastRenderedPageBreak/>
              <w:t>2</w:t>
            </w:r>
            <w:r w:rsidR="00D90C46">
              <w:rPr>
                <w:rFonts w:asciiTheme="minorHAnsi" w:eastAsia="Calibri" w:hAnsiTheme="minorHAnsi" w:cstheme="minorHAnsi"/>
                <w:b/>
              </w:rPr>
              <w:t>2</w:t>
            </w:r>
            <w:r w:rsidR="00DE4FAA" w:rsidRPr="0092125A">
              <w:rPr>
                <w:rFonts w:asciiTheme="minorHAnsi" w:eastAsia="Calibri" w:hAnsiTheme="minorHAnsi" w:cstheme="minorHAnsi"/>
                <w:b/>
              </w:rPr>
              <w:t xml:space="preserve"> szt.</w:t>
            </w:r>
          </w:p>
          <w:p w14:paraId="63D019E7" w14:textId="218AB8EF" w:rsidR="00A336F0" w:rsidRPr="0092125A" w:rsidRDefault="00A336F0" w:rsidP="0092125A">
            <w:pPr>
              <w:rPr>
                <w:rFonts w:asciiTheme="minorHAnsi" w:eastAsia="Calibri" w:hAnsiTheme="minorHAnsi" w:cstheme="minorHAnsi"/>
                <w:b/>
              </w:rPr>
            </w:pPr>
            <w:r>
              <w:rPr>
                <w:rFonts w:asciiTheme="minorHAnsi" w:eastAsia="Calibri" w:hAnsiTheme="minorHAnsi" w:cstheme="minorHAnsi"/>
                <w:b/>
              </w:rPr>
              <w:t>+</w:t>
            </w:r>
            <w:r w:rsidR="00C37DAE">
              <w:rPr>
                <w:rFonts w:asciiTheme="minorHAnsi" w:eastAsia="Calibri" w:hAnsiTheme="minorHAnsi" w:cstheme="minorHAnsi"/>
                <w:b/>
              </w:rPr>
              <w:t xml:space="preserve"> </w:t>
            </w:r>
            <w:r>
              <w:rPr>
                <w:rFonts w:asciiTheme="minorHAnsi" w:eastAsia="Calibri" w:hAnsiTheme="minorHAnsi" w:cstheme="minorHAnsi"/>
                <w:b/>
              </w:rPr>
              <w:t xml:space="preserve">prawo opcji </w:t>
            </w:r>
            <w:r w:rsidR="0027736B">
              <w:rPr>
                <w:rFonts w:asciiTheme="minorHAnsi" w:eastAsia="Calibri" w:hAnsiTheme="minorHAnsi" w:cstheme="minorHAnsi"/>
                <w:b/>
              </w:rPr>
              <w:t xml:space="preserve">maksymalnie </w:t>
            </w:r>
            <w:r>
              <w:rPr>
                <w:rFonts w:asciiTheme="minorHAnsi" w:eastAsia="Calibri" w:hAnsiTheme="minorHAnsi" w:cstheme="minorHAnsi"/>
                <w:b/>
              </w:rPr>
              <w:t>13 szt.</w:t>
            </w:r>
          </w:p>
        </w:tc>
      </w:tr>
      <w:tr w:rsidR="00F80E20" w:rsidRPr="0092125A" w14:paraId="65702832" w14:textId="77777777" w:rsidTr="00A336F0">
        <w:tc>
          <w:tcPr>
            <w:tcW w:w="83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D70AE52" w14:textId="68DF3E0E" w:rsidR="00F80E20" w:rsidRPr="001D2FB1" w:rsidRDefault="00F80E20" w:rsidP="001D2FB1">
            <w:pPr>
              <w:pStyle w:val="Akapitzlist"/>
              <w:numPr>
                <w:ilvl w:val="0"/>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lastRenderedPageBreak/>
              <w:t>Monitor:</w:t>
            </w:r>
          </w:p>
          <w:p w14:paraId="4AAD1ADD" w14:textId="77777777"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Typ ekranu</w:t>
            </w:r>
          </w:p>
          <w:p w14:paraId="1307B3C6" w14:textId="77777777"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hAnsiTheme="minorHAnsi" w:cstheme="minorHAnsi"/>
                <w:bCs/>
                <w:sz w:val="20"/>
                <w:szCs w:val="20"/>
              </w:rPr>
              <w:t>Ekran ciekłokrystaliczny z matrycą IPS</w:t>
            </w:r>
          </w:p>
          <w:p w14:paraId="68DEE5BD" w14:textId="77777777"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Przekątna ekranu</w:t>
            </w:r>
          </w:p>
          <w:p w14:paraId="02DD57D3" w14:textId="540A2605"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B82E46">
              <w:rPr>
                <w:rFonts w:asciiTheme="minorHAnsi" w:eastAsia="Calibri" w:hAnsiTheme="minorHAnsi" w:cstheme="minorHAnsi"/>
                <w:color w:val="000000"/>
                <w:sz w:val="20"/>
                <w:szCs w:val="20"/>
              </w:rPr>
              <w:t>2</w:t>
            </w:r>
            <w:r w:rsidR="00AA6F7F">
              <w:rPr>
                <w:rFonts w:asciiTheme="minorHAnsi" w:eastAsia="Calibri" w:hAnsiTheme="minorHAnsi" w:cstheme="minorHAnsi"/>
                <w:color w:val="000000"/>
                <w:sz w:val="20"/>
                <w:szCs w:val="20"/>
              </w:rPr>
              <w:t>3,8</w:t>
            </w:r>
            <w:r w:rsidRPr="001D2FB1">
              <w:rPr>
                <w:rFonts w:asciiTheme="minorHAnsi" w:eastAsia="Calibri" w:hAnsiTheme="minorHAnsi" w:cstheme="minorHAnsi"/>
                <w:color w:val="000000"/>
                <w:sz w:val="20"/>
                <w:szCs w:val="20"/>
              </w:rPr>
              <w:t xml:space="preserve"> cali</w:t>
            </w:r>
          </w:p>
          <w:p w14:paraId="1DD239E4" w14:textId="6241BF88"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lastRenderedPageBreak/>
              <w:t>Rozmiar plamki</w:t>
            </w:r>
          </w:p>
          <w:p w14:paraId="3BB525BE" w14:textId="7408D3B6"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Maks. </w:t>
            </w:r>
            <w:r w:rsidR="00FC660D">
              <w:rPr>
                <w:rFonts w:asciiTheme="minorHAnsi" w:eastAsia="Calibri" w:hAnsiTheme="minorHAnsi" w:cstheme="minorHAnsi"/>
                <w:color w:val="000000"/>
                <w:sz w:val="20"/>
                <w:szCs w:val="20"/>
              </w:rPr>
              <w:t>0,275x0,275 mm</w:t>
            </w:r>
          </w:p>
          <w:p w14:paraId="50FED310" w14:textId="4AC73739"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Jasność typowa</w:t>
            </w:r>
          </w:p>
          <w:p w14:paraId="1096652B" w14:textId="7C88CEEA"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FC660D">
              <w:rPr>
                <w:rFonts w:asciiTheme="minorHAnsi" w:eastAsia="Calibri" w:hAnsiTheme="minorHAnsi" w:cstheme="minorHAnsi"/>
                <w:color w:val="000000"/>
                <w:sz w:val="20"/>
                <w:szCs w:val="20"/>
              </w:rPr>
              <w:t>2</w:t>
            </w:r>
            <w:r w:rsidRPr="001D2FB1">
              <w:rPr>
                <w:rFonts w:asciiTheme="minorHAnsi" w:eastAsia="Calibri" w:hAnsiTheme="minorHAnsi" w:cstheme="minorHAnsi"/>
                <w:color w:val="000000"/>
                <w:sz w:val="20"/>
                <w:szCs w:val="20"/>
              </w:rPr>
              <w:t>50 cd/m2</w:t>
            </w:r>
          </w:p>
          <w:p w14:paraId="31DBB23F" w14:textId="77777777"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 xml:space="preserve">Kontrast typowy </w:t>
            </w:r>
            <w:r w:rsidRPr="001D2FB1">
              <w:rPr>
                <w:rFonts w:asciiTheme="minorHAnsi" w:eastAsia="Calibri" w:hAnsiTheme="minorHAnsi" w:cstheme="minorHAnsi"/>
                <w:b/>
                <w:color w:val="000000"/>
                <w:sz w:val="20"/>
                <w:szCs w:val="20"/>
              </w:rPr>
              <w:tab/>
            </w:r>
          </w:p>
          <w:p w14:paraId="7CEC4B75" w14:textId="1D1DDE52" w:rsidR="00F80E20"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1</w:t>
            </w:r>
            <w:r w:rsidR="00FC660D">
              <w:rPr>
                <w:rFonts w:asciiTheme="minorHAnsi" w:eastAsia="Calibri" w:hAnsiTheme="minorHAnsi" w:cstheme="minorHAnsi"/>
                <w:color w:val="000000"/>
                <w:sz w:val="20"/>
                <w:szCs w:val="20"/>
              </w:rPr>
              <w:t>500</w:t>
            </w:r>
            <w:r w:rsidRPr="001D2FB1">
              <w:rPr>
                <w:rFonts w:asciiTheme="minorHAnsi" w:eastAsia="Calibri" w:hAnsiTheme="minorHAnsi" w:cstheme="minorHAnsi"/>
                <w:color w:val="000000"/>
                <w:sz w:val="20"/>
                <w:szCs w:val="20"/>
              </w:rPr>
              <w:t>:1</w:t>
            </w:r>
          </w:p>
          <w:p w14:paraId="1DE6C25D" w14:textId="7E7BA5FB" w:rsidR="00320EDD" w:rsidRPr="00320EDD" w:rsidRDefault="00320EDD" w:rsidP="00320EDD">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320EDD">
              <w:rPr>
                <w:rFonts w:asciiTheme="minorHAnsi" w:eastAsia="Calibri" w:hAnsiTheme="minorHAnsi" w:cstheme="minorHAnsi"/>
                <w:b/>
                <w:color w:val="000000"/>
                <w:sz w:val="20"/>
                <w:szCs w:val="20"/>
              </w:rPr>
              <w:t>Częstotliwość odświeżania</w:t>
            </w:r>
          </w:p>
          <w:p w14:paraId="689B9ABF" w14:textId="2DCD175B" w:rsidR="00320EDD" w:rsidRPr="001D2FB1" w:rsidRDefault="00320EDD" w:rsidP="00320EDD">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t>Min. 100Hz</w:t>
            </w:r>
          </w:p>
          <w:p w14:paraId="5C6F07CA" w14:textId="0D908934"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Kąty widzenia (pion/poziom)</w:t>
            </w:r>
          </w:p>
          <w:p w14:paraId="0DF9CBBB" w14:textId="0905B7DE"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Min. 178/178 stopni</w:t>
            </w:r>
          </w:p>
          <w:p w14:paraId="4309909C" w14:textId="77777777" w:rsidR="00F80E20" w:rsidRPr="00FC660D"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FC660D">
              <w:rPr>
                <w:rFonts w:asciiTheme="minorHAnsi" w:eastAsia="Calibri" w:hAnsiTheme="minorHAnsi" w:cstheme="minorHAnsi"/>
                <w:b/>
                <w:color w:val="000000"/>
                <w:sz w:val="20"/>
                <w:szCs w:val="20"/>
              </w:rPr>
              <w:t>Czas reakcji matrycy</w:t>
            </w:r>
          </w:p>
          <w:p w14:paraId="546E3848" w14:textId="7CA656EB"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ab/>
              <w:t xml:space="preserve">5ms </w:t>
            </w:r>
          </w:p>
          <w:p w14:paraId="7AB19118" w14:textId="77777777"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Rozdzielczość natywna</w:t>
            </w:r>
            <w:r w:rsidRPr="001D2FB1">
              <w:rPr>
                <w:rFonts w:asciiTheme="minorHAnsi" w:eastAsia="Calibri" w:hAnsiTheme="minorHAnsi" w:cstheme="minorHAnsi"/>
                <w:b/>
                <w:color w:val="000000"/>
                <w:sz w:val="20"/>
                <w:szCs w:val="20"/>
              </w:rPr>
              <w:tab/>
            </w:r>
          </w:p>
          <w:p w14:paraId="0390687F" w14:textId="2FC6B20F" w:rsidR="001D2FB1" w:rsidRPr="008342AE" w:rsidRDefault="00F80E20" w:rsidP="008342AE">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5C2FCC">
              <w:rPr>
                <w:rFonts w:asciiTheme="minorHAnsi" w:eastAsia="Calibri" w:hAnsiTheme="minorHAnsi" w:cstheme="minorHAnsi"/>
                <w:color w:val="000000"/>
                <w:sz w:val="20"/>
                <w:szCs w:val="20"/>
              </w:rPr>
              <w:t>1920x1080</w:t>
            </w:r>
          </w:p>
          <w:p w14:paraId="5359E957" w14:textId="77777777" w:rsidR="00F80E20"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Gama koloru</w:t>
            </w:r>
            <w:r w:rsidRPr="001D2FB1">
              <w:rPr>
                <w:rFonts w:asciiTheme="minorHAnsi" w:eastAsia="Calibri" w:hAnsiTheme="minorHAnsi" w:cstheme="minorHAnsi"/>
                <w:b/>
                <w:color w:val="000000"/>
                <w:sz w:val="20"/>
                <w:szCs w:val="20"/>
              </w:rPr>
              <w:tab/>
            </w:r>
          </w:p>
          <w:p w14:paraId="211197AF" w14:textId="6CDF735F"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99% </w:t>
            </w:r>
            <w:proofErr w:type="spellStart"/>
            <w:r w:rsidRPr="001D2FB1">
              <w:rPr>
                <w:rFonts w:asciiTheme="minorHAnsi" w:eastAsia="Calibri" w:hAnsiTheme="minorHAnsi" w:cstheme="minorHAnsi"/>
                <w:color w:val="000000"/>
                <w:sz w:val="20"/>
                <w:szCs w:val="20"/>
              </w:rPr>
              <w:t>sRGB</w:t>
            </w:r>
            <w:proofErr w:type="spellEnd"/>
          </w:p>
          <w:p w14:paraId="12BA4436" w14:textId="5B2C466E" w:rsidR="001D2FB1" w:rsidRPr="001D2FB1" w:rsidRDefault="00FC660D"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Pr>
                <w:rFonts w:asciiTheme="minorHAnsi" w:eastAsia="Calibri" w:hAnsiTheme="minorHAnsi" w:cstheme="minorHAnsi"/>
                <w:b/>
                <w:sz w:val="20"/>
                <w:szCs w:val="20"/>
              </w:rPr>
              <w:t xml:space="preserve"> </w:t>
            </w:r>
            <w:r w:rsidR="00F80E20" w:rsidRPr="001D2FB1">
              <w:rPr>
                <w:rFonts w:asciiTheme="minorHAnsi" w:eastAsia="Calibri" w:hAnsiTheme="minorHAnsi" w:cstheme="minorHAnsi"/>
                <w:b/>
                <w:color w:val="000000"/>
                <w:sz w:val="20"/>
                <w:szCs w:val="20"/>
              </w:rPr>
              <w:t>Wydłużenie w pionie</w:t>
            </w:r>
            <w:r w:rsidR="00F80E20" w:rsidRPr="001D2FB1">
              <w:rPr>
                <w:rFonts w:asciiTheme="minorHAnsi" w:eastAsia="Calibri" w:hAnsiTheme="minorHAnsi" w:cstheme="minorHAnsi"/>
                <w:b/>
                <w:color w:val="000000"/>
                <w:sz w:val="20"/>
                <w:szCs w:val="20"/>
              </w:rPr>
              <w:tab/>
            </w:r>
          </w:p>
          <w:p w14:paraId="5D96F647" w14:textId="7DE2795E" w:rsidR="00F80E20" w:rsidRP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M</w:t>
            </w:r>
            <w:r w:rsidR="00F80E20" w:rsidRPr="001D2FB1">
              <w:rPr>
                <w:rFonts w:asciiTheme="minorHAnsi" w:eastAsia="Calibri" w:hAnsiTheme="minorHAnsi" w:cstheme="minorHAnsi"/>
                <w:color w:val="000000"/>
                <w:sz w:val="20"/>
                <w:szCs w:val="20"/>
              </w:rPr>
              <w:t>in</w:t>
            </w:r>
            <w:r w:rsidRPr="001D2FB1">
              <w:rPr>
                <w:rFonts w:asciiTheme="minorHAnsi" w:eastAsia="Calibri" w:hAnsiTheme="minorHAnsi" w:cstheme="minorHAnsi"/>
                <w:color w:val="000000"/>
                <w:sz w:val="20"/>
                <w:szCs w:val="20"/>
              </w:rPr>
              <w:t>.</w:t>
            </w:r>
            <w:r w:rsidR="00F80E20" w:rsidRPr="001D2FB1">
              <w:rPr>
                <w:rFonts w:asciiTheme="minorHAnsi" w:eastAsia="Calibri" w:hAnsiTheme="minorHAnsi" w:cstheme="minorHAnsi"/>
                <w:color w:val="000000"/>
                <w:sz w:val="20"/>
                <w:szCs w:val="20"/>
              </w:rPr>
              <w:t xml:space="preserve"> 150mm</w:t>
            </w:r>
          </w:p>
          <w:p w14:paraId="7CD48625" w14:textId="77777777" w:rsidR="001D2FB1"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PIVOT</w:t>
            </w:r>
            <w:r w:rsidRPr="001D2FB1">
              <w:rPr>
                <w:rFonts w:asciiTheme="minorHAnsi" w:eastAsia="Calibri" w:hAnsiTheme="minorHAnsi" w:cstheme="minorHAnsi"/>
                <w:b/>
                <w:color w:val="000000"/>
                <w:sz w:val="20"/>
                <w:szCs w:val="20"/>
              </w:rPr>
              <w:tab/>
            </w:r>
          </w:p>
          <w:p w14:paraId="0372F363" w14:textId="0ED7834B"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Tak</w:t>
            </w:r>
          </w:p>
          <w:p w14:paraId="15270280" w14:textId="77777777" w:rsidR="001D2FB1"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Obrót lewo/prawo</w:t>
            </w:r>
            <w:r w:rsidRPr="001D2FB1">
              <w:rPr>
                <w:rFonts w:asciiTheme="minorHAnsi" w:eastAsia="Calibri" w:hAnsiTheme="minorHAnsi" w:cstheme="minorHAnsi"/>
                <w:b/>
                <w:color w:val="000000"/>
                <w:sz w:val="20"/>
                <w:szCs w:val="20"/>
              </w:rPr>
              <w:tab/>
            </w:r>
          </w:p>
          <w:p w14:paraId="6BEFDE86" w14:textId="02742095"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FC660D">
              <w:rPr>
                <w:rFonts w:asciiTheme="minorHAnsi" w:eastAsia="Calibri" w:hAnsiTheme="minorHAnsi" w:cstheme="minorHAnsi"/>
                <w:color w:val="000000"/>
                <w:sz w:val="20"/>
                <w:szCs w:val="20"/>
              </w:rPr>
              <w:t>45</w:t>
            </w:r>
            <w:r w:rsidRPr="001D2FB1">
              <w:rPr>
                <w:rFonts w:asciiTheme="minorHAnsi" w:eastAsia="Calibri" w:hAnsiTheme="minorHAnsi" w:cstheme="minorHAnsi"/>
                <w:color w:val="000000"/>
                <w:sz w:val="20"/>
                <w:szCs w:val="20"/>
              </w:rPr>
              <w:t xml:space="preserve"> stopni</w:t>
            </w:r>
          </w:p>
          <w:p w14:paraId="1B27593F" w14:textId="77777777" w:rsidR="001D2FB1"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Powłoka powierzchni ekranu</w:t>
            </w:r>
            <w:r w:rsidRPr="001D2FB1">
              <w:rPr>
                <w:rFonts w:asciiTheme="minorHAnsi" w:eastAsia="Calibri" w:hAnsiTheme="minorHAnsi" w:cstheme="minorHAnsi"/>
                <w:b/>
                <w:color w:val="000000"/>
                <w:sz w:val="20"/>
                <w:szCs w:val="20"/>
              </w:rPr>
              <w:tab/>
            </w:r>
          </w:p>
          <w:p w14:paraId="6C38B868" w14:textId="1497B5D5"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Antyodblaskowa</w:t>
            </w:r>
          </w:p>
          <w:p w14:paraId="01227DFF" w14:textId="77777777" w:rsidR="001D2FB1"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Zużycie energii</w:t>
            </w:r>
            <w:r w:rsidRPr="001D2FB1">
              <w:rPr>
                <w:rFonts w:asciiTheme="minorHAnsi" w:eastAsia="Calibri" w:hAnsiTheme="minorHAnsi" w:cstheme="minorHAnsi"/>
                <w:b/>
                <w:color w:val="000000"/>
                <w:sz w:val="20"/>
                <w:szCs w:val="20"/>
              </w:rPr>
              <w:tab/>
            </w:r>
          </w:p>
          <w:p w14:paraId="57076631" w14:textId="33DFA989" w:rsidR="00F80E20" w:rsidRP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M</w:t>
            </w:r>
            <w:r w:rsidR="00F80E20" w:rsidRPr="001D2FB1">
              <w:rPr>
                <w:rFonts w:asciiTheme="minorHAnsi" w:eastAsia="Calibri" w:hAnsiTheme="minorHAnsi" w:cstheme="minorHAnsi"/>
                <w:color w:val="000000"/>
                <w:sz w:val="20"/>
                <w:szCs w:val="20"/>
              </w:rPr>
              <w:t>aks</w:t>
            </w:r>
            <w:r w:rsidRPr="001D2FB1">
              <w:rPr>
                <w:rFonts w:asciiTheme="minorHAnsi" w:eastAsia="Calibri" w:hAnsiTheme="minorHAnsi" w:cstheme="minorHAnsi"/>
                <w:color w:val="000000"/>
                <w:sz w:val="20"/>
                <w:szCs w:val="20"/>
              </w:rPr>
              <w:t>.</w:t>
            </w:r>
            <w:r w:rsidR="00F80E20" w:rsidRPr="001D2FB1">
              <w:rPr>
                <w:rFonts w:asciiTheme="minorHAnsi" w:eastAsia="Calibri" w:hAnsiTheme="minorHAnsi" w:cstheme="minorHAnsi"/>
                <w:color w:val="000000"/>
                <w:sz w:val="20"/>
                <w:szCs w:val="20"/>
              </w:rPr>
              <w:t xml:space="preserve"> </w:t>
            </w:r>
            <w:r w:rsidR="00FC660D">
              <w:rPr>
                <w:rFonts w:asciiTheme="minorHAnsi" w:eastAsia="Calibri" w:hAnsiTheme="minorHAnsi" w:cstheme="minorHAnsi"/>
                <w:color w:val="000000"/>
                <w:sz w:val="20"/>
                <w:szCs w:val="20"/>
              </w:rPr>
              <w:t>6</w:t>
            </w:r>
            <w:r w:rsidR="00F80E20" w:rsidRPr="001D2FB1">
              <w:rPr>
                <w:rFonts w:asciiTheme="minorHAnsi" w:eastAsia="Calibri" w:hAnsiTheme="minorHAnsi" w:cstheme="minorHAnsi"/>
                <w:color w:val="000000"/>
                <w:sz w:val="20"/>
                <w:szCs w:val="20"/>
              </w:rPr>
              <w:t>5W</w:t>
            </w:r>
          </w:p>
          <w:p w14:paraId="268A09A7" w14:textId="77777777" w:rsidR="001D2FB1"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Bezpieczeństwo</w:t>
            </w:r>
            <w:r w:rsidRPr="001D2FB1">
              <w:rPr>
                <w:rFonts w:asciiTheme="minorHAnsi" w:eastAsia="Calibri" w:hAnsiTheme="minorHAnsi" w:cstheme="minorHAnsi"/>
                <w:b/>
                <w:color w:val="000000"/>
                <w:sz w:val="20"/>
                <w:szCs w:val="20"/>
              </w:rPr>
              <w:tab/>
            </w:r>
          </w:p>
          <w:p w14:paraId="51E83BBE" w14:textId="0D6E682C" w:rsidR="00F80E20" w:rsidRPr="001D2FB1" w:rsidRDefault="00F80E20"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Monitor musi być wyposażony </w:t>
            </w:r>
            <w:r w:rsidR="005B6FE2">
              <w:rPr>
                <w:rFonts w:asciiTheme="minorHAnsi" w:eastAsia="Calibri" w:hAnsiTheme="minorHAnsi" w:cstheme="minorHAnsi"/>
                <w:color w:val="000000"/>
                <w:sz w:val="20"/>
                <w:szCs w:val="20"/>
              </w:rPr>
              <w:t xml:space="preserve">w </w:t>
            </w:r>
            <w:r w:rsidRPr="001D2FB1">
              <w:rPr>
                <w:rFonts w:asciiTheme="minorHAnsi" w:eastAsia="Calibri" w:hAnsiTheme="minorHAnsi" w:cstheme="minorHAnsi"/>
                <w:color w:val="000000"/>
                <w:sz w:val="20"/>
                <w:szCs w:val="20"/>
              </w:rPr>
              <w:t>dedykowany slot na linkę zabezpieczającą</w:t>
            </w:r>
          </w:p>
          <w:p w14:paraId="45D2E4B2" w14:textId="77777777" w:rsidR="001D2FB1" w:rsidRPr="001D2FB1" w:rsidRDefault="00F80E20"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1D2FB1">
              <w:rPr>
                <w:rFonts w:asciiTheme="minorHAnsi" w:eastAsia="Calibri" w:hAnsiTheme="minorHAnsi" w:cstheme="minorHAnsi"/>
                <w:b/>
                <w:color w:val="000000"/>
                <w:sz w:val="20"/>
                <w:szCs w:val="20"/>
              </w:rPr>
              <w:t>Złącza</w:t>
            </w:r>
            <w:r w:rsidRPr="001D2FB1">
              <w:rPr>
                <w:rFonts w:asciiTheme="minorHAnsi" w:eastAsia="Calibri" w:hAnsiTheme="minorHAnsi" w:cstheme="minorHAnsi"/>
                <w:b/>
                <w:color w:val="000000"/>
                <w:sz w:val="20"/>
                <w:szCs w:val="20"/>
              </w:rPr>
              <w:tab/>
            </w:r>
          </w:p>
          <w:p w14:paraId="65391653" w14:textId="0F0EC0D2" w:rsidR="00F80E20" w:rsidRP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1x </w:t>
            </w:r>
            <w:r w:rsidR="00F80E20" w:rsidRPr="001D2FB1">
              <w:rPr>
                <w:rFonts w:asciiTheme="minorHAnsi" w:eastAsia="Calibri" w:hAnsiTheme="minorHAnsi" w:cstheme="minorHAnsi"/>
                <w:color w:val="000000"/>
                <w:sz w:val="20"/>
                <w:szCs w:val="20"/>
              </w:rPr>
              <w:t xml:space="preserve">HDMI </w:t>
            </w:r>
          </w:p>
          <w:p w14:paraId="5A1A4F42" w14:textId="64BFCDFD" w:rsidR="00F80E20" w:rsidRP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1x </w:t>
            </w:r>
            <w:proofErr w:type="spellStart"/>
            <w:r w:rsidR="00F80E20" w:rsidRPr="001D2FB1">
              <w:rPr>
                <w:rFonts w:asciiTheme="minorHAnsi" w:eastAsia="Calibri" w:hAnsiTheme="minorHAnsi" w:cstheme="minorHAnsi"/>
                <w:color w:val="000000"/>
                <w:sz w:val="20"/>
                <w:szCs w:val="20"/>
              </w:rPr>
              <w:t>DisplayPort</w:t>
            </w:r>
            <w:proofErr w:type="spellEnd"/>
            <w:r w:rsidR="00F80E20" w:rsidRPr="001D2FB1">
              <w:rPr>
                <w:rFonts w:asciiTheme="minorHAnsi" w:eastAsia="Calibri" w:hAnsiTheme="minorHAnsi" w:cstheme="minorHAnsi"/>
                <w:color w:val="000000"/>
                <w:sz w:val="20"/>
                <w:szCs w:val="20"/>
              </w:rPr>
              <w:t xml:space="preserve"> 1.2 </w:t>
            </w:r>
          </w:p>
          <w:p w14:paraId="70CDB8B2" w14:textId="7AB13E66" w:rsidR="00F80E20"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FC660D">
              <w:rPr>
                <w:rFonts w:asciiTheme="minorHAnsi" w:eastAsia="Calibri" w:hAnsiTheme="minorHAnsi" w:cstheme="minorHAnsi"/>
                <w:color w:val="000000"/>
                <w:sz w:val="20"/>
                <w:szCs w:val="20"/>
              </w:rPr>
              <w:t>3</w:t>
            </w:r>
            <w:r w:rsidR="00F80E20" w:rsidRPr="001D2FB1">
              <w:rPr>
                <w:rFonts w:asciiTheme="minorHAnsi" w:eastAsia="Calibri" w:hAnsiTheme="minorHAnsi" w:cstheme="minorHAnsi"/>
                <w:color w:val="000000"/>
                <w:sz w:val="20"/>
                <w:szCs w:val="20"/>
              </w:rPr>
              <w:t xml:space="preserve"> x USB 3.2 Gen 1. </w:t>
            </w:r>
            <w:proofErr w:type="spellStart"/>
            <w:r w:rsidR="00FC660D" w:rsidRPr="001D2FB1">
              <w:rPr>
                <w:rFonts w:asciiTheme="minorHAnsi" w:eastAsia="Calibri" w:hAnsiTheme="minorHAnsi" w:cstheme="minorHAnsi"/>
                <w:color w:val="000000"/>
                <w:sz w:val="20"/>
                <w:szCs w:val="20"/>
              </w:rPr>
              <w:t>D</w:t>
            </w:r>
            <w:r w:rsidR="00F80E20" w:rsidRPr="001D2FB1">
              <w:rPr>
                <w:rFonts w:asciiTheme="minorHAnsi" w:eastAsia="Calibri" w:hAnsiTheme="minorHAnsi" w:cstheme="minorHAnsi"/>
                <w:color w:val="000000"/>
                <w:sz w:val="20"/>
                <w:szCs w:val="20"/>
              </w:rPr>
              <w:t>ownstream</w:t>
            </w:r>
            <w:proofErr w:type="spellEnd"/>
          </w:p>
          <w:p w14:paraId="52205005" w14:textId="1DCA0C4F" w:rsidR="00FC660D" w:rsidRPr="001D2FB1" w:rsidRDefault="00FC660D"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Pr>
                <w:rFonts w:asciiTheme="minorHAnsi" w:eastAsia="Calibri" w:hAnsiTheme="minorHAnsi" w:cstheme="minorHAnsi"/>
                <w:color w:val="000000"/>
                <w:sz w:val="20"/>
                <w:szCs w:val="20"/>
              </w:rPr>
              <w:t>Min. 1x USB 3.2 type-C</w:t>
            </w:r>
          </w:p>
          <w:p w14:paraId="645C0D7A" w14:textId="548412CC" w:rsidR="001D2FB1" w:rsidRPr="00E32585" w:rsidRDefault="001D2FB1" w:rsidP="001D2FB1">
            <w:pPr>
              <w:pStyle w:val="Akapitzlist"/>
              <w:numPr>
                <w:ilvl w:val="1"/>
                <w:numId w:val="1"/>
              </w:numPr>
              <w:pBdr>
                <w:top w:val="nil"/>
                <w:left w:val="nil"/>
                <w:bottom w:val="nil"/>
                <w:right w:val="nil"/>
                <w:between w:val="nil"/>
              </w:pBdr>
              <w:spacing w:line="240" w:lineRule="auto"/>
              <w:jc w:val="both"/>
              <w:rPr>
                <w:rFonts w:asciiTheme="minorHAnsi" w:eastAsia="Calibri" w:hAnsiTheme="minorHAnsi" w:cstheme="minorHAnsi"/>
                <w:b/>
                <w:color w:val="000000"/>
                <w:sz w:val="20"/>
                <w:szCs w:val="20"/>
              </w:rPr>
            </w:pPr>
            <w:r w:rsidRPr="00E32585">
              <w:rPr>
                <w:rFonts w:asciiTheme="minorHAnsi" w:eastAsia="Calibri" w:hAnsiTheme="minorHAnsi" w:cstheme="minorHAnsi"/>
                <w:b/>
                <w:color w:val="000000"/>
                <w:sz w:val="20"/>
                <w:szCs w:val="20"/>
              </w:rPr>
              <w:t>K</w:t>
            </w:r>
            <w:r w:rsidR="00F80E20" w:rsidRPr="00E32585">
              <w:rPr>
                <w:rFonts w:asciiTheme="minorHAnsi" w:eastAsia="Calibri" w:hAnsiTheme="minorHAnsi" w:cstheme="minorHAnsi"/>
                <w:b/>
                <w:color w:val="000000"/>
                <w:sz w:val="20"/>
                <w:szCs w:val="20"/>
              </w:rPr>
              <w:t>able</w:t>
            </w:r>
            <w:r w:rsidRPr="00E32585">
              <w:rPr>
                <w:rFonts w:asciiTheme="minorHAnsi" w:eastAsia="Calibri" w:hAnsiTheme="minorHAnsi" w:cstheme="minorHAnsi"/>
                <w:b/>
                <w:color w:val="000000"/>
                <w:sz w:val="20"/>
                <w:szCs w:val="20"/>
              </w:rPr>
              <w:t xml:space="preserve"> w zestawie</w:t>
            </w:r>
            <w:r w:rsidR="00F80E20" w:rsidRPr="00E32585">
              <w:rPr>
                <w:rFonts w:asciiTheme="minorHAnsi" w:eastAsia="Calibri" w:hAnsiTheme="minorHAnsi" w:cstheme="minorHAnsi"/>
                <w:b/>
                <w:color w:val="000000"/>
                <w:sz w:val="20"/>
                <w:szCs w:val="20"/>
              </w:rPr>
              <w:t>:</w:t>
            </w:r>
          </w:p>
          <w:p w14:paraId="5172ABE4" w14:textId="765A8740" w:rsidR="001D2FB1" w:rsidRP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F80E20" w:rsidRPr="001D2FB1">
              <w:rPr>
                <w:rFonts w:asciiTheme="minorHAnsi" w:eastAsia="Calibri" w:hAnsiTheme="minorHAnsi" w:cstheme="minorHAnsi"/>
                <w:color w:val="000000"/>
                <w:sz w:val="20"/>
                <w:szCs w:val="20"/>
              </w:rPr>
              <w:t>1x kabel DP 1,8m (DP do DP)</w:t>
            </w:r>
          </w:p>
          <w:p w14:paraId="565D6340" w14:textId="337EDD97" w:rsidR="001D2FB1" w:rsidRP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F80E20" w:rsidRPr="001D2FB1">
              <w:rPr>
                <w:rFonts w:asciiTheme="minorHAnsi" w:eastAsia="Calibri" w:hAnsiTheme="minorHAnsi" w:cstheme="minorHAnsi"/>
                <w:color w:val="000000"/>
                <w:sz w:val="20"/>
                <w:szCs w:val="20"/>
              </w:rPr>
              <w:t xml:space="preserve">1x kabel USB  </w:t>
            </w:r>
          </w:p>
          <w:p w14:paraId="60C78F0E" w14:textId="2DB9840E" w:rsidR="001D2FB1" w:rsidRDefault="001D2FB1" w:rsidP="001D2FB1">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eastAsia="Calibri" w:hAnsiTheme="minorHAnsi" w:cstheme="minorHAnsi"/>
                <w:color w:val="000000"/>
                <w:sz w:val="20"/>
                <w:szCs w:val="20"/>
              </w:rPr>
              <w:t xml:space="preserve">Min. </w:t>
            </w:r>
            <w:r w:rsidR="00F80E20" w:rsidRPr="001D2FB1">
              <w:rPr>
                <w:rFonts w:asciiTheme="minorHAnsi" w:eastAsia="Calibri" w:hAnsiTheme="minorHAnsi" w:cstheme="minorHAnsi"/>
                <w:color w:val="000000"/>
                <w:sz w:val="20"/>
                <w:szCs w:val="20"/>
              </w:rPr>
              <w:t>1x kabel zasilający</w:t>
            </w:r>
          </w:p>
          <w:p w14:paraId="7A9F8D50" w14:textId="7A566E04" w:rsidR="001D2FB1" w:rsidRPr="001D2FB1" w:rsidRDefault="001D2FB1" w:rsidP="001D2FB1">
            <w:pPr>
              <w:pStyle w:val="Akapitzlist"/>
              <w:numPr>
                <w:ilvl w:val="1"/>
                <w:numId w:val="1"/>
              </w:numPr>
              <w:pBdr>
                <w:top w:val="nil"/>
                <w:left w:val="nil"/>
                <w:bottom w:val="nil"/>
                <w:right w:val="nil"/>
                <w:between w:val="nil"/>
              </w:pBdr>
              <w:spacing w:after="0" w:line="240" w:lineRule="auto"/>
              <w:jc w:val="both"/>
              <w:rPr>
                <w:rFonts w:asciiTheme="minorHAnsi" w:eastAsia="Calibri" w:hAnsiTheme="minorHAnsi" w:cstheme="minorHAnsi"/>
                <w:color w:val="000000"/>
                <w:sz w:val="20"/>
                <w:szCs w:val="20"/>
              </w:rPr>
            </w:pPr>
            <w:r w:rsidRPr="00893283">
              <w:rPr>
                <w:rFonts w:asciiTheme="minorHAnsi" w:hAnsiTheme="minorHAnsi"/>
                <w:b/>
              </w:rPr>
              <w:t>Gwarancja</w:t>
            </w:r>
          </w:p>
          <w:p w14:paraId="55FD294D" w14:textId="77777777" w:rsidR="001D2FB1" w:rsidRPr="001D2FB1" w:rsidRDefault="001D2FB1" w:rsidP="001D2FB1">
            <w:pPr>
              <w:numPr>
                <w:ilvl w:val="2"/>
                <w:numId w:val="1"/>
              </w:numPr>
              <w:pBdr>
                <w:top w:val="nil"/>
                <w:left w:val="nil"/>
                <w:bottom w:val="nil"/>
                <w:right w:val="nil"/>
                <w:between w:val="nil"/>
              </w:pBdr>
              <w:jc w:val="both"/>
              <w:rPr>
                <w:rFonts w:asciiTheme="minorHAnsi" w:eastAsia="Calibri" w:hAnsiTheme="minorHAnsi" w:cstheme="minorHAnsi"/>
                <w:b/>
              </w:rPr>
            </w:pPr>
            <w:r w:rsidRPr="001D2FB1">
              <w:rPr>
                <w:rFonts w:asciiTheme="minorHAnsi" w:hAnsiTheme="minorHAnsi" w:cstheme="minorHAnsi"/>
              </w:rPr>
              <w:t>Min. 5-letnia</w:t>
            </w:r>
            <w:r w:rsidRPr="001D2FB1">
              <w:rPr>
                <w:rFonts w:asciiTheme="minorHAnsi" w:hAnsiTheme="minorHAnsi" w:cstheme="minorHAnsi"/>
                <w:color w:val="00B050"/>
              </w:rPr>
              <w:t xml:space="preserve"> </w:t>
            </w:r>
            <w:r w:rsidRPr="001D2FB1">
              <w:rPr>
                <w:rFonts w:asciiTheme="minorHAnsi" w:hAnsiTheme="minorHAnsi" w:cstheme="minorHAnsi"/>
              </w:rPr>
              <w:t>gwarancja producenta świadczona na miejscu u klienta</w:t>
            </w:r>
          </w:p>
          <w:p w14:paraId="6C2656E5" w14:textId="77777777" w:rsidR="001D2FB1" w:rsidRPr="001D2FB1" w:rsidRDefault="001D2FB1" w:rsidP="001D2FB1">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D2FB1">
              <w:rPr>
                <w:rFonts w:asciiTheme="minorHAnsi" w:hAnsiTheme="minorHAnsi" w:cstheme="minorHAnsi"/>
              </w:rPr>
              <w:t>Czas reakcji serwisu - do końca następnego dnia roboczego</w:t>
            </w:r>
          </w:p>
          <w:p w14:paraId="15E08CED" w14:textId="77777777" w:rsidR="001D2FB1" w:rsidRPr="001D2FB1" w:rsidRDefault="001D2FB1" w:rsidP="001D2FB1">
            <w:pPr>
              <w:numPr>
                <w:ilvl w:val="2"/>
                <w:numId w:val="1"/>
              </w:numPr>
              <w:pBdr>
                <w:top w:val="nil"/>
                <w:left w:val="nil"/>
                <w:bottom w:val="nil"/>
                <w:right w:val="nil"/>
                <w:between w:val="nil"/>
              </w:pBdr>
              <w:jc w:val="both"/>
              <w:rPr>
                <w:rFonts w:asciiTheme="minorHAnsi" w:eastAsia="Calibri" w:hAnsiTheme="minorHAnsi" w:cstheme="minorHAnsi"/>
                <w:b/>
                <w:color w:val="000000"/>
              </w:rPr>
            </w:pPr>
            <w:r w:rsidRPr="001D2FB1">
              <w:rPr>
                <w:rFonts w:asciiTheme="minorHAnsi" w:hAnsiTheme="minorHAnsi" w:cstheme="minorHAnsi"/>
              </w:rPr>
              <w:t>Oświadczenie producenta komputera, że w przypadku nie wywiązywania się z obowiązków gwarancyjnych oferenta lub firmy serwisującej, przejmie na siebie wszelkie zobowiązania związane z serwisem</w:t>
            </w:r>
          </w:p>
          <w:p w14:paraId="784876B5" w14:textId="2F101CC5" w:rsidR="00F80E20" w:rsidRPr="007067FE" w:rsidRDefault="001D2FB1" w:rsidP="007067FE">
            <w:pPr>
              <w:pStyle w:val="Akapitzlist"/>
              <w:numPr>
                <w:ilvl w:val="2"/>
                <w:numId w:val="1"/>
              </w:numPr>
              <w:pBdr>
                <w:top w:val="nil"/>
                <w:left w:val="nil"/>
                <w:bottom w:val="nil"/>
                <w:right w:val="nil"/>
                <w:between w:val="nil"/>
              </w:pBdr>
              <w:spacing w:line="240" w:lineRule="auto"/>
              <w:jc w:val="both"/>
              <w:rPr>
                <w:rFonts w:asciiTheme="minorHAnsi" w:eastAsia="Calibri" w:hAnsiTheme="minorHAnsi" w:cstheme="minorHAnsi"/>
                <w:color w:val="000000"/>
                <w:sz w:val="20"/>
                <w:szCs w:val="20"/>
              </w:rPr>
            </w:pPr>
            <w:r w:rsidRPr="001D2FB1">
              <w:rPr>
                <w:rFonts w:asciiTheme="minorHAnsi" w:hAnsiTheme="minorHAnsi" w:cstheme="minorHAnsi"/>
                <w:sz w:val="20"/>
                <w:szCs w:val="20"/>
              </w:rPr>
              <w:t>Zamawiający wymaga narzędzia do zarządzania zgłoszeniami serwisowymi samodzielnie przez portal internetowy lub inne narzędzie nie wymagające działań po stronie dostawcy</w:t>
            </w:r>
          </w:p>
        </w:tc>
        <w:tc>
          <w:tcPr>
            <w:tcW w:w="1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A06EF7" w14:textId="77777777" w:rsidR="00F80E20" w:rsidRDefault="00F80E20" w:rsidP="00F80E20">
            <w:pPr>
              <w:rPr>
                <w:rFonts w:asciiTheme="minorHAnsi" w:eastAsia="Calibri" w:hAnsiTheme="minorHAnsi" w:cstheme="minorHAnsi"/>
                <w:b/>
              </w:rPr>
            </w:pPr>
            <w:r>
              <w:rPr>
                <w:rFonts w:asciiTheme="minorHAnsi" w:eastAsia="Calibri" w:hAnsiTheme="minorHAnsi" w:cstheme="minorHAnsi"/>
                <w:b/>
              </w:rPr>
              <w:lastRenderedPageBreak/>
              <w:t>2</w:t>
            </w:r>
            <w:r w:rsidRPr="0092125A">
              <w:rPr>
                <w:rFonts w:asciiTheme="minorHAnsi" w:eastAsia="Calibri" w:hAnsiTheme="minorHAnsi" w:cstheme="minorHAnsi"/>
                <w:b/>
              </w:rPr>
              <w:t xml:space="preserve"> szt.</w:t>
            </w:r>
          </w:p>
          <w:p w14:paraId="0EFEF0FF" w14:textId="00DFA406" w:rsidR="005A299F" w:rsidRPr="0092125A" w:rsidRDefault="005A299F" w:rsidP="00F80E20">
            <w:pPr>
              <w:rPr>
                <w:rFonts w:asciiTheme="minorHAnsi" w:eastAsia="Calibri" w:hAnsiTheme="minorHAnsi" w:cstheme="minorHAnsi"/>
                <w:b/>
              </w:rPr>
            </w:pPr>
            <w:r>
              <w:rPr>
                <w:rFonts w:asciiTheme="minorHAnsi" w:eastAsia="Calibri" w:hAnsiTheme="minorHAnsi" w:cstheme="minorHAnsi"/>
                <w:b/>
              </w:rPr>
              <w:t>+</w:t>
            </w:r>
            <w:r w:rsidR="00C37DAE">
              <w:rPr>
                <w:rFonts w:asciiTheme="minorHAnsi" w:eastAsia="Calibri" w:hAnsiTheme="minorHAnsi" w:cstheme="minorHAnsi"/>
                <w:b/>
              </w:rPr>
              <w:t xml:space="preserve"> </w:t>
            </w:r>
            <w:r>
              <w:rPr>
                <w:rFonts w:asciiTheme="minorHAnsi" w:eastAsia="Calibri" w:hAnsiTheme="minorHAnsi" w:cstheme="minorHAnsi"/>
                <w:b/>
              </w:rPr>
              <w:t>prawo opcji</w:t>
            </w:r>
            <w:r w:rsidR="00645DBB">
              <w:rPr>
                <w:rFonts w:asciiTheme="minorHAnsi" w:eastAsia="Calibri" w:hAnsiTheme="minorHAnsi" w:cstheme="minorHAnsi"/>
                <w:b/>
              </w:rPr>
              <w:t xml:space="preserve"> </w:t>
            </w:r>
            <w:r w:rsidR="0027736B">
              <w:rPr>
                <w:rFonts w:asciiTheme="minorHAnsi" w:eastAsia="Calibri" w:hAnsiTheme="minorHAnsi" w:cstheme="minorHAnsi"/>
                <w:b/>
              </w:rPr>
              <w:t xml:space="preserve">maksymalnie </w:t>
            </w:r>
            <w:r>
              <w:rPr>
                <w:rFonts w:asciiTheme="minorHAnsi" w:eastAsia="Calibri" w:hAnsiTheme="minorHAnsi" w:cstheme="minorHAnsi"/>
                <w:b/>
              </w:rPr>
              <w:t>13 szt.</w:t>
            </w:r>
          </w:p>
        </w:tc>
      </w:tr>
    </w:tbl>
    <w:p w14:paraId="41418451" w14:textId="105587CC" w:rsidR="001005D0" w:rsidRPr="001005D0" w:rsidRDefault="00797B35" w:rsidP="001005D0">
      <w:pPr>
        <w:pStyle w:val="Akapitzlist"/>
        <w:numPr>
          <w:ilvl w:val="0"/>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sidRPr="001005D0">
        <w:rPr>
          <w:rFonts w:asciiTheme="minorHAnsi" w:eastAsia="Calibri" w:hAnsiTheme="minorHAnsi" w:cstheme="minorHAnsi"/>
          <w:b/>
          <w:color w:val="000000"/>
          <w:sz w:val="20"/>
          <w:szCs w:val="20"/>
          <w:u w:val="single"/>
        </w:rPr>
        <w:t>Wymagania dodatkowe</w:t>
      </w:r>
    </w:p>
    <w:p w14:paraId="0CC060AF" w14:textId="77777777" w:rsidR="001005D0" w:rsidRPr="00CD55EC" w:rsidRDefault="001005D0" w:rsidP="001005D0">
      <w:pPr>
        <w:pStyle w:val="Akapitzlist"/>
        <w:numPr>
          <w:ilvl w:val="1"/>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sidRPr="00681BDA">
        <w:rPr>
          <w:sz w:val="20"/>
        </w:rPr>
        <w:t>Dostarczony sprzęt jest fabrycznie nowy i oryginalnie zapakowany przez producenta bez śladów otwierania opakowania. Zamawiający zastrzega sobie prawo do wykonania ekspertyzy (na koszt Wykonawcy), czy dostarczony sprzęt jest sprzętem nowym i nieużywanym. Ponadto Zamawiający zastrzega sobie możliwość weryfikacji legalności kanału pochodzenia u polskiego przedstawiciela producenta oraz że w przypadku braku legalności kanału, sprzęt nie zostanie odebrany</w:t>
      </w:r>
    </w:p>
    <w:p w14:paraId="458CAD74" w14:textId="563BD272" w:rsidR="00CD55EC" w:rsidRPr="001005D0" w:rsidRDefault="00CD55EC" w:rsidP="001005D0">
      <w:pPr>
        <w:pStyle w:val="Akapitzlist"/>
        <w:numPr>
          <w:ilvl w:val="1"/>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Pr>
          <w:sz w:val="20"/>
        </w:rPr>
        <w:lastRenderedPageBreak/>
        <w:t>Maksymalnie 21-dniowy termin dostawy dla wolumenu podstawowego i dla prawa opcji</w:t>
      </w:r>
      <w:r w:rsidR="00DC7198">
        <w:rPr>
          <w:sz w:val="20"/>
        </w:rPr>
        <w:t xml:space="preserve">. Prawo opcji będzie zamówione jako komplet </w:t>
      </w:r>
      <w:r w:rsidR="00F85675">
        <w:rPr>
          <w:sz w:val="20"/>
        </w:rPr>
        <w:t xml:space="preserve">składający się z </w:t>
      </w:r>
      <w:r w:rsidR="00DC7198">
        <w:rPr>
          <w:sz w:val="20"/>
        </w:rPr>
        <w:t>komputera stacjonarnego i monitora</w:t>
      </w:r>
      <w:r w:rsidR="00CC1D65">
        <w:rPr>
          <w:sz w:val="20"/>
        </w:rPr>
        <w:t xml:space="preserve"> w liczbie do 13 kompletów</w:t>
      </w:r>
    </w:p>
    <w:p w14:paraId="50C34A72" w14:textId="68343547" w:rsidR="001005D0" w:rsidRPr="00543E7C" w:rsidRDefault="001005D0" w:rsidP="001005D0">
      <w:pPr>
        <w:pStyle w:val="Akapitzlist"/>
        <w:numPr>
          <w:ilvl w:val="1"/>
          <w:numId w:val="2"/>
        </w:numPr>
        <w:pBdr>
          <w:top w:val="nil"/>
          <w:left w:val="nil"/>
          <w:bottom w:val="nil"/>
          <w:right w:val="nil"/>
          <w:between w:val="nil"/>
        </w:pBdr>
        <w:jc w:val="both"/>
        <w:rPr>
          <w:rFonts w:asciiTheme="minorHAnsi" w:eastAsia="Calibri" w:hAnsiTheme="minorHAnsi" w:cstheme="minorHAnsi"/>
          <w:b/>
          <w:sz w:val="20"/>
          <w:szCs w:val="20"/>
          <w:u w:val="single"/>
        </w:rPr>
      </w:pPr>
      <w:r w:rsidRPr="00543E7C">
        <w:rPr>
          <w:rFonts w:asciiTheme="minorHAnsi" w:hAnsiTheme="minorHAnsi"/>
          <w:sz w:val="20"/>
          <w:szCs w:val="20"/>
        </w:rPr>
        <w:t>Oferent jest zobowiązany złożyć specyfikację oferowanego sprzętu (specyfikacja techniczna może być złożona w języku angielskim)</w:t>
      </w:r>
    </w:p>
    <w:p w14:paraId="3EFECB67" w14:textId="0FFC2E46" w:rsidR="001005D0" w:rsidRPr="00B63E2B" w:rsidRDefault="001005D0" w:rsidP="00B63E2B">
      <w:pPr>
        <w:pStyle w:val="Akapitzlist"/>
        <w:numPr>
          <w:ilvl w:val="1"/>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sidRPr="00681BDA">
        <w:rPr>
          <w:spacing w:val="-2"/>
          <w:sz w:val="20"/>
        </w:rPr>
        <w:t>Przed dokonaniem końcowego odbioru jakościowego Wykonawca</w:t>
      </w:r>
      <w:r w:rsidRPr="00681BDA">
        <w:rPr>
          <w:rStyle w:val="apple-converted-space"/>
          <w:spacing w:val="-2"/>
          <w:sz w:val="20"/>
        </w:rPr>
        <w:t> </w:t>
      </w:r>
      <w:r w:rsidRPr="00681BDA">
        <w:rPr>
          <w:spacing w:val="-1"/>
          <w:sz w:val="20"/>
        </w:rPr>
        <w:t>zobowiązany jest dostarczyć</w:t>
      </w:r>
      <w:r w:rsidRPr="00681BDA">
        <w:rPr>
          <w:rStyle w:val="apple-converted-space"/>
          <w:spacing w:val="-1"/>
          <w:sz w:val="20"/>
        </w:rPr>
        <w:t xml:space="preserve">  </w:t>
      </w:r>
      <w:r w:rsidRPr="00681BDA">
        <w:rPr>
          <w:spacing w:val="-1"/>
          <w:sz w:val="20"/>
        </w:rPr>
        <w:t>Zamawiającemu dokument potwierdzający przejęcie przez producenta lub autoryzowany</w:t>
      </w:r>
      <w:r w:rsidRPr="00681BDA">
        <w:rPr>
          <w:rStyle w:val="apple-converted-space"/>
          <w:spacing w:val="-1"/>
          <w:sz w:val="20"/>
        </w:rPr>
        <w:t> </w:t>
      </w:r>
      <w:r w:rsidRPr="00681BDA">
        <w:rPr>
          <w:spacing w:val="-2"/>
          <w:sz w:val="20"/>
        </w:rPr>
        <w:t>serwis zobowiązań</w:t>
      </w:r>
      <w:r w:rsidRPr="00681BDA">
        <w:rPr>
          <w:rStyle w:val="apple-converted-space"/>
          <w:spacing w:val="-2"/>
          <w:sz w:val="20"/>
        </w:rPr>
        <w:t> </w:t>
      </w:r>
      <w:r w:rsidRPr="00681BDA">
        <w:rPr>
          <w:spacing w:val="-2"/>
          <w:sz w:val="20"/>
        </w:rPr>
        <w:t>gwarancyjnych (w pełnym wymiarze gwarancji)</w:t>
      </w:r>
      <w:r w:rsidRPr="00681BDA">
        <w:rPr>
          <w:rStyle w:val="apple-converted-space"/>
          <w:spacing w:val="-2"/>
          <w:sz w:val="20"/>
        </w:rPr>
        <w:t> </w:t>
      </w:r>
      <w:r w:rsidRPr="00681BDA">
        <w:rPr>
          <w:sz w:val="20"/>
        </w:rPr>
        <w:t>od Wykonawcy</w:t>
      </w:r>
    </w:p>
    <w:p w14:paraId="10AFF7F1" w14:textId="744C083E" w:rsidR="001005D0" w:rsidRPr="001005D0" w:rsidRDefault="001005D0" w:rsidP="001005D0">
      <w:pPr>
        <w:pStyle w:val="Akapitzlist"/>
        <w:numPr>
          <w:ilvl w:val="1"/>
          <w:numId w:val="2"/>
        </w:numPr>
        <w:pBdr>
          <w:top w:val="nil"/>
          <w:left w:val="nil"/>
          <w:bottom w:val="nil"/>
          <w:right w:val="nil"/>
          <w:between w:val="nil"/>
        </w:pBdr>
        <w:spacing w:after="0"/>
        <w:jc w:val="both"/>
        <w:rPr>
          <w:rFonts w:asciiTheme="minorHAnsi" w:eastAsia="Calibri" w:hAnsiTheme="minorHAnsi" w:cstheme="minorHAnsi"/>
          <w:b/>
          <w:color w:val="000000"/>
          <w:sz w:val="20"/>
          <w:szCs w:val="20"/>
          <w:u w:val="single"/>
        </w:rPr>
      </w:pPr>
      <w:r w:rsidRPr="00681BDA">
        <w:rPr>
          <w:sz w:val="20"/>
        </w:rPr>
        <w:t>Wyjaśnienie dotyczące certyfikatów i deklaracji:</w:t>
      </w:r>
    </w:p>
    <w:p w14:paraId="49C7A234" w14:textId="4C987ACA" w:rsidR="001005D0" w:rsidRPr="00A41307" w:rsidRDefault="001005D0" w:rsidP="001005D0">
      <w:pPr>
        <w:pStyle w:val="Akapitzlist1"/>
        <w:numPr>
          <w:ilvl w:val="2"/>
          <w:numId w:val="2"/>
        </w:numPr>
        <w:spacing w:after="0" w:line="240" w:lineRule="auto"/>
        <w:jc w:val="both"/>
        <w:rPr>
          <w:rFonts w:asciiTheme="minorHAnsi" w:hAnsiTheme="minorHAnsi"/>
          <w:sz w:val="20"/>
          <w:szCs w:val="20"/>
        </w:rPr>
      </w:pPr>
      <w:r w:rsidRPr="00681BDA">
        <w:rPr>
          <w:sz w:val="20"/>
        </w:rPr>
        <w:t>w celu potwierdzenia stosowania norm jakościowych w procesie projektowania i</w:t>
      </w:r>
      <w:r>
        <w:rPr>
          <w:sz w:val="20"/>
          <w:szCs w:val="20"/>
        </w:rPr>
        <w:t xml:space="preserve"> </w:t>
      </w:r>
      <w:r w:rsidRPr="00681BDA">
        <w:rPr>
          <w:sz w:val="20"/>
        </w:rPr>
        <w:t>produkcji przez producenta należy dostarczyć certyfikat ISO 9001:2000 lub równoważny</w:t>
      </w:r>
    </w:p>
    <w:p w14:paraId="0AA693F0" w14:textId="77777777" w:rsidR="001005D0" w:rsidRPr="00A41307" w:rsidRDefault="001005D0" w:rsidP="001005D0">
      <w:pPr>
        <w:pStyle w:val="Akapitzlist1"/>
        <w:numPr>
          <w:ilvl w:val="2"/>
          <w:numId w:val="2"/>
        </w:numPr>
        <w:spacing w:after="0" w:line="240" w:lineRule="auto"/>
        <w:jc w:val="both"/>
        <w:rPr>
          <w:rFonts w:asciiTheme="minorHAnsi" w:hAnsiTheme="minorHAnsi"/>
          <w:sz w:val="20"/>
          <w:szCs w:val="20"/>
        </w:rPr>
      </w:pPr>
      <w:r w:rsidRPr="00681BDA">
        <w:rPr>
          <w:sz w:val="20"/>
        </w:rPr>
        <w:t>w celu bezpiecznej eksploatacji dostarczonych urządzeń należy dostarczyć certyfikat CE lub równoważny</w:t>
      </w:r>
    </w:p>
    <w:p w14:paraId="3C27F864" w14:textId="77777777" w:rsidR="00543E7C" w:rsidRPr="00543E7C" w:rsidRDefault="001005D0" w:rsidP="00543E7C">
      <w:pPr>
        <w:pStyle w:val="Akapitzlist1"/>
        <w:numPr>
          <w:ilvl w:val="2"/>
          <w:numId w:val="2"/>
        </w:numPr>
        <w:spacing w:after="0" w:line="240" w:lineRule="auto"/>
        <w:jc w:val="both"/>
        <w:rPr>
          <w:rFonts w:asciiTheme="minorHAnsi" w:hAnsiTheme="minorHAnsi"/>
          <w:sz w:val="20"/>
          <w:szCs w:val="20"/>
        </w:rPr>
      </w:pPr>
      <w:r w:rsidRPr="00681BDA">
        <w:rPr>
          <w:sz w:val="20"/>
        </w:rPr>
        <w:t>w celu potwierdzenia stosowania przez producenta procesów minimalizujących negatywny wpływ na środowisko należy dostarczyć certyfikat ISO 14001 lub równoważny</w:t>
      </w:r>
    </w:p>
    <w:p w14:paraId="36C0D341" w14:textId="66F5DFEB" w:rsidR="00543E7C" w:rsidRPr="00B63E2B" w:rsidRDefault="00543E7C" w:rsidP="00543E7C">
      <w:pPr>
        <w:pStyle w:val="Akapitzlist1"/>
        <w:numPr>
          <w:ilvl w:val="2"/>
          <w:numId w:val="2"/>
        </w:numPr>
        <w:spacing w:after="0" w:line="240" w:lineRule="auto"/>
        <w:jc w:val="both"/>
        <w:rPr>
          <w:rFonts w:asciiTheme="minorHAnsi" w:hAnsiTheme="minorHAnsi"/>
          <w:color w:val="000000" w:themeColor="text1"/>
          <w:sz w:val="20"/>
          <w:szCs w:val="20"/>
        </w:rPr>
      </w:pPr>
      <w:r w:rsidRPr="00681BDA">
        <w:rPr>
          <w:rFonts w:asciiTheme="minorHAnsi" w:hAnsiTheme="minorHAnsi"/>
          <w:color w:val="000000" w:themeColor="text1"/>
        </w:rPr>
        <w:t>w celu potwierdzenia stosowania przez producenta systemu zarządzania energią System zarządzania energią - certyfikat ISO50001 dla producenta sprzętu</w:t>
      </w:r>
    </w:p>
    <w:p w14:paraId="33D73CE0" w14:textId="5ACFA068" w:rsidR="00543E7C" w:rsidRPr="00B63E2B" w:rsidRDefault="00543E7C" w:rsidP="001005D0">
      <w:pPr>
        <w:pStyle w:val="Akapitzlist1"/>
        <w:numPr>
          <w:ilvl w:val="2"/>
          <w:numId w:val="2"/>
        </w:numPr>
        <w:spacing w:after="0" w:line="240" w:lineRule="auto"/>
        <w:jc w:val="both"/>
        <w:rPr>
          <w:rFonts w:asciiTheme="minorHAnsi" w:hAnsiTheme="minorHAnsi"/>
          <w:color w:val="000000" w:themeColor="text1"/>
          <w:sz w:val="20"/>
          <w:szCs w:val="20"/>
        </w:rPr>
      </w:pPr>
      <w:r w:rsidRPr="00B63E2B">
        <w:rPr>
          <w:rFonts w:asciiTheme="minorHAnsi" w:hAnsiTheme="minorHAnsi" w:cstheme="minorHAnsi"/>
          <w:bCs/>
          <w:color w:val="000000" w:themeColor="text1"/>
          <w:sz w:val="20"/>
        </w:rPr>
        <w:t xml:space="preserve">Potwierdzenie spełnienia kryteriów środowiskowych, w tym zgodności z dyrektywą </w:t>
      </w:r>
      <w:proofErr w:type="spellStart"/>
      <w:r w:rsidRPr="00B63E2B">
        <w:rPr>
          <w:rFonts w:asciiTheme="minorHAnsi" w:hAnsiTheme="minorHAnsi" w:cstheme="minorHAnsi"/>
          <w:bCs/>
          <w:color w:val="000000" w:themeColor="text1"/>
          <w:sz w:val="20"/>
        </w:rPr>
        <w:t>RoHS</w:t>
      </w:r>
      <w:proofErr w:type="spellEnd"/>
      <w:r w:rsidRPr="00B63E2B">
        <w:rPr>
          <w:rFonts w:asciiTheme="minorHAnsi" w:hAnsiTheme="minorHAnsi" w:cstheme="minorHAnsi"/>
          <w:bCs/>
          <w:color w:val="000000" w:themeColor="text1"/>
          <w:sz w:val="20"/>
        </w:rPr>
        <w:t xml:space="preserve"> Unii Europejskiej o eliminacji substancji niebezpiecznych w postaci oświadczenia producenta jednostki</w:t>
      </w:r>
    </w:p>
    <w:p w14:paraId="2FDD299B" w14:textId="77777777" w:rsidR="001005D0" w:rsidRPr="001005D0" w:rsidRDefault="001005D0" w:rsidP="001005D0">
      <w:pPr>
        <w:pStyle w:val="Akapitzlist1"/>
        <w:spacing w:after="0" w:line="240" w:lineRule="auto"/>
        <w:ind w:left="2340"/>
        <w:jc w:val="both"/>
        <w:rPr>
          <w:rFonts w:asciiTheme="minorHAnsi" w:hAnsiTheme="minorHAnsi"/>
          <w:sz w:val="20"/>
          <w:szCs w:val="20"/>
        </w:rPr>
      </w:pPr>
    </w:p>
    <w:p w14:paraId="2448A329" w14:textId="77777777" w:rsidR="00797B35" w:rsidRPr="00681BDA" w:rsidRDefault="00797B35" w:rsidP="00C73460">
      <w:pPr>
        <w:pStyle w:val="Akapitzlist"/>
        <w:numPr>
          <w:ilvl w:val="0"/>
          <w:numId w:val="2"/>
        </w:numPr>
        <w:pBdr>
          <w:top w:val="nil"/>
          <w:left w:val="nil"/>
          <w:bottom w:val="nil"/>
          <w:right w:val="nil"/>
          <w:between w:val="nil"/>
        </w:pBdr>
        <w:jc w:val="both"/>
        <w:rPr>
          <w:rFonts w:asciiTheme="minorHAnsi" w:eastAsia="Calibri" w:hAnsiTheme="minorHAnsi"/>
          <w:b/>
          <w:color w:val="000000"/>
          <w:u w:val="single"/>
        </w:rPr>
      </w:pPr>
      <w:r w:rsidRPr="00681BDA">
        <w:rPr>
          <w:rFonts w:asciiTheme="minorHAnsi" w:eastAsia="Calibri" w:hAnsiTheme="minorHAnsi"/>
          <w:b/>
          <w:color w:val="000000"/>
          <w:u w:val="single"/>
        </w:rPr>
        <w:t>Informacje dodatkowe</w:t>
      </w:r>
    </w:p>
    <w:p w14:paraId="239A292E" w14:textId="3D5C34B2" w:rsidR="00797B35" w:rsidRPr="00797B35" w:rsidRDefault="00797B35" w:rsidP="00C73460">
      <w:pPr>
        <w:pStyle w:val="Akapitzlist"/>
        <w:numPr>
          <w:ilvl w:val="1"/>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sidRPr="00797B35">
        <w:rPr>
          <w:rFonts w:asciiTheme="minorHAnsi" w:eastAsia="Calibri" w:hAnsiTheme="minorHAnsi" w:cstheme="minorHAnsi"/>
          <w:color w:val="000000"/>
          <w:sz w:val="20"/>
          <w:szCs w:val="20"/>
        </w:rPr>
        <w:t>Wszystkie ewentualne nazwy własne i marki handlowe urządzeń i elementów zawarte w opisie przedmiotu zamówienia, zostały użyte w celu sprecyzowania oczekiwań jakościowych i</w:t>
      </w:r>
      <w:r w:rsidR="00C73460">
        <w:rPr>
          <w:rFonts w:asciiTheme="minorHAnsi" w:eastAsia="Calibri" w:hAnsiTheme="minorHAnsi" w:cstheme="minorHAnsi"/>
          <w:color w:val="000000"/>
          <w:sz w:val="20"/>
          <w:szCs w:val="20"/>
        </w:rPr>
        <w:t> </w:t>
      </w:r>
      <w:r w:rsidRPr="00797B35">
        <w:rPr>
          <w:rFonts w:asciiTheme="minorHAnsi" w:eastAsia="Calibri" w:hAnsiTheme="minorHAnsi" w:cstheme="minorHAnsi"/>
          <w:color w:val="000000"/>
          <w:sz w:val="20"/>
          <w:szCs w:val="20"/>
        </w:rPr>
        <w:t>technologicznych Zamawiającego. </w:t>
      </w:r>
    </w:p>
    <w:p w14:paraId="0FCF22E9" w14:textId="77777777" w:rsidR="00797B35" w:rsidRPr="00797B35" w:rsidRDefault="00797B35" w:rsidP="00C73460">
      <w:pPr>
        <w:pStyle w:val="Akapitzlist"/>
        <w:numPr>
          <w:ilvl w:val="1"/>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sidRPr="00797B35">
        <w:rPr>
          <w:rFonts w:asciiTheme="minorHAnsi" w:eastAsia="Calibri" w:hAnsiTheme="minorHAnsi" w:cstheme="minorHAnsi"/>
          <w:color w:val="000000"/>
          <w:sz w:val="20"/>
          <w:szCs w:val="20"/>
        </w:rPr>
        <w:t>Zamieszczone w specyfikacji nazwy technologicznych lub producentów kluczowych komponentów użyto jedynie w celu przykładowym. </w:t>
      </w:r>
    </w:p>
    <w:p w14:paraId="564260B3" w14:textId="61D54C49" w:rsidR="00797B35" w:rsidRPr="00797B35" w:rsidRDefault="00797B35" w:rsidP="00C73460">
      <w:pPr>
        <w:pStyle w:val="Akapitzlist"/>
        <w:numPr>
          <w:ilvl w:val="1"/>
          <w:numId w:val="2"/>
        </w:numPr>
        <w:pBdr>
          <w:top w:val="nil"/>
          <w:left w:val="nil"/>
          <w:bottom w:val="nil"/>
          <w:right w:val="nil"/>
          <w:between w:val="nil"/>
        </w:pBdr>
        <w:jc w:val="both"/>
        <w:rPr>
          <w:rFonts w:asciiTheme="minorHAnsi" w:eastAsia="Calibri" w:hAnsiTheme="minorHAnsi" w:cstheme="minorHAnsi"/>
          <w:b/>
          <w:color w:val="000000"/>
          <w:sz w:val="20"/>
          <w:szCs w:val="20"/>
          <w:u w:val="single"/>
        </w:rPr>
      </w:pPr>
      <w:r w:rsidRPr="00797B35">
        <w:rPr>
          <w:rFonts w:asciiTheme="minorHAnsi" w:eastAsia="Calibri" w:hAnsiTheme="minorHAnsi" w:cstheme="minorHAnsi"/>
          <w:color w:val="000000"/>
          <w:sz w:val="20"/>
          <w:szCs w:val="20"/>
        </w:rPr>
        <w:t>Zamawiający informuje, że dopuszcza składanie ofert, w których poszczególne urządzenia bądź materiały wymienione w opisie przedmiotu zamówienia mogą być zastąpione urządzeniami bądź materiałami/elementami równoważnymi. Poprzez pojęcie materiałów/elementów i</w:t>
      </w:r>
      <w:r w:rsidR="00C73460">
        <w:rPr>
          <w:rFonts w:asciiTheme="minorHAnsi" w:eastAsia="Calibri" w:hAnsiTheme="minorHAnsi" w:cstheme="minorHAnsi"/>
          <w:color w:val="000000"/>
          <w:sz w:val="20"/>
          <w:szCs w:val="20"/>
        </w:rPr>
        <w:t> </w:t>
      </w:r>
      <w:r w:rsidRPr="00797B35">
        <w:rPr>
          <w:rFonts w:asciiTheme="minorHAnsi" w:eastAsia="Calibri" w:hAnsiTheme="minorHAnsi" w:cstheme="minorHAnsi"/>
          <w:color w:val="000000"/>
          <w:sz w:val="20"/>
          <w:szCs w:val="20"/>
        </w:rPr>
        <w:t>urządzeń równoważnych należy rozumieć materiały zapewniające uzyskanie parametrów technicznych nie gorszych od założonych w opisie przedmiotu zamówienia. Zastosowanie rozwiązań równoważnych nie może prowadzić do pogorszenia właściwości przedmiotu zamówienia w stosunku do przewidzianych w niniejszym zaproszeniu, ani do zmiany ceny.</w:t>
      </w:r>
    </w:p>
    <w:p w14:paraId="0B7679FC" w14:textId="77777777" w:rsidR="00797B35" w:rsidRPr="00797B35" w:rsidRDefault="00797B35" w:rsidP="00797B35">
      <w:pPr>
        <w:pStyle w:val="Akapitzlist"/>
        <w:pBdr>
          <w:top w:val="nil"/>
          <w:left w:val="nil"/>
          <w:bottom w:val="nil"/>
          <w:right w:val="nil"/>
          <w:between w:val="nil"/>
        </w:pBdr>
        <w:rPr>
          <w:rFonts w:asciiTheme="minorHAnsi" w:eastAsia="Calibri" w:hAnsiTheme="minorHAnsi" w:cstheme="minorHAnsi"/>
          <w:b/>
          <w:color w:val="000000"/>
          <w:u w:val="single"/>
        </w:rPr>
      </w:pPr>
    </w:p>
    <w:p w14:paraId="050455CD" w14:textId="77777777" w:rsidR="007E10D7" w:rsidRDefault="007E10D7" w:rsidP="00797B35">
      <w:pPr>
        <w:pBdr>
          <w:top w:val="nil"/>
          <w:left w:val="nil"/>
          <w:bottom w:val="nil"/>
          <w:right w:val="nil"/>
          <w:between w:val="nil"/>
        </w:pBdr>
        <w:rPr>
          <w:rFonts w:asciiTheme="minorHAnsi" w:eastAsia="Calibri" w:hAnsiTheme="minorHAnsi" w:cstheme="minorHAnsi"/>
          <w:b/>
          <w:color w:val="000000"/>
          <w:u w:val="single"/>
        </w:rPr>
        <w:sectPr w:rsidR="007E10D7">
          <w:headerReference w:type="default" r:id="rId10"/>
          <w:footerReference w:type="default" r:id="rId11"/>
          <w:pgSz w:w="11906" w:h="16838"/>
          <w:pgMar w:top="1417" w:right="1417" w:bottom="1417" w:left="1417" w:header="708" w:footer="708" w:gutter="0"/>
          <w:pgNumType w:start="1"/>
          <w:cols w:space="708"/>
        </w:sectPr>
      </w:pPr>
    </w:p>
    <w:p w14:paraId="125C4FE0" w14:textId="77777777" w:rsidR="00797B35" w:rsidRDefault="00797B35" w:rsidP="00797B35">
      <w:pPr>
        <w:pBdr>
          <w:top w:val="nil"/>
          <w:left w:val="nil"/>
          <w:bottom w:val="nil"/>
          <w:right w:val="nil"/>
          <w:between w:val="nil"/>
        </w:pBdr>
        <w:rPr>
          <w:rFonts w:asciiTheme="minorHAnsi" w:eastAsia="Calibri" w:hAnsiTheme="minorHAnsi" w:cstheme="minorHAnsi"/>
          <w:b/>
          <w:color w:val="000000"/>
          <w:u w:val="single"/>
        </w:rPr>
      </w:pPr>
    </w:p>
    <w:p w14:paraId="7A70F2E7" w14:textId="77777777" w:rsidR="001E4721" w:rsidRPr="00B8234C" w:rsidRDefault="001E4721" w:rsidP="001E4721">
      <w:pPr>
        <w:rPr>
          <w:rFonts w:asciiTheme="minorHAnsi" w:hAnsiTheme="minorHAnsi" w:cstheme="minorHAnsi"/>
        </w:rPr>
      </w:pPr>
      <w:r w:rsidRPr="00B8234C">
        <w:rPr>
          <w:rFonts w:asciiTheme="minorHAnsi" w:hAnsiTheme="minorHAnsi" w:cstheme="minorHAnsi"/>
          <w:b/>
          <w:bCs/>
          <w:color w:val="000000"/>
          <w:u w:val="single"/>
        </w:rPr>
        <w:t>Wyszczególnienie dostawy do oferty</w:t>
      </w:r>
    </w:p>
    <w:p w14:paraId="5A238067" w14:textId="77777777" w:rsidR="001E4721" w:rsidRPr="00B8234C" w:rsidRDefault="001E4721" w:rsidP="001E4721">
      <w:pPr>
        <w:rPr>
          <w:rFonts w:asciiTheme="minorHAnsi" w:hAnsiTheme="minorHAnsi"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2250"/>
        <w:gridCol w:w="1121"/>
        <w:gridCol w:w="3338"/>
        <w:gridCol w:w="1347"/>
        <w:gridCol w:w="1116"/>
        <w:gridCol w:w="972"/>
        <w:gridCol w:w="1383"/>
        <w:gridCol w:w="1204"/>
        <w:gridCol w:w="1263"/>
      </w:tblGrid>
      <w:tr w:rsidR="004C43A6" w:rsidRPr="00B8234C" w14:paraId="6A6E72AE" w14:textId="77777777" w:rsidTr="004C43A6">
        <w:trPr>
          <w:trHeight w:val="1228"/>
        </w:trPr>
        <w:tc>
          <w:tcPr>
            <w:tcW w:w="2284" w:type="dxa"/>
            <w:tcBorders>
              <w:top w:val="single" w:sz="4" w:space="0" w:color="000000"/>
              <w:left w:val="single" w:sz="4" w:space="0" w:color="000000"/>
              <w:bottom w:val="single" w:sz="4" w:space="0" w:color="000000"/>
              <w:right w:val="single" w:sz="4" w:space="0" w:color="000000"/>
            </w:tcBorders>
            <w:vAlign w:val="center"/>
            <w:hideMark/>
          </w:tcPr>
          <w:p w14:paraId="1F01CC42" w14:textId="77777777" w:rsidR="00B7382A" w:rsidRPr="00845C8C" w:rsidRDefault="00B7382A" w:rsidP="00CC579D">
            <w:pPr>
              <w:jc w:val="center"/>
              <w:rPr>
                <w:rFonts w:asciiTheme="minorHAnsi" w:hAnsiTheme="minorHAnsi" w:cstheme="minorHAnsi"/>
                <w:smallCaps/>
              </w:rPr>
            </w:pPr>
            <w:r w:rsidRPr="00845C8C">
              <w:rPr>
                <w:rFonts w:asciiTheme="minorHAnsi" w:hAnsiTheme="minorHAnsi" w:cstheme="minorHAnsi"/>
                <w:smallCaps/>
                <w:color w:val="000000"/>
              </w:rPr>
              <w:t>Opis</w:t>
            </w:r>
          </w:p>
        </w:tc>
        <w:tc>
          <w:tcPr>
            <w:tcW w:w="1125" w:type="dxa"/>
            <w:tcBorders>
              <w:top w:val="single" w:sz="4" w:space="0" w:color="000000"/>
              <w:left w:val="single" w:sz="4" w:space="0" w:color="000000"/>
              <w:bottom w:val="single" w:sz="4" w:space="0" w:color="000000"/>
              <w:right w:val="single" w:sz="4" w:space="0" w:color="000000"/>
            </w:tcBorders>
            <w:vAlign w:val="center"/>
            <w:hideMark/>
          </w:tcPr>
          <w:p w14:paraId="2305B57A" w14:textId="77777777" w:rsidR="00B7382A" w:rsidRPr="00845C8C" w:rsidRDefault="00B7382A" w:rsidP="00CC579D">
            <w:pPr>
              <w:ind w:right="103"/>
              <w:jc w:val="center"/>
              <w:rPr>
                <w:rFonts w:asciiTheme="minorHAnsi" w:hAnsiTheme="minorHAnsi" w:cstheme="minorHAnsi"/>
                <w:smallCaps/>
              </w:rPr>
            </w:pPr>
            <w:r w:rsidRPr="00845C8C">
              <w:rPr>
                <w:rFonts w:asciiTheme="minorHAnsi" w:hAnsiTheme="minorHAnsi" w:cstheme="minorHAnsi"/>
                <w:smallCaps/>
                <w:color w:val="000000"/>
              </w:rPr>
              <w:t>Nazwa producenta</w:t>
            </w:r>
          </w:p>
        </w:tc>
        <w:tc>
          <w:tcPr>
            <w:tcW w:w="3388" w:type="dxa"/>
            <w:tcBorders>
              <w:top w:val="single" w:sz="4" w:space="0" w:color="000000"/>
              <w:left w:val="single" w:sz="4" w:space="0" w:color="000000"/>
              <w:bottom w:val="single" w:sz="4" w:space="0" w:color="000000"/>
              <w:right w:val="single" w:sz="4" w:space="0" w:color="000000"/>
            </w:tcBorders>
            <w:vAlign w:val="center"/>
            <w:hideMark/>
          </w:tcPr>
          <w:p w14:paraId="2D0FD752" w14:textId="77777777" w:rsidR="00B7382A" w:rsidRPr="00845C8C" w:rsidRDefault="00B7382A" w:rsidP="00CC579D">
            <w:pPr>
              <w:ind w:left="375" w:right="375" w:firstLine="2"/>
              <w:jc w:val="center"/>
              <w:rPr>
                <w:rFonts w:asciiTheme="minorHAnsi" w:hAnsiTheme="minorHAnsi" w:cstheme="minorHAnsi"/>
                <w:smallCaps/>
              </w:rPr>
            </w:pPr>
            <w:r w:rsidRPr="00845C8C">
              <w:rPr>
                <w:rFonts w:asciiTheme="minorHAnsi" w:hAnsiTheme="minorHAnsi" w:cstheme="minorHAnsi"/>
                <w:smallCaps/>
                <w:color w:val="000000"/>
              </w:rPr>
              <w:t>Nazwa i typ urządzenia wraz z wszelkimi podzespołami, modułami i oprogramowaniem z wyszczególnieniem liczby elementów, liczbą pamięci ram</w:t>
            </w:r>
          </w:p>
        </w:tc>
        <w:tc>
          <w:tcPr>
            <w:tcW w:w="1363" w:type="dxa"/>
            <w:tcBorders>
              <w:top w:val="single" w:sz="4" w:space="0" w:color="000000"/>
              <w:left w:val="single" w:sz="4" w:space="0" w:color="000000"/>
              <w:bottom w:val="single" w:sz="4" w:space="0" w:color="000000"/>
              <w:right w:val="single" w:sz="4" w:space="0" w:color="000000"/>
            </w:tcBorders>
            <w:vAlign w:val="center"/>
          </w:tcPr>
          <w:p w14:paraId="53C44200" w14:textId="77777777" w:rsidR="00B7382A" w:rsidRDefault="00B7382A" w:rsidP="00CC579D">
            <w:pPr>
              <w:ind w:right="146"/>
              <w:jc w:val="center"/>
              <w:rPr>
                <w:rFonts w:asciiTheme="minorHAnsi" w:hAnsiTheme="minorHAnsi" w:cstheme="minorHAnsi"/>
                <w:smallCaps/>
                <w:color w:val="000000"/>
              </w:rPr>
            </w:pPr>
            <w:r w:rsidRPr="00845C8C">
              <w:rPr>
                <w:rFonts w:asciiTheme="minorHAnsi" w:hAnsiTheme="minorHAnsi" w:cstheme="minorHAnsi"/>
                <w:smallCaps/>
                <w:color w:val="000000"/>
              </w:rPr>
              <w:t>Wydajność</w:t>
            </w:r>
          </w:p>
          <w:p w14:paraId="2B24D258" w14:textId="77777777" w:rsidR="00B7382A" w:rsidRDefault="00B7382A" w:rsidP="00CC579D">
            <w:pPr>
              <w:ind w:right="146"/>
              <w:jc w:val="center"/>
              <w:rPr>
                <w:rFonts w:asciiTheme="minorHAnsi" w:hAnsiTheme="minorHAnsi" w:cstheme="minorHAnsi"/>
                <w:smallCaps/>
                <w:color w:val="000000"/>
              </w:rPr>
            </w:pPr>
            <w:r>
              <w:rPr>
                <w:rFonts w:asciiTheme="minorHAnsi" w:hAnsiTheme="minorHAnsi" w:cstheme="minorHAnsi"/>
                <w:smallCaps/>
                <w:color w:val="000000"/>
              </w:rPr>
              <w:t>procesora</w:t>
            </w:r>
          </w:p>
          <w:p w14:paraId="3EA6335D" w14:textId="77777777" w:rsidR="00B7382A" w:rsidRPr="00845C8C" w:rsidRDefault="00B7382A" w:rsidP="00CC579D">
            <w:pPr>
              <w:ind w:right="146"/>
              <w:jc w:val="center"/>
              <w:rPr>
                <w:rFonts w:asciiTheme="minorHAnsi" w:hAnsiTheme="minorHAnsi" w:cstheme="minorHAnsi"/>
                <w:smallCaps/>
                <w:color w:val="000000"/>
              </w:rPr>
            </w:pPr>
            <w:r>
              <w:rPr>
                <w:rFonts w:asciiTheme="minorHAnsi" w:hAnsiTheme="minorHAnsi" w:cstheme="minorHAnsi"/>
                <w:smallCaps/>
                <w:color w:val="000000"/>
              </w:rPr>
              <w:t>[pkt]</w:t>
            </w:r>
          </w:p>
        </w:tc>
        <w:tc>
          <w:tcPr>
            <w:tcW w:w="1136" w:type="dxa"/>
            <w:tcBorders>
              <w:top w:val="single" w:sz="4" w:space="0" w:color="000000"/>
              <w:left w:val="single" w:sz="4" w:space="0" w:color="000000"/>
              <w:bottom w:val="single" w:sz="4" w:space="0" w:color="000000"/>
              <w:right w:val="single" w:sz="4" w:space="0" w:color="000000"/>
            </w:tcBorders>
            <w:vAlign w:val="center"/>
          </w:tcPr>
          <w:p w14:paraId="090D55DF" w14:textId="33FAF84C" w:rsidR="00B7382A" w:rsidRDefault="00B7382A" w:rsidP="00CC579D">
            <w:pPr>
              <w:ind w:right="146"/>
              <w:jc w:val="center"/>
              <w:rPr>
                <w:rFonts w:asciiTheme="minorHAnsi" w:hAnsiTheme="minorHAnsi" w:cstheme="minorHAnsi"/>
                <w:smallCaps/>
                <w:color w:val="000000"/>
              </w:rPr>
            </w:pPr>
            <w:r>
              <w:rPr>
                <w:rFonts w:asciiTheme="minorHAnsi" w:hAnsiTheme="minorHAnsi" w:cstheme="minorHAnsi"/>
                <w:smallCaps/>
                <w:color w:val="000000"/>
              </w:rPr>
              <w:t>Liczba pamięci RAM</w:t>
            </w:r>
          </w:p>
          <w:p w14:paraId="5FA412BE" w14:textId="59614128" w:rsidR="00B7382A" w:rsidRPr="00845C8C" w:rsidRDefault="00B7382A" w:rsidP="00CC579D">
            <w:pPr>
              <w:ind w:right="146"/>
              <w:jc w:val="center"/>
              <w:rPr>
                <w:rFonts w:asciiTheme="minorHAnsi" w:hAnsiTheme="minorHAnsi" w:cstheme="minorHAnsi"/>
                <w:smallCaps/>
                <w:color w:val="000000"/>
              </w:rPr>
            </w:pPr>
            <w:r>
              <w:rPr>
                <w:rFonts w:asciiTheme="minorHAnsi" w:hAnsiTheme="minorHAnsi" w:cstheme="minorHAnsi"/>
                <w:smallCaps/>
                <w:color w:val="000000"/>
              </w:rPr>
              <w:t>[GB]</w:t>
            </w:r>
          </w:p>
        </w:tc>
        <w:tc>
          <w:tcPr>
            <w:tcW w:w="972" w:type="dxa"/>
            <w:tcBorders>
              <w:top w:val="single" w:sz="4" w:space="0" w:color="000000"/>
              <w:left w:val="single" w:sz="4" w:space="0" w:color="000000"/>
              <w:bottom w:val="single" w:sz="4" w:space="0" w:color="000000"/>
              <w:right w:val="single" w:sz="4" w:space="0" w:color="000000"/>
            </w:tcBorders>
            <w:vAlign w:val="center"/>
            <w:hideMark/>
          </w:tcPr>
          <w:p w14:paraId="346FEED9" w14:textId="77777777" w:rsidR="00B7382A" w:rsidRPr="00845C8C" w:rsidRDefault="00B7382A" w:rsidP="00CC579D">
            <w:pPr>
              <w:ind w:right="146"/>
              <w:jc w:val="center"/>
              <w:rPr>
                <w:rFonts w:asciiTheme="minorHAnsi" w:hAnsiTheme="minorHAnsi" w:cstheme="minorHAnsi"/>
                <w:smallCaps/>
              </w:rPr>
            </w:pPr>
            <w:r w:rsidRPr="00845C8C">
              <w:rPr>
                <w:rFonts w:asciiTheme="minorHAnsi" w:hAnsiTheme="minorHAnsi" w:cstheme="minorHAnsi"/>
                <w:smallCaps/>
                <w:color w:val="000000"/>
              </w:rPr>
              <w:t>Liczba lat gwarancji</w:t>
            </w:r>
          </w:p>
        </w:tc>
        <w:tc>
          <w:tcPr>
            <w:tcW w:w="1383" w:type="dxa"/>
            <w:tcBorders>
              <w:top w:val="single" w:sz="4" w:space="0" w:color="000000"/>
              <w:left w:val="single" w:sz="4" w:space="0" w:color="000000"/>
              <w:bottom w:val="single" w:sz="4" w:space="0" w:color="000000"/>
              <w:right w:val="single" w:sz="4" w:space="0" w:color="000000"/>
            </w:tcBorders>
            <w:vAlign w:val="center"/>
            <w:hideMark/>
          </w:tcPr>
          <w:p w14:paraId="452ABCEB" w14:textId="26987DF8" w:rsidR="00B7382A" w:rsidRPr="00845C8C" w:rsidRDefault="00B7382A" w:rsidP="00CC579D">
            <w:pPr>
              <w:ind w:right="146"/>
              <w:jc w:val="center"/>
              <w:rPr>
                <w:rFonts w:asciiTheme="minorHAnsi" w:hAnsiTheme="minorHAnsi" w:cstheme="minorHAnsi"/>
                <w:smallCaps/>
              </w:rPr>
            </w:pPr>
            <w:r w:rsidRPr="00845C8C">
              <w:rPr>
                <w:rFonts w:asciiTheme="minorHAnsi" w:hAnsiTheme="minorHAnsi" w:cstheme="minorHAnsi"/>
                <w:smallCaps/>
                <w:color w:val="000000"/>
              </w:rPr>
              <w:t>Liczba sztuk</w:t>
            </w:r>
            <w:r>
              <w:rPr>
                <w:rFonts w:asciiTheme="minorHAnsi" w:hAnsiTheme="minorHAnsi" w:cstheme="minorHAnsi"/>
                <w:smallCaps/>
                <w:color w:val="000000"/>
              </w:rPr>
              <w:t xml:space="preserve"> dla wolumenu podstawowego</w:t>
            </w:r>
          </w:p>
        </w:tc>
        <w:tc>
          <w:tcPr>
            <w:tcW w:w="1078" w:type="dxa"/>
            <w:tcBorders>
              <w:top w:val="single" w:sz="4" w:space="0" w:color="000000"/>
              <w:left w:val="single" w:sz="4" w:space="0" w:color="000000"/>
              <w:bottom w:val="single" w:sz="4" w:space="0" w:color="000000"/>
              <w:right w:val="single" w:sz="4" w:space="0" w:color="000000"/>
            </w:tcBorders>
            <w:vAlign w:val="center"/>
          </w:tcPr>
          <w:p w14:paraId="34286464" w14:textId="62DC9A67" w:rsidR="00B7382A" w:rsidRPr="00845C8C" w:rsidRDefault="004C43A6" w:rsidP="00CC579D">
            <w:pPr>
              <w:ind w:right="183"/>
              <w:jc w:val="center"/>
              <w:rPr>
                <w:rFonts w:asciiTheme="minorHAnsi" w:hAnsiTheme="minorHAnsi" w:cstheme="minorHAnsi"/>
                <w:smallCaps/>
                <w:color w:val="000000"/>
              </w:rPr>
            </w:pPr>
            <w:r>
              <w:rPr>
                <w:rFonts w:asciiTheme="minorHAnsi" w:hAnsiTheme="minorHAnsi" w:cstheme="minorHAnsi"/>
                <w:smallCaps/>
                <w:color w:val="000000"/>
              </w:rPr>
              <w:t>Maksymalna Liczba sztuk dla prawa opcji</w:t>
            </w:r>
          </w:p>
        </w:tc>
        <w:tc>
          <w:tcPr>
            <w:tcW w:w="1265" w:type="dxa"/>
            <w:tcBorders>
              <w:top w:val="single" w:sz="4" w:space="0" w:color="000000"/>
              <w:left w:val="single" w:sz="4" w:space="0" w:color="000000"/>
              <w:bottom w:val="single" w:sz="4" w:space="0" w:color="000000"/>
              <w:right w:val="single" w:sz="4" w:space="0" w:color="000000"/>
            </w:tcBorders>
            <w:vAlign w:val="center"/>
            <w:hideMark/>
          </w:tcPr>
          <w:p w14:paraId="139E6528" w14:textId="7B5FFB8A" w:rsidR="00B7382A" w:rsidRDefault="00B7382A" w:rsidP="00CC579D">
            <w:pPr>
              <w:ind w:right="183"/>
              <w:jc w:val="center"/>
              <w:rPr>
                <w:rFonts w:asciiTheme="minorHAnsi" w:hAnsiTheme="minorHAnsi" w:cstheme="minorHAnsi"/>
                <w:smallCaps/>
                <w:color w:val="000000"/>
              </w:rPr>
            </w:pPr>
            <w:r w:rsidRPr="00845C8C">
              <w:rPr>
                <w:rFonts w:asciiTheme="minorHAnsi" w:hAnsiTheme="minorHAnsi" w:cstheme="minorHAnsi"/>
                <w:smallCaps/>
                <w:color w:val="000000"/>
              </w:rPr>
              <w:t xml:space="preserve">cena </w:t>
            </w:r>
            <w:r w:rsidR="004C43A6">
              <w:rPr>
                <w:rFonts w:asciiTheme="minorHAnsi" w:hAnsiTheme="minorHAnsi" w:cstheme="minorHAnsi"/>
                <w:smallCaps/>
                <w:color w:val="000000"/>
              </w:rPr>
              <w:t xml:space="preserve">jednostkowa </w:t>
            </w:r>
            <w:r w:rsidRPr="00845C8C">
              <w:rPr>
                <w:rFonts w:asciiTheme="minorHAnsi" w:hAnsiTheme="minorHAnsi" w:cstheme="minorHAnsi"/>
                <w:smallCaps/>
                <w:color w:val="000000"/>
              </w:rPr>
              <w:t>brutto</w:t>
            </w:r>
          </w:p>
          <w:p w14:paraId="3E9B6495" w14:textId="77777777" w:rsidR="00B7382A" w:rsidRPr="00845C8C" w:rsidRDefault="00B7382A" w:rsidP="00CC579D">
            <w:pPr>
              <w:ind w:right="183"/>
              <w:jc w:val="center"/>
              <w:rPr>
                <w:rFonts w:asciiTheme="minorHAnsi" w:hAnsiTheme="minorHAnsi" w:cstheme="minorHAnsi"/>
                <w:smallCaps/>
              </w:rPr>
            </w:pPr>
            <w:r>
              <w:rPr>
                <w:rFonts w:asciiTheme="minorHAnsi" w:hAnsiTheme="minorHAnsi" w:cstheme="minorHAnsi"/>
                <w:smallCaps/>
                <w:color w:val="000000"/>
              </w:rPr>
              <w:t>[PLN]</w:t>
            </w:r>
          </w:p>
        </w:tc>
      </w:tr>
      <w:tr w:rsidR="004C43A6" w:rsidRPr="00B8234C" w14:paraId="77C019C8" w14:textId="77777777" w:rsidTr="00A06BA1">
        <w:trPr>
          <w:trHeight w:val="1119"/>
        </w:trPr>
        <w:tc>
          <w:tcPr>
            <w:tcW w:w="2284" w:type="dxa"/>
            <w:tcBorders>
              <w:top w:val="single" w:sz="4" w:space="0" w:color="000000"/>
              <w:left w:val="single" w:sz="4" w:space="0" w:color="000000"/>
              <w:bottom w:val="single" w:sz="4" w:space="0" w:color="000000"/>
              <w:right w:val="single" w:sz="4" w:space="0" w:color="000000"/>
            </w:tcBorders>
            <w:vAlign w:val="center"/>
            <w:hideMark/>
          </w:tcPr>
          <w:p w14:paraId="2A327326" w14:textId="77777777" w:rsidR="00B7382A" w:rsidRPr="009B76DD" w:rsidRDefault="00B7382A" w:rsidP="00CC579D">
            <w:pPr>
              <w:ind w:left="102" w:right="475"/>
              <w:rPr>
                <w:rFonts w:asciiTheme="minorHAnsi" w:hAnsiTheme="minorHAnsi" w:cstheme="minorHAnsi"/>
                <w:b/>
                <w:bCs/>
              </w:rPr>
            </w:pPr>
            <w:r>
              <w:rPr>
                <w:rFonts w:asciiTheme="minorHAnsi" w:hAnsiTheme="minorHAnsi" w:cstheme="minorHAnsi"/>
                <w:b/>
                <w:bCs/>
                <w:color w:val="000000"/>
              </w:rPr>
              <w:t>Komputer stacjonarny (pkt 1)</w:t>
            </w:r>
          </w:p>
        </w:tc>
        <w:tc>
          <w:tcPr>
            <w:tcW w:w="1125" w:type="dxa"/>
            <w:tcBorders>
              <w:top w:val="single" w:sz="4" w:space="0" w:color="000000"/>
              <w:left w:val="single" w:sz="4" w:space="0" w:color="000000"/>
              <w:bottom w:val="single" w:sz="4" w:space="0" w:color="000000"/>
              <w:right w:val="single" w:sz="4" w:space="0" w:color="000000"/>
            </w:tcBorders>
            <w:vAlign w:val="center"/>
            <w:hideMark/>
          </w:tcPr>
          <w:p w14:paraId="6C784EE5" w14:textId="77777777" w:rsidR="00B7382A" w:rsidRPr="00B8234C" w:rsidRDefault="00B7382A" w:rsidP="00CC579D">
            <w:pPr>
              <w:rPr>
                <w:rFonts w:asciiTheme="minorHAnsi" w:hAnsiTheme="minorHAnsi" w:cstheme="minorHAnsi"/>
              </w:rPr>
            </w:pPr>
          </w:p>
        </w:tc>
        <w:tc>
          <w:tcPr>
            <w:tcW w:w="3388" w:type="dxa"/>
            <w:tcBorders>
              <w:top w:val="single" w:sz="4" w:space="0" w:color="000000"/>
              <w:left w:val="single" w:sz="4" w:space="0" w:color="000000"/>
              <w:bottom w:val="single" w:sz="4" w:space="0" w:color="000000"/>
              <w:right w:val="single" w:sz="4" w:space="0" w:color="000000"/>
            </w:tcBorders>
            <w:vAlign w:val="center"/>
            <w:hideMark/>
          </w:tcPr>
          <w:p w14:paraId="5E779C14" w14:textId="77777777" w:rsidR="00B7382A" w:rsidRPr="00B8234C" w:rsidRDefault="00B7382A" w:rsidP="00CC579D">
            <w:pPr>
              <w:rPr>
                <w:rFonts w:asciiTheme="minorHAnsi" w:hAnsiTheme="minorHAnsi" w:cstheme="minorHAnsi"/>
              </w:rPr>
            </w:pPr>
          </w:p>
        </w:tc>
        <w:tc>
          <w:tcPr>
            <w:tcW w:w="1363" w:type="dxa"/>
            <w:tcBorders>
              <w:top w:val="single" w:sz="4" w:space="0" w:color="000000"/>
              <w:left w:val="single" w:sz="4" w:space="0" w:color="000000"/>
              <w:bottom w:val="single" w:sz="4" w:space="0" w:color="000000"/>
              <w:right w:val="single" w:sz="4" w:space="0" w:color="000000"/>
            </w:tcBorders>
            <w:vAlign w:val="center"/>
          </w:tcPr>
          <w:p w14:paraId="2DAB92E5" w14:textId="77777777" w:rsidR="00B7382A" w:rsidRPr="00B8234C" w:rsidRDefault="00B7382A" w:rsidP="000D361E">
            <w:pPr>
              <w:jc w:val="center"/>
              <w:rPr>
                <w:rFonts w:asciiTheme="minorHAnsi" w:hAnsiTheme="minorHAnsi" w:cstheme="minorHAnsi"/>
              </w:rPr>
            </w:pPr>
          </w:p>
        </w:tc>
        <w:tc>
          <w:tcPr>
            <w:tcW w:w="1136" w:type="dxa"/>
            <w:tcBorders>
              <w:top w:val="single" w:sz="4" w:space="0" w:color="000000"/>
              <w:left w:val="single" w:sz="4" w:space="0" w:color="000000"/>
              <w:bottom w:val="single" w:sz="4" w:space="0" w:color="000000"/>
              <w:right w:val="single" w:sz="4" w:space="0" w:color="000000"/>
            </w:tcBorders>
            <w:vAlign w:val="center"/>
          </w:tcPr>
          <w:p w14:paraId="2A2F16B0" w14:textId="77777777" w:rsidR="00B7382A" w:rsidRPr="00B8234C" w:rsidRDefault="00B7382A" w:rsidP="000D361E">
            <w:pPr>
              <w:jc w:val="center"/>
              <w:rPr>
                <w:rFonts w:asciiTheme="minorHAnsi" w:hAnsiTheme="minorHAnsi" w:cstheme="minorHAnsi"/>
              </w:rPr>
            </w:pPr>
          </w:p>
        </w:tc>
        <w:tc>
          <w:tcPr>
            <w:tcW w:w="972" w:type="dxa"/>
            <w:tcBorders>
              <w:top w:val="single" w:sz="4" w:space="0" w:color="000000"/>
              <w:left w:val="single" w:sz="4" w:space="0" w:color="000000"/>
              <w:bottom w:val="single" w:sz="4" w:space="0" w:color="000000"/>
              <w:right w:val="single" w:sz="4" w:space="0" w:color="000000"/>
            </w:tcBorders>
            <w:vAlign w:val="center"/>
            <w:hideMark/>
          </w:tcPr>
          <w:p w14:paraId="6B8619F4" w14:textId="77777777" w:rsidR="00B7382A" w:rsidRPr="00B8234C" w:rsidRDefault="00B7382A" w:rsidP="000D361E">
            <w:pPr>
              <w:jc w:val="center"/>
              <w:rPr>
                <w:rFonts w:asciiTheme="minorHAnsi" w:hAnsiTheme="minorHAnsi" w:cstheme="minorHAnsi"/>
              </w:rPr>
            </w:pPr>
          </w:p>
        </w:tc>
        <w:tc>
          <w:tcPr>
            <w:tcW w:w="1383" w:type="dxa"/>
            <w:tcBorders>
              <w:top w:val="single" w:sz="4" w:space="0" w:color="000000"/>
              <w:left w:val="single" w:sz="4" w:space="0" w:color="000000"/>
              <w:bottom w:val="single" w:sz="4" w:space="0" w:color="000000"/>
              <w:right w:val="single" w:sz="4" w:space="0" w:color="000000"/>
            </w:tcBorders>
            <w:vAlign w:val="center"/>
            <w:hideMark/>
          </w:tcPr>
          <w:p w14:paraId="129E9271" w14:textId="4074C1E9" w:rsidR="00B7382A" w:rsidRPr="009B76DD" w:rsidRDefault="00B7382A" w:rsidP="00CC579D">
            <w:pPr>
              <w:ind w:right="1"/>
              <w:jc w:val="center"/>
              <w:rPr>
                <w:rFonts w:asciiTheme="minorHAnsi" w:hAnsiTheme="minorHAnsi" w:cstheme="minorHAnsi"/>
                <w:b/>
                <w:bCs/>
              </w:rPr>
            </w:pPr>
            <w:r>
              <w:rPr>
                <w:rFonts w:asciiTheme="minorHAnsi" w:hAnsiTheme="minorHAnsi" w:cstheme="minorHAnsi"/>
                <w:b/>
                <w:bCs/>
              </w:rPr>
              <w:t>2</w:t>
            </w:r>
            <w:r w:rsidR="00A42494">
              <w:rPr>
                <w:rFonts w:asciiTheme="minorHAnsi" w:hAnsiTheme="minorHAnsi" w:cstheme="minorHAnsi"/>
                <w:b/>
                <w:bCs/>
              </w:rPr>
              <w:t>2</w:t>
            </w:r>
          </w:p>
        </w:tc>
        <w:tc>
          <w:tcPr>
            <w:tcW w:w="1078" w:type="dxa"/>
            <w:tcBorders>
              <w:top w:val="single" w:sz="4" w:space="0" w:color="000000"/>
              <w:left w:val="single" w:sz="4" w:space="0" w:color="000000"/>
              <w:bottom w:val="single" w:sz="4" w:space="0" w:color="000000"/>
              <w:right w:val="single" w:sz="4" w:space="0" w:color="000000"/>
            </w:tcBorders>
            <w:vAlign w:val="center"/>
          </w:tcPr>
          <w:p w14:paraId="352DA284" w14:textId="67675889" w:rsidR="00B7382A" w:rsidRPr="00A06BA1" w:rsidRDefault="00A06BA1" w:rsidP="00D67D26">
            <w:pPr>
              <w:jc w:val="center"/>
              <w:rPr>
                <w:rFonts w:asciiTheme="minorHAnsi" w:hAnsiTheme="minorHAnsi" w:cstheme="minorHAnsi"/>
                <w:b/>
                <w:bCs/>
              </w:rPr>
            </w:pPr>
            <w:r w:rsidRPr="00A06BA1">
              <w:rPr>
                <w:rFonts w:asciiTheme="minorHAnsi" w:hAnsiTheme="minorHAnsi" w:cstheme="minorHAnsi"/>
                <w:b/>
                <w:bCs/>
              </w:rPr>
              <w:t>13</w:t>
            </w:r>
          </w:p>
        </w:tc>
        <w:tc>
          <w:tcPr>
            <w:tcW w:w="1265" w:type="dxa"/>
            <w:tcBorders>
              <w:top w:val="single" w:sz="4" w:space="0" w:color="000000"/>
              <w:left w:val="single" w:sz="4" w:space="0" w:color="000000"/>
              <w:bottom w:val="single" w:sz="4" w:space="0" w:color="000000"/>
              <w:right w:val="single" w:sz="4" w:space="0" w:color="000000"/>
            </w:tcBorders>
            <w:vAlign w:val="center"/>
            <w:hideMark/>
          </w:tcPr>
          <w:p w14:paraId="6864A2A2" w14:textId="26917476" w:rsidR="00B7382A" w:rsidRPr="00B8234C" w:rsidRDefault="00B7382A" w:rsidP="00CC579D">
            <w:pPr>
              <w:spacing w:after="240"/>
              <w:rPr>
                <w:rFonts w:asciiTheme="minorHAnsi" w:hAnsiTheme="minorHAnsi" w:cstheme="minorHAnsi"/>
              </w:rPr>
            </w:pPr>
          </w:p>
        </w:tc>
      </w:tr>
      <w:tr w:rsidR="004C43A6" w:rsidRPr="00B8234C" w14:paraId="48F639B1" w14:textId="77777777" w:rsidTr="00A06BA1">
        <w:trPr>
          <w:trHeight w:val="1134"/>
        </w:trPr>
        <w:tc>
          <w:tcPr>
            <w:tcW w:w="2284" w:type="dxa"/>
            <w:tcBorders>
              <w:top w:val="single" w:sz="4" w:space="0" w:color="000000"/>
              <w:left w:val="single" w:sz="4" w:space="0" w:color="000000"/>
              <w:bottom w:val="single" w:sz="4" w:space="0" w:color="000000"/>
              <w:right w:val="single" w:sz="4" w:space="0" w:color="000000"/>
            </w:tcBorders>
            <w:vAlign w:val="center"/>
          </w:tcPr>
          <w:p w14:paraId="1C54BC2F" w14:textId="77777777" w:rsidR="00B7382A" w:rsidRDefault="00B7382A" w:rsidP="00CC579D">
            <w:pPr>
              <w:ind w:left="102" w:right="475"/>
              <w:rPr>
                <w:rFonts w:asciiTheme="minorHAnsi" w:hAnsiTheme="minorHAnsi" w:cstheme="minorHAnsi"/>
                <w:b/>
                <w:bCs/>
                <w:color w:val="000000"/>
              </w:rPr>
            </w:pPr>
            <w:r>
              <w:rPr>
                <w:rFonts w:asciiTheme="minorHAnsi" w:hAnsiTheme="minorHAnsi" w:cstheme="minorHAnsi"/>
                <w:b/>
                <w:bCs/>
                <w:color w:val="000000"/>
              </w:rPr>
              <w:t>Monitor</w:t>
            </w:r>
          </w:p>
          <w:p w14:paraId="79C40E71" w14:textId="3A0B64C4" w:rsidR="00B7382A" w:rsidRDefault="00B7382A" w:rsidP="00CC579D">
            <w:pPr>
              <w:ind w:left="102" w:right="475"/>
              <w:rPr>
                <w:rFonts w:asciiTheme="minorHAnsi" w:hAnsiTheme="minorHAnsi" w:cstheme="minorHAnsi"/>
                <w:b/>
                <w:bCs/>
                <w:color w:val="000000"/>
              </w:rPr>
            </w:pPr>
            <w:r>
              <w:rPr>
                <w:rFonts w:asciiTheme="minorHAnsi" w:hAnsiTheme="minorHAnsi" w:cstheme="minorHAnsi"/>
                <w:b/>
                <w:bCs/>
                <w:color w:val="000000"/>
              </w:rPr>
              <w:t>(pkt 2)</w:t>
            </w:r>
          </w:p>
        </w:tc>
        <w:tc>
          <w:tcPr>
            <w:tcW w:w="1125" w:type="dxa"/>
            <w:tcBorders>
              <w:top w:val="single" w:sz="4" w:space="0" w:color="000000"/>
              <w:left w:val="single" w:sz="4" w:space="0" w:color="000000"/>
              <w:bottom w:val="single" w:sz="4" w:space="0" w:color="000000"/>
              <w:right w:val="single" w:sz="4" w:space="0" w:color="000000"/>
            </w:tcBorders>
            <w:vAlign w:val="center"/>
          </w:tcPr>
          <w:p w14:paraId="716B0E2B" w14:textId="77777777" w:rsidR="00B7382A" w:rsidRPr="00B8234C" w:rsidRDefault="00B7382A" w:rsidP="00CC579D">
            <w:pPr>
              <w:rPr>
                <w:rFonts w:asciiTheme="minorHAnsi" w:hAnsiTheme="minorHAnsi" w:cstheme="minorHAnsi"/>
              </w:rPr>
            </w:pPr>
          </w:p>
        </w:tc>
        <w:tc>
          <w:tcPr>
            <w:tcW w:w="3388" w:type="dxa"/>
            <w:tcBorders>
              <w:top w:val="single" w:sz="4" w:space="0" w:color="000000"/>
              <w:left w:val="single" w:sz="4" w:space="0" w:color="000000"/>
              <w:bottom w:val="single" w:sz="4" w:space="0" w:color="000000"/>
              <w:right w:val="single" w:sz="4" w:space="0" w:color="000000"/>
            </w:tcBorders>
            <w:vAlign w:val="center"/>
          </w:tcPr>
          <w:p w14:paraId="330B710C" w14:textId="77777777" w:rsidR="00B7382A" w:rsidRPr="00B8234C" w:rsidRDefault="00B7382A" w:rsidP="00CC579D">
            <w:pPr>
              <w:rPr>
                <w:rFonts w:asciiTheme="minorHAnsi" w:hAnsiTheme="minorHAnsi" w:cstheme="minorHAnsi"/>
              </w:rPr>
            </w:pPr>
          </w:p>
        </w:tc>
        <w:tc>
          <w:tcPr>
            <w:tcW w:w="1363"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58FCA2B7" w14:textId="77777777" w:rsidR="00B7382A" w:rsidRPr="009B76DD" w:rsidRDefault="00B7382A" w:rsidP="000D361E">
            <w:pPr>
              <w:jc w:val="center"/>
              <w:rPr>
                <w:rFonts w:asciiTheme="minorHAnsi" w:hAnsiTheme="minorHAnsi" w:cstheme="minorHAnsi"/>
                <w:b/>
                <w:bCs/>
              </w:rPr>
            </w:pPr>
          </w:p>
        </w:tc>
        <w:tc>
          <w:tcPr>
            <w:tcW w:w="1136"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14:paraId="6EFB19A6" w14:textId="77777777" w:rsidR="00B7382A" w:rsidRPr="009B76DD" w:rsidRDefault="00B7382A" w:rsidP="000D361E">
            <w:pPr>
              <w:jc w:val="center"/>
              <w:rPr>
                <w:rFonts w:asciiTheme="minorHAnsi" w:hAnsiTheme="minorHAnsi" w:cstheme="minorHAnsi"/>
                <w:b/>
                <w:bCs/>
              </w:rPr>
            </w:pPr>
          </w:p>
        </w:tc>
        <w:tc>
          <w:tcPr>
            <w:tcW w:w="972" w:type="dxa"/>
            <w:tcBorders>
              <w:top w:val="single" w:sz="4" w:space="0" w:color="000000"/>
              <w:left w:val="single" w:sz="4" w:space="0" w:color="000000"/>
              <w:bottom w:val="single" w:sz="4" w:space="0" w:color="000000"/>
              <w:right w:val="single" w:sz="4" w:space="0" w:color="000000"/>
            </w:tcBorders>
            <w:vAlign w:val="center"/>
          </w:tcPr>
          <w:p w14:paraId="3213E6F9" w14:textId="77777777" w:rsidR="00B7382A" w:rsidRPr="009B76DD" w:rsidRDefault="00B7382A" w:rsidP="000D361E">
            <w:pPr>
              <w:jc w:val="center"/>
              <w:rPr>
                <w:rFonts w:asciiTheme="minorHAnsi" w:hAnsiTheme="minorHAnsi" w:cstheme="minorHAnsi"/>
                <w:b/>
                <w:bCs/>
              </w:rPr>
            </w:pPr>
          </w:p>
        </w:tc>
        <w:tc>
          <w:tcPr>
            <w:tcW w:w="1383" w:type="dxa"/>
            <w:tcBorders>
              <w:top w:val="single" w:sz="4" w:space="0" w:color="000000"/>
              <w:left w:val="single" w:sz="4" w:space="0" w:color="000000"/>
              <w:bottom w:val="single" w:sz="4" w:space="0" w:color="000000"/>
              <w:right w:val="single" w:sz="4" w:space="0" w:color="000000"/>
            </w:tcBorders>
            <w:vAlign w:val="center"/>
          </w:tcPr>
          <w:p w14:paraId="4090A710" w14:textId="77777777" w:rsidR="00B7382A" w:rsidRPr="009B76DD" w:rsidRDefault="00B7382A" w:rsidP="00CC579D">
            <w:pPr>
              <w:ind w:right="1"/>
              <w:jc w:val="center"/>
              <w:rPr>
                <w:rFonts w:asciiTheme="minorHAnsi" w:hAnsiTheme="minorHAnsi" w:cstheme="minorHAnsi"/>
                <w:b/>
                <w:bCs/>
                <w:color w:val="000000"/>
              </w:rPr>
            </w:pPr>
            <w:r>
              <w:rPr>
                <w:rFonts w:asciiTheme="minorHAnsi" w:hAnsiTheme="minorHAnsi" w:cstheme="minorHAnsi"/>
                <w:b/>
                <w:bCs/>
                <w:color w:val="000000"/>
              </w:rPr>
              <w:t>2</w:t>
            </w:r>
          </w:p>
        </w:tc>
        <w:tc>
          <w:tcPr>
            <w:tcW w:w="1078" w:type="dxa"/>
            <w:tcBorders>
              <w:top w:val="single" w:sz="4" w:space="0" w:color="000000"/>
              <w:left w:val="single" w:sz="4" w:space="0" w:color="000000"/>
              <w:bottom w:val="single" w:sz="4" w:space="0" w:color="000000"/>
              <w:right w:val="single" w:sz="4" w:space="0" w:color="000000"/>
            </w:tcBorders>
            <w:vAlign w:val="center"/>
          </w:tcPr>
          <w:p w14:paraId="4EC8B749" w14:textId="0F64A03C" w:rsidR="00B7382A" w:rsidRPr="00A06BA1" w:rsidRDefault="00A06BA1" w:rsidP="00A06BA1">
            <w:pPr>
              <w:jc w:val="center"/>
              <w:rPr>
                <w:rFonts w:asciiTheme="minorHAnsi" w:hAnsiTheme="minorHAnsi" w:cstheme="minorHAnsi"/>
                <w:b/>
                <w:bCs/>
              </w:rPr>
            </w:pPr>
            <w:r w:rsidRPr="00A06BA1">
              <w:rPr>
                <w:rFonts w:asciiTheme="minorHAnsi" w:hAnsiTheme="minorHAnsi" w:cstheme="minorHAnsi"/>
                <w:b/>
                <w:bCs/>
              </w:rPr>
              <w:t>13</w:t>
            </w:r>
          </w:p>
        </w:tc>
        <w:tc>
          <w:tcPr>
            <w:tcW w:w="1265" w:type="dxa"/>
            <w:tcBorders>
              <w:top w:val="single" w:sz="4" w:space="0" w:color="000000"/>
              <w:left w:val="single" w:sz="4" w:space="0" w:color="000000"/>
              <w:bottom w:val="single" w:sz="4" w:space="0" w:color="000000"/>
              <w:right w:val="single" w:sz="4" w:space="0" w:color="000000"/>
            </w:tcBorders>
            <w:vAlign w:val="center"/>
          </w:tcPr>
          <w:p w14:paraId="0865EB08" w14:textId="23A36790" w:rsidR="00B7382A" w:rsidRPr="00B8234C" w:rsidRDefault="00B7382A" w:rsidP="00CC579D">
            <w:pPr>
              <w:rPr>
                <w:rFonts w:asciiTheme="minorHAnsi" w:hAnsiTheme="minorHAnsi" w:cstheme="minorHAnsi"/>
              </w:rPr>
            </w:pPr>
          </w:p>
        </w:tc>
      </w:tr>
    </w:tbl>
    <w:p w14:paraId="49F6DC2E" w14:textId="43C9C38C" w:rsidR="00FC366F" w:rsidRDefault="00FC366F" w:rsidP="001E4721">
      <w:pPr>
        <w:rPr>
          <w:rFonts w:asciiTheme="minorHAnsi" w:hAnsiTheme="minorHAnsi" w:cstheme="minorHAnsi"/>
          <w:b/>
          <w:bCs/>
          <w:color w:val="000000"/>
          <w:u w:val="single"/>
        </w:rPr>
      </w:pPr>
      <w:r>
        <w:rPr>
          <w:rFonts w:asciiTheme="minorHAnsi" w:hAnsiTheme="minorHAnsi" w:cstheme="minorHAnsi"/>
          <w:b/>
          <w:bCs/>
          <w:color w:val="000000"/>
          <w:u w:val="single"/>
        </w:rPr>
        <w:br w:type="page"/>
      </w:r>
    </w:p>
    <w:p w14:paraId="2E5F9FA3" w14:textId="77777777" w:rsidR="00E45319" w:rsidRDefault="00E45319" w:rsidP="001E4721">
      <w:pPr>
        <w:rPr>
          <w:rFonts w:asciiTheme="minorHAnsi" w:hAnsiTheme="minorHAnsi" w:cstheme="minorHAnsi"/>
          <w:b/>
          <w:bCs/>
          <w:color w:val="000000"/>
          <w:u w:val="single"/>
        </w:rPr>
      </w:pPr>
    </w:p>
    <w:p w14:paraId="1E699E7D" w14:textId="77777777" w:rsidR="001E4721" w:rsidRPr="00B8234C" w:rsidRDefault="001E4721" w:rsidP="001E4721">
      <w:pPr>
        <w:rPr>
          <w:rFonts w:asciiTheme="minorHAnsi" w:hAnsiTheme="minorHAnsi" w:cstheme="minorHAnsi"/>
        </w:rPr>
      </w:pPr>
      <w:r w:rsidRPr="00B8234C">
        <w:rPr>
          <w:rFonts w:asciiTheme="minorHAnsi" w:hAnsiTheme="minorHAnsi" w:cstheme="minorHAnsi"/>
          <w:b/>
          <w:bCs/>
          <w:color w:val="000000"/>
          <w:u w:val="single"/>
        </w:rPr>
        <w:t>Kryteria wyboru najkorzystniejszej oferty</w:t>
      </w:r>
    </w:p>
    <w:p w14:paraId="54F1E9B7" w14:textId="77777777" w:rsidR="001E4721" w:rsidRPr="00B8234C" w:rsidRDefault="001E4721" w:rsidP="001E4721">
      <w:pPr>
        <w:rPr>
          <w:rFonts w:asciiTheme="minorHAnsi" w:hAnsiTheme="minorHAnsi" w:cstheme="minorHAnsi"/>
        </w:rPr>
      </w:pPr>
    </w:p>
    <w:p w14:paraId="680F3D39" w14:textId="77777777" w:rsidR="00E83282" w:rsidRPr="00B8234C" w:rsidRDefault="00E83282" w:rsidP="00E83282">
      <w:pPr>
        <w:rPr>
          <w:rFonts w:asciiTheme="minorHAnsi" w:hAnsiTheme="minorHAnsi" w:cstheme="minorHAnsi"/>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462"/>
        <w:gridCol w:w="6479"/>
        <w:gridCol w:w="2268"/>
        <w:gridCol w:w="2268"/>
        <w:gridCol w:w="2268"/>
      </w:tblGrid>
      <w:tr w:rsidR="00E83282" w:rsidRPr="00B8234C" w14:paraId="486C0F35" w14:textId="77777777" w:rsidTr="00F5720A">
        <w:trPr>
          <w:trHeight w:val="58"/>
        </w:trPr>
        <w:tc>
          <w:tcPr>
            <w:tcW w:w="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ACA526"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b/>
                <w:bCs/>
                <w:color w:val="000000"/>
              </w:rPr>
              <w:t>Lp.</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487CCC"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b/>
                <w:bCs/>
                <w:color w:val="000000"/>
              </w:rPr>
              <w:t>Kryterium</w:t>
            </w:r>
          </w:p>
        </w:tc>
        <w:tc>
          <w:tcPr>
            <w:tcW w:w="68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E8575C"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b/>
                <w:bCs/>
                <w:color w:val="000000"/>
              </w:rPr>
              <w:t>Punktacja</w:t>
            </w:r>
          </w:p>
        </w:tc>
      </w:tr>
      <w:tr w:rsidR="00E83282" w:rsidRPr="00B8234C" w14:paraId="3D12A48A" w14:textId="77777777" w:rsidTr="00F5720A">
        <w:trPr>
          <w:trHeight w:val="161"/>
        </w:trPr>
        <w:tc>
          <w:tcPr>
            <w:tcW w:w="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90333A"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color w:val="000000"/>
              </w:rPr>
              <w:t>1.</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0A2324" w14:textId="77777777" w:rsidR="00E83282" w:rsidRPr="00B8234C" w:rsidRDefault="00E83282" w:rsidP="00F5720A">
            <w:pPr>
              <w:rPr>
                <w:rFonts w:asciiTheme="minorHAnsi" w:hAnsiTheme="minorHAnsi" w:cstheme="minorHAnsi"/>
              </w:rPr>
            </w:pPr>
            <w:r w:rsidRPr="00B8234C">
              <w:rPr>
                <w:rFonts w:asciiTheme="minorHAnsi" w:hAnsiTheme="minorHAnsi" w:cstheme="minorHAnsi"/>
                <w:color w:val="000000"/>
              </w:rPr>
              <w:t>Cena</w:t>
            </w:r>
          </w:p>
        </w:tc>
        <w:tc>
          <w:tcPr>
            <w:tcW w:w="68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EF30BA6"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color w:val="000000"/>
              </w:rPr>
              <w:t>60 pkt</w:t>
            </w:r>
          </w:p>
        </w:tc>
      </w:tr>
      <w:tr w:rsidR="00E83282" w:rsidRPr="00B8234C" w14:paraId="51791A8D" w14:textId="77777777" w:rsidTr="00F5720A">
        <w:trPr>
          <w:trHeight w:val="571"/>
        </w:trPr>
        <w:tc>
          <w:tcPr>
            <w:tcW w:w="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3F15AE"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color w:val="000000"/>
              </w:rPr>
              <w:t>2.</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2F7BFF" w14:textId="77777777" w:rsidR="00E83282" w:rsidRPr="00B8234C" w:rsidRDefault="00E83282" w:rsidP="00F5720A">
            <w:pPr>
              <w:rPr>
                <w:rFonts w:asciiTheme="minorHAnsi" w:hAnsiTheme="minorHAnsi" w:cstheme="minorHAnsi"/>
              </w:rPr>
            </w:pPr>
            <w:r w:rsidRPr="00B8234C">
              <w:rPr>
                <w:rFonts w:asciiTheme="minorHAnsi" w:hAnsiTheme="minorHAnsi" w:cstheme="minorHAnsi"/>
                <w:color w:val="000000"/>
              </w:rPr>
              <w:t>Liczba lat gwarancji</w:t>
            </w:r>
            <w:r>
              <w:rPr>
                <w:rFonts w:asciiTheme="minorHAnsi" w:hAnsiTheme="minorHAnsi" w:cstheme="minorHAnsi"/>
                <w:color w:val="000000"/>
              </w:rPr>
              <w:t xml:space="preserve"> dla pkt 1 (komputery stacjonarne)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B4998F"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color w:val="000000"/>
              </w:rPr>
              <w:t>5 lat – 0 pkt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573FE70"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color w:val="000000"/>
              </w:rPr>
              <w:t xml:space="preserve">6 lat – </w:t>
            </w:r>
            <w:r>
              <w:rPr>
                <w:rFonts w:asciiTheme="minorHAnsi" w:hAnsiTheme="minorHAnsi" w:cstheme="minorHAnsi"/>
                <w:color w:val="000000"/>
              </w:rPr>
              <w:t>4</w:t>
            </w:r>
            <w:r w:rsidRPr="00B8234C">
              <w:rPr>
                <w:rFonts w:asciiTheme="minorHAnsi" w:hAnsiTheme="minorHAnsi" w:cstheme="minorHAnsi"/>
                <w:color w:val="000000"/>
              </w:rPr>
              <w:t xml:space="preserve"> pkt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F4C011" w14:textId="77777777" w:rsidR="00E83282" w:rsidRPr="00B8234C" w:rsidRDefault="00E83282" w:rsidP="00F5720A">
            <w:pPr>
              <w:jc w:val="center"/>
              <w:rPr>
                <w:rFonts w:asciiTheme="minorHAnsi" w:hAnsiTheme="minorHAnsi" w:cstheme="minorHAnsi"/>
              </w:rPr>
            </w:pPr>
            <w:r w:rsidRPr="00B8234C">
              <w:rPr>
                <w:rFonts w:asciiTheme="minorHAnsi" w:hAnsiTheme="minorHAnsi" w:cstheme="minorHAnsi"/>
                <w:color w:val="000000"/>
              </w:rPr>
              <w:t xml:space="preserve">7 i więcej lat – </w:t>
            </w:r>
            <w:r>
              <w:rPr>
                <w:rFonts w:asciiTheme="minorHAnsi" w:hAnsiTheme="minorHAnsi" w:cstheme="minorHAnsi"/>
                <w:color w:val="000000"/>
              </w:rPr>
              <w:t>8</w:t>
            </w:r>
            <w:r w:rsidRPr="00B8234C">
              <w:rPr>
                <w:rFonts w:asciiTheme="minorHAnsi" w:hAnsiTheme="minorHAnsi" w:cstheme="minorHAnsi"/>
                <w:color w:val="000000"/>
              </w:rPr>
              <w:t xml:space="preserve"> pkt</w:t>
            </w:r>
          </w:p>
        </w:tc>
      </w:tr>
      <w:tr w:rsidR="00E83282" w:rsidRPr="00B8234C" w14:paraId="70382700" w14:textId="77777777" w:rsidTr="00F5720A">
        <w:trPr>
          <w:trHeight w:val="571"/>
        </w:trPr>
        <w:tc>
          <w:tcPr>
            <w:tcW w:w="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FC6CEA" w14:textId="3E289472" w:rsidR="00E83282" w:rsidRDefault="00086DBF" w:rsidP="00F5720A">
            <w:pPr>
              <w:jc w:val="center"/>
              <w:rPr>
                <w:rFonts w:asciiTheme="minorHAnsi" w:hAnsiTheme="minorHAnsi" w:cstheme="minorHAnsi"/>
                <w:color w:val="000000"/>
              </w:rPr>
            </w:pPr>
            <w:r>
              <w:rPr>
                <w:rFonts w:asciiTheme="minorHAnsi" w:hAnsiTheme="minorHAnsi" w:cstheme="minorHAnsi"/>
                <w:color w:val="000000"/>
              </w:rPr>
              <w:t>3</w:t>
            </w:r>
            <w:r w:rsidR="00E83282">
              <w:rPr>
                <w:rFonts w:asciiTheme="minorHAnsi" w:hAnsiTheme="minorHAnsi" w:cstheme="minorHAnsi"/>
                <w:color w:val="000000"/>
              </w:rPr>
              <w:t>.</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B10BE" w14:textId="26500425" w:rsidR="00E83282" w:rsidRDefault="00E83282" w:rsidP="00F5720A">
            <w:pPr>
              <w:rPr>
                <w:rFonts w:asciiTheme="minorHAnsi" w:hAnsiTheme="minorHAnsi" w:cstheme="minorHAnsi"/>
                <w:color w:val="000000"/>
              </w:rPr>
            </w:pPr>
            <w:r>
              <w:rPr>
                <w:rFonts w:asciiTheme="minorHAnsi" w:hAnsiTheme="minorHAnsi" w:cstheme="minorHAnsi"/>
                <w:color w:val="000000"/>
              </w:rPr>
              <w:t xml:space="preserve">Liczba lat gwarancji dla pkt </w:t>
            </w:r>
            <w:r w:rsidR="00A216C2">
              <w:rPr>
                <w:rFonts w:asciiTheme="minorHAnsi" w:hAnsiTheme="minorHAnsi" w:cstheme="minorHAnsi"/>
                <w:color w:val="000000"/>
              </w:rPr>
              <w:t>2</w:t>
            </w:r>
            <w:r>
              <w:rPr>
                <w:rFonts w:asciiTheme="minorHAnsi" w:hAnsiTheme="minorHAnsi" w:cstheme="minorHAnsi"/>
                <w:color w:val="000000"/>
              </w:rPr>
              <w:t xml:space="preserve"> (monitory)</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EE2AA8" w14:textId="77777777" w:rsidR="00E83282" w:rsidRPr="00B8234C" w:rsidRDefault="00E83282" w:rsidP="00F5720A">
            <w:pPr>
              <w:jc w:val="center"/>
              <w:rPr>
                <w:rFonts w:asciiTheme="minorHAnsi" w:hAnsiTheme="minorHAnsi" w:cstheme="minorHAnsi"/>
                <w:color w:val="000000"/>
              </w:rPr>
            </w:pPr>
            <w:r w:rsidRPr="00B8234C">
              <w:rPr>
                <w:rFonts w:asciiTheme="minorHAnsi" w:hAnsiTheme="minorHAnsi" w:cstheme="minorHAnsi"/>
                <w:color w:val="000000"/>
              </w:rPr>
              <w:t>5 lat – 0 pkt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E73C83" w14:textId="77777777" w:rsidR="00E83282" w:rsidRPr="00B8234C" w:rsidRDefault="00E83282" w:rsidP="00F5720A">
            <w:pPr>
              <w:jc w:val="center"/>
              <w:rPr>
                <w:rFonts w:asciiTheme="minorHAnsi" w:hAnsiTheme="minorHAnsi" w:cstheme="minorHAnsi"/>
                <w:color w:val="000000"/>
              </w:rPr>
            </w:pPr>
            <w:r w:rsidRPr="00B8234C">
              <w:rPr>
                <w:rFonts w:asciiTheme="minorHAnsi" w:hAnsiTheme="minorHAnsi" w:cstheme="minorHAnsi"/>
                <w:color w:val="000000"/>
              </w:rPr>
              <w:t xml:space="preserve">6 lat – </w:t>
            </w:r>
            <w:r>
              <w:rPr>
                <w:rFonts w:asciiTheme="minorHAnsi" w:hAnsiTheme="minorHAnsi" w:cstheme="minorHAnsi"/>
                <w:color w:val="000000"/>
              </w:rPr>
              <w:t>4</w:t>
            </w:r>
            <w:r w:rsidRPr="00B8234C">
              <w:rPr>
                <w:rFonts w:asciiTheme="minorHAnsi" w:hAnsiTheme="minorHAnsi" w:cstheme="minorHAnsi"/>
                <w:color w:val="000000"/>
              </w:rPr>
              <w:t xml:space="preserve"> pkt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091A05" w14:textId="77777777" w:rsidR="00E83282" w:rsidRPr="00B8234C" w:rsidRDefault="00E83282" w:rsidP="00F5720A">
            <w:pPr>
              <w:jc w:val="center"/>
              <w:rPr>
                <w:rFonts w:asciiTheme="minorHAnsi" w:hAnsiTheme="minorHAnsi" w:cstheme="minorHAnsi"/>
                <w:color w:val="000000"/>
              </w:rPr>
            </w:pPr>
            <w:r w:rsidRPr="00B8234C">
              <w:rPr>
                <w:rFonts w:asciiTheme="minorHAnsi" w:hAnsiTheme="minorHAnsi" w:cstheme="minorHAnsi"/>
                <w:color w:val="000000"/>
              </w:rPr>
              <w:t xml:space="preserve">7 i więcej lat – </w:t>
            </w:r>
            <w:r>
              <w:rPr>
                <w:rFonts w:asciiTheme="minorHAnsi" w:hAnsiTheme="minorHAnsi" w:cstheme="minorHAnsi"/>
                <w:color w:val="000000"/>
              </w:rPr>
              <w:t>8</w:t>
            </w:r>
            <w:r w:rsidRPr="00B8234C">
              <w:rPr>
                <w:rFonts w:asciiTheme="minorHAnsi" w:hAnsiTheme="minorHAnsi" w:cstheme="minorHAnsi"/>
                <w:color w:val="000000"/>
              </w:rPr>
              <w:t xml:space="preserve"> pkt</w:t>
            </w:r>
          </w:p>
        </w:tc>
      </w:tr>
      <w:tr w:rsidR="003406B6" w:rsidRPr="00B8234C" w14:paraId="0D2F7729" w14:textId="77777777" w:rsidTr="00F5720A">
        <w:trPr>
          <w:trHeight w:val="571"/>
        </w:trPr>
        <w:tc>
          <w:tcPr>
            <w:tcW w:w="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180DD0" w14:textId="13AACC25" w:rsidR="003406B6" w:rsidRDefault="00086DBF" w:rsidP="00F5720A">
            <w:pPr>
              <w:jc w:val="center"/>
              <w:rPr>
                <w:rFonts w:asciiTheme="minorHAnsi" w:hAnsiTheme="minorHAnsi" w:cstheme="minorHAnsi"/>
                <w:color w:val="000000"/>
              </w:rPr>
            </w:pPr>
            <w:r>
              <w:rPr>
                <w:rFonts w:asciiTheme="minorHAnsi" w:hAnsiTheme="minorHAnsi" w:cstheme="minorHAnsi"/>
                <w:color w:val="000000"/>
              </w:rPr>
              <w:t>4.</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D6C286" w14:textId="6763E5E6" w:rsidR="003406B6" w:rsidRDefault="00C84230" w:rsidP="00F5720A">
            <w:pPr>
              <w:rPr>
                <w:rFonts w:asciiTheme="minorHAnsi" w:hAnsiTheme="minorHAnsi" w:cstheme="minorHAnsi"/>
                <w:color w:val="000000"/>
              </w:rPr>
            </w:pPr>
            <w:r>
              <w:rPr>
                <w:rFonts w:asciiTheme="minorHAnsi" w:hAnsiTheme="minorHAnsi" w:cstheme="minorHAnsi"/>
                <w:color w:val="000000"/>
              </w:rPr>
              <w:t>Liczba pamięci RAM dla pkt 1 (komputery stacjonarne)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F15FFB" w14:textId="7EE708D9" w:rsidR="003406B6" w:rsidRPr="00B8234C" w:rsidRDefault="00C84230" w:rsidP="00F5720A">
            <w:pPr>
              <w:jc w:val="center"/>
              <w:rPr>
                <w:rFonts w:asciiTheme="minorHAnsi" w:hAnsiTheme="minorHAnsi" w:cstheme="minorHAnsi"/>
                <w:color w:val="000000"/>
              </w:rPr>
            </w:pPr>
            <w:r>
              <w:rPr>
                <w:rFonts w:asciiTheme="minorHAnsi" w:hAnsiTheme="minorHAnsi" w:cstheme="minorHAnsi"/>
                <w:color w:val="000000"/>
              </w:rPr>
              <w:t>16 GB – 0 pkt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FBD6BA" w14:textId="76E2D6AD" w:rsidR="003406B6" w:rsidRPr="00B8234C" w:rsidRDefault="00105E37" w:rsidP="00F5720A">
            <w:pPr>
              <w:jc w:val="center"/>
              <w:rPr>
                <w:rFonts w:asciiTheme="minorHAnsi" w:hAnsiTheme="minorHAnsi" w:cstheme="minorHAnsi"/>
                <w:color w:val="000000"/>
              </w:rPr>
            </w:pPr>
            <w:r>
              <w:rPr>
                <w:rFonts w:asciiTheme="minorHAnsi" w:hAnsiTheme="minorHAnsi" w:cstheme="minorHAnsi"/>
                <w:color w:val="000000"/>
              </w:rPr>
              <w:t>&gt;</w:t>
            </w:r>
            <w:r w:rsidR="00A81DDB">
              <w:rPr>
                <w:rFonts w:asciiTheme="minorHAnsi" w:hAnsiTheme="minorHAnsi" w:cstheme="minorHAnsi"/>
                <w:color w:val="000000"/>
              </w:rPr>
              <w:t xml:space="preserve">16 </w:t>
            </w:r>
            <w:r w:rsidR="00DB7154">
              <w:rPr>
                <w:rFonts w:asciiTheme="minorHAnsi" w:hAnsiTheme="minorHAnsi" w:cstheme="minorHAnsi"/>
                <w:color w:val="000000"/>
              </w:rPr>
              <w:t>GB i &lt;=</w:t>
            </w:r>
            <w:r w:rsidR="00A81DDB">
              <w:rPr>
                <w:rFonts w:asciiTheme="minorHAnsi" w:hAnsiTheme="minorHAnsi" w:cstheme="minorHAnsi"/>
                <w:color w:val="000000"/>
              </w:rPr>
              <w:t xml:space="preserve"> </w:t>
            </w:r>
            <w:r w:rsidR="00C84230">
              <w:rPr>
                <w:rFonts w:asciiTheme="minorHAnsi" w:hAnsiTheme="minorHAnsi" w:cstheme="minorHAnsi"/>
                <w:color w:val="000000"/>
              </w:rPr>
              <w:t>32 GB – 4 pkt</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69A6C4" w14:textId="786C1C23" w:rsidR="003406B6" w:rsidRPr="00B8234C" w:rsidRDefault="00473639" w:rsidP="00F5720A">
            <w:pPr>
              <w:jc w:val="center"/>
              <w:rPr>
                <w:rFonts w:asciiTheme="minorHAnsi" w:hAnsiTheme="minorHAnsi" w:cstheme="minorHAnsi"/>
                <w:color w:val="000000"/>
              </w:rPr>
            </w:pPr>
            <w:r>
              <w:rPr>
                <w:rFonts w:asciiTheme="minorHAnsi" w:hAnsiTheme="minorHAnsi" w:cstheme="minorHAnsi"/>
                <w:color w:val="000000"/>
              </w:rPr>
              <w:t>&gt;</w:t>
            </w:r>
            <w:r w:rsidR="00E9423A">
              <w:rPr>
                <w:rFonts w:asciiTheme="minorHAnsi" w:hAnsiTheme="minorHAnsi" w:cstheme="minorHAnsi"/>
                <w:color w:val="000000"/>
              </w:rPr>
              <w:t>32</w:t>
            </w:r>
            <w:r w:rsidR="00254AA0">
              <w:rPr>
                <w:rFonts w:asciiTheme="minorHAnsi" w:hAnsiTheme="minorHAnsi" w:cstheme="minorHAnsi"/>
                <w:color w:val="000000"/>
              </w:rPr>
              <w:t xml:space="preserve"> </w:t>
            </w:r>
            <w:r w:rsidR="00E9423A">
              <w:rPr>
                <w:rFonts w:asciiTheme="minorHAnsi" w:hAnsiTheme="minorHAnsi" w:cstheme="minorHAnsi"/>
                <w:color w:val="000000"/>
              </w:rPr>
              <w:t xml:space="preserve">GB </w:t>
            </w:r>
            <w:r w:rsidR="00254AA0">
              <w:rPr>
                <w:rFonts w:asciiTheme="minorHAnsi" w:hAnsiTheme="minorHAnsi" w:cstheme="minorHAnsi"/>
                <w:color w:val="000000"/>
              </w:rPr>
              <w:t>– 8 pkt</w:t>
            </w:r>
          </w:p>
        </w:tc>
      </w:tr>
      <w:tr w:rsidR="00E83282" w:rsidRPr="00B8234C" w14:paraId="522833EB" w14:textId="77777777" w:rsidTr="00F5720A">
        <w:trPr>
          <w:trHeight w:val="1098"/>
        </w:trPr>
        <w:tc>
          <w:tcPr>
            <w:tcW w:w="4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3D2E80" w14:textId="7FBAA067" w:rsidR="00E83282" w:rsidRPr="00B8234C" w:rsidRDefault="00086DBF" w:rsidP="00F5720A">
            <w:pPr>
              <w:jc w:val="center"/>
              <w:rPr>
                <w:rFonts w:asciiTheme="minorHAnsi" w:hAnsiTheme="minorHAnsi" w:cstheme="minorHAnsi"/>
              </w:rPr>
            </w:pPr>
            <w:r>
              <w:rPr>
                <w:rFonts w:asciiTheme="minorHAnsi" w:hAnsiTheme="minorHAnsi" w:cstheme="minorHAnsi"/>
                <w:color w:val="000000"/>
              </w:rPr>
              <w:t>5.</w:t>
            </w:r>
            <w:r w:rsidR="00E83282" w:rsidRPr="00B8234C">
              <w:rPr>
                <w:rFonts w:asciiTheme="minorHAnsi" w:hAnsiTheme="minorHAnsi" w:cstheme="minorHAnsi"/>
                <w:color w:val="000000"/>
              </w:rPr>
              <w:t>.</w:t>
            </w:r>
          </w:p>
        </w:tc>
        <w:tc>
          <w:tcPr>
            <w:tcW w:w="6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2DB5F3" w14:textId="452BAAB2" w:rsidR="00E83282" w:rsidRPr="00B8234C" w:rsidRDefault="00E83282" w:rsidP="00F5720A">
            <w:pPr>
              <w:rPr>
                <w:rFonts w:asciiTheme="minorHAnsi" w:hAnsiTheme="minorHAnsi" w:cstheme="minorHAnsi"/>
              </w:rPr>
            </w:pPr>
            <w:r w:rsidRPr="00B8234C">
              <w:rPr>
                <w:rFonts w:asciiTheme="minorHAnsi" w:hAnsiTheme="minorHAnsi" w:cstheme="minorHAnsi"/>
                <w:color w:val="000000"/>
              </w:rPr>
              <w:t xml:space="preserve">Wydajność </w:t>
            </w:r>
            <w:r>
              <w:rPr>
                <w:rFonts w:asciiTheme="minorHAnsi" w:hAnsiTheme="minorHAnsi" w:cstheme="minorHAnsi"/>
                <w:color w:val="000000"/>
              </w:rPr>
              <w:t xml:space="preserve">procesora dla pkt 1 (komputery stacjonarne) wg </w:t>
            </w:r>
            <w:proofErr w:type="spellStart"/>
            <w:r>
              <w:rPr>
                <w:rFonts w:asciiTheme="minorHAnsi" w:hAnsiTheme="minorHAnsi" w:cstheme="minorHAnsi"/>
                <w:color w:val="000000"/>
              </w:rPr>
              <w:t>Passmark</w:t>
            </w:r>
            <w:proofErr w:type="spellEnd"/>
            <w:r>
              <w:rPr>
                <w:rFonts w:asciiTheme="minorHAnsi" w:hAnsiTheme="minorHAnsi" w:cstheme="minorHAnsi"/>
                <w:color w:val="000000"/>
              </w:rPr>
              <w:t xml:space="preserve"> CPU Mark</w:t>
            </w:r>
            <w:r w:rsidRPr="00B8234C">
              <w:rPr>
                <w:rFonts w:asciiTheme="minorHAnsi" w:hAnsiTheme="minorHAnsi" w:cstheme="minorHAnsi"/>
                <w:color w:val="000000"/>
              </w:rPr>
              <w:t xml:space="preserve"> &gt;</w:t>
            </w:r>
            <w:r>
              <w:rPr>
                <w:rFonts w:asciiTheme="minorHAnsi" w:hAnsiTheme="minorHAnsi" w:cstheme="minorHAnsi"/>
                <w:color w:val="000000"/>
              </w:rPr>
              <w:t>32000</w:t>
            </w:r>
            <w:r w:rsidRPr="00B8234C">
              <w:rPr>
                <w:rFonts w:asciiTheme="minorHAnsi" w:hAnsiTheme="minorHAnsi" w:cstheme="minorHAnsi"/>
                <w:color w:val="000000"/>
              </w:rPr>
              <w:t xml:space="preserve"> pkt</w:t>
            </w:r>
            <w:r w:rsidR="0023692A">
              <w:rPr>
                <w:rFonts w:asciiTheme="minorHAnsi" w:hAnsiTheme="minorHAnsi" w:cstheme="minorHAnsi"/>
                <w:color w:val="000000"/>
              </w:rPr>
              <w:t xml:space="preserve">. Jeśli </w:t>
            </w:r>
            <w:r w:rsidR="00A158DB">
              <w:rPr>
                <w:rFonts w:asciiTheme="minorHAnsi" w:hAnsiTheme="minorHAnsi" w:cstheme="minorHAnsi"/>
                <w:color w:val="000000"/>
              </w:rPr>
              <w:t xml:space="preserve">wykazana </w:t>
            </w:r>
            <w:r w:rsidR="0023692A">
              <w:rPr>
                <w:rFonts w:asciiTheme="minorHAnsi" w:hAnsiTheme="minorHAnsi" w:cstheme="minorHAnsi"/>
                <w:color w:val="000000"/>
              </w:rPr>
              <w:t>wydajnoś</w:t>
            </w:r>
            <w:r w:rsidR="00CF0823">
              <w:rPr>
                <w:rFonts w:asciiTheme="minorHAnsi" w:hAnsiTheme="minorHAnsi" w:cstheme="minorHAnsi"/>
                <w:color w:val="000000"/>
              </w:rPr>
              <w:t>ć</w:t>
            </w:r>
            <w:r w:rsidR="0023692A">
              <w:rPr>
                <w:rFonts w:asciiTheme="minorHAnsi" w:hAnsiTheme="minorHAnsi" w:cstheme="minorHAnsi"/>
                <w:color w:val="000000"/>
              </w:rPr>
              <w:t xml:space="preserve"> procesora jest większa</w:t>
            </w:r>
            <w:r w:rsidR="00726864">
              <w:rPr>
                <w:rFonts w:asciiTheme="minorHAnsi" w:hAnsiTheme="minorHAnsi" w:cstheme="minorHAnsi"/>
                <w:color w:val="000000"/>
              </w:rPr>
              <w:t xml:space="preserve"> lub</w:t>
            </w:r>
            <w:r w:rsidR="0023692A">
              <w:rPr>
                <w:rFonts w:asciiTheme="minorHAnsi" w:hAnsiTheme="minorHAnsi" w:cstheme="minorHAnsi"/>
                <w:color w:val="000000"/>
              </w:rPr>
              <w:t xml:space="preserve"> </w:t>
            </w:r>
            <w:r w:rsidR="00737558">
              <w:rPr>
                <w:rFonts w:asciiTheme="minorHAnsi" w:hAnsiTheme="minorHAnsi" w:cstheme="minorHAnsi"/>
                <w:color w:val="000000"/>
              </w:rPr>
              <w:t xml:space="preserve">równa </w:t>
            </w:r>
            <w:r w:rsidR="0023692A">
              <w:rPr>
                <w:rFonts w:asciiTheme="minorHAnsi" w:hAnsiTheme="minorHAnsi" w:cstheme="minorHAnsi"/>
                <w:color w:val="000000"/>
              </w:rPr>
              <w:t>33000 pkt</w:t>
            </w:r>
            <w:r w:rsidR="00A158DB">
              <w:rPr>
                <w:rFonts w:asciiTheme="minorHAnsi" w:hAnsiTheme="minorHAnsi" w:cstheme="minorHAnsi"/>
                <w:color w:val="000000"/>
              </w:rPr>
              <w:t xml:space="preserve">, </w:t>
            </w:r>
            <w:r w:rsidR="00016A59">
              <w:rPr>
                <w:rFonts w:asciiTheme="minorHAnsi" w:hAnsiTheme="minorHAnsi" w:cstheme="minorHAnsi"/>
                <w:color w:val="000000"/>
              </w:rPr>
              <w:t xml:space="preserve">wówczas </w:t>
            </w:r>
            <w:r w:rsidR="0070797C">
              <w:rPr>
                <w:rFonts w:asciiTheme="minorHAnsi" w:hAnsiTheme="minorHAnsi" w:cstheme="minorHAnsi"/>
                <w:color w:val="000000"/>
              </w:rPr>
              <w:t>do obliczenia punktacji przyjmowana jest liczba 33000 pkt.</w:t>
            </w:r>
          </w:p>
        </w:tc>
        <w:tc>
          <w:tcPr>
            <w:tcW w:w="68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FA9EFC2" w14:textId="23CA79B4" w:rsidR="00E83282" w:rsidRPr="00B8234C" w:rsidRDefault="00FF193B" w:rsidP="00F5720A">
            <w:pPr>
              <w:jc w:val="center"/>
              <w:rPr>
                <w:rFonts w:asciiTheme="minorHAnsi" w:hAnsiTheme="minorHAnsi" w:cstheme="minorHAnsi"/>
              </w:rPr>
            </w:pPr>
            <w:r>
              <w:rPr>
                <w:rFonts w:asciiTheme="minorHAnsi" w:hAnsiTheme="minorHAnsi" w:cstheme="minorHAnsi"/>
                <w:color w:val="000000"/>
              </w:rPr>
              <w:t>16</w:t>
            </w:r>
            <w:r w:rsidR="00E83282" w:rsidRPr="00B8234C">
              <w:rPr>
                <w:rFonts w:asciiTheme="minorHAnsi" w:hAnsiTheme="minorHAnsi" w:cstheme="minorHAnsi"/>
                <w:color w:val="000000"/>
              </w:rPr>
              <w:t xml:space="preserve"> pkt wg wzoru:</w:t>
            </w:r>
          </w:p>
          <w:p w14:paraId="355FE66E" w14:textId="77777777" w:rsidR="00E83282" w:rsidRDefault="00E83282" w:rsidP="00F5720A">
            <w:pPr>
              <w:rPr>
                <w:rFonts w:asciiTheme="minorHAnsi" w:hAnsiTheme="minorHAnsi"/>
              </w:rPr>
            </w:pPr>
          </w:p>
          <w:p w14:paraId="3B17D4AA" w14:textId="49FA59F9" w:rsidR="00E83282" w:rsidRPr="00CF25D6" w:rsidRDefault="00000000" w:rsidP="00F5720A">
            <w:pPr>
              <w:rPr>
                <w:rFonts w:asciiTheme="minorHAnsi" w:hAnsiTheme="minorHAnsi"/>
              </w:rPr>
            </w:pPr>
            <m:oMathPara>
              <m:oMath>
                <m:f>
                  <m:fPr>
                    <m:ctrlPr>
                      <w:rPr>
                        <w:rFonts w:ascii="Cambria Math" w:hAnsi="Cambria Math"/>
                        <w:i/>
                        <w:sz w:val="16"/>
                        <w:szCs w:val="16"/>
                      </w:rPr>
                    </m:ctrlPr>
                  </m:fPr>
                  <m:num>
                    <m:r>
                      <w:rPr>
                        <w:rFonts w:ascii="Cambria Math" w:hAnsi="Cambria Math"/>
                        <w:sz w:val="16"/>
                        <w:szCs w:val="16"/>
                      </w:rPr>
                      <m:t>Wydajność-32000</m:t>
                    </m:r>
                  </m:num>
                  <m:den>
                    <m:r>
                      <w:rPr>
                        <w:rFonts w:ascii="Cambria Math" w:hAnsi="Cambria Math"/>
                        <w:sz w:val="16"/>
                        <w:szCs w:val="16"/>
                      </w:rPr>
                      <m:t xml:space="preserve">Wydajność </m:t>
                    </m:r>
                    <m:d>
                      <m:dPr>
                        <m:ctrlPr>
                          <w:rPr>
                            <w:rFonts w:ascii="Cambria Math" w:hAnsi="Cambria Math"/>
                            <w:i/>
                            <w:sz w:val="16"/>
                            <w:szCs w:val="16"/>
                          </w:rPr>
                        </m:ctrlPr>
                      </m:dPr>
                      <m:e>
                        <m:r>
                          <w:rPr>
                            <w:rFonts w:ascii="Cambria Math" w:hAnsi="Cambria Math"/>
                            <w:sz w:val="16"/>
                            <w:szCs w:val="16"/>
                          </w:rPr>
                          <m:t>największa liczba</m:t>
                        </m:r>
                      </m:e>
                    </m:d>
                    <m:r>
                      <w:rPr>
                        <w:rFonts w:ascii="Cambria Math" w:hAnsi="Cambria Math"/>
                        <w:sz w:val="16"/>
                        <w:szCs w:val="16"/>
                      </w:rPr>
                      <m:t>-32000</m:t>
                    </m:r>
                  </m:den>
                </m:f>
                <m:r>
                  <w:rPr>
                    <w:rFonts w:ascii="Cambria Math" w:hAnsi="Cambria Math"/>
                    <w:sz w:val="16"/>
                    <w:szCs w:val="16"/>
                  </w:rPr>
                  <m:t xml:space="preserve"> *100*16%=maksymalnie 16 pkt</m:t>
                </m:r>
              </m:oMath>
            </m:oMathPara>
          </w:p>
          <w:p w14:paraId="1C465B45" w14:textId="77777777" w:rsidR="00E83282" w:rsidRPr="00B8234C" w:rsidRDefault="00E83282" w:rsidP="00F5720A">
            <w:pPr>
              <w:spacing w:after="240"/>
              <w:rPr>
                <w:rFonts w:asciiTheme="minorHAnsi" w:hAnsiTheme="minorHAnsi" w:cstheme="minorHAnsi"/>
              </w:rPr>
            </w:pPr>
          </w:p>
        </w:tc>
      </w:tr>
    </w:tbl>
    <w:p w14:paraId="6B5C8DA5" w14:textId="77777777" w:rsidR="00E83282" w:rsidRPr="00797B35" w:rsidRDefault="00E83282" w:rsidP="00E83282">
      <w:pPr>
        <w:pBdr>
          <w:top w:val="nil"/>
          <w:left w:val="nil"/>
          <w:bottom w:val="nil"/>
          <w:right w:val="nil"/>
          <w:between w:val="nil"/>
        </w:pBdr>
        <w:jc w:val="both"/>
        <w:rPr>
          <w:rFonts w:asciiTheme="minorHAnsi" w:eastAsia="Calibri" w:hAnsiTheme="minorHAnsi" w:cstheme="minorHAnsi"/>
          <w:b/>
          <w:color w:val="000000"/>
          <w:u w:val="single"/>
        </w:rPr>
      </w:pPr>
      <w:r>
        <w:rPr>
          <w:rFonts w:asciiTheme="minorHAnsi" w:eastAsia="Calibri" w:hAnsiTheme="minorHAnsi" w:cstheme="minorHAnsi"/>
          <w:b/>
          <w:color w:val="000000"/>
          <w:u w:val="single"/>
        </w:rPr>
        <w:t>Punktacja liczona jest dwóch miejsc po przecinku stosując matematyczne zaokrąglenia.</w:t>
      </w:r>
    </w:p>
    <w:p w14:paraId="1FADC299" w14:textId="77777777" w:rsidR="00E83282" w:rsidRPr="00797B35" w:rsidRDefault="00E83282" w:rsidP="00681BDA">
      <w:pPr>
        <w:pBdr>
          <w:top w:val="nil"/>
          <w:left w:val="nil"/>
          <w:bottom w:val="nil"/>
          <w:right w:val="nil"/>
          <w:between w:val="nil"/>
        </w:pBdr>
        <w:jc w:val="both"/>
        <w:rPr>
          <w:rFonts w:asciiTheme="minorHAnsi" w:eastAsia="Calibri" w:hAnsiTheme="minorHAnsi" w:cstheme="minorHAnsi"/>
          <w:b/>
          <w:color w:val="000000"/>
          <w:u w:val="single"/>
        </w:rPr>
      </w:pPr>
    </w:p>
    <w:sectPr w:rsidR="00E83282" w:rsidRPr="00797B35" w:rsidSect="00D65C9A">
      <w:headerReference w:type="even" r:id="rId12"/>
      <w:headerReference w:type="default" r:id="rId13"/>
      <w:footerReference w:type="even" r:id="rId14"/>
      <w:headerReference w:type="first" r:id="rId15"/>
      <w:footerReference w:type="first" r:id="rId16"/>
      <w:pgSz w:w="16838" w:h="11906" w:orient="landscape"/>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2379A" w14:textId="77777777" w:rsidR="009648F1" w:rsidRDefault="009648F1" w:rsidP="00AE7AB3">
      <w:r>
        <w:separator/>
      </w:r>
    </w:p>
  </w:endnote>
  <w:endnote w:type="continuationSeparator" w:id="0">
    <w:p w14:paraId="723CB926" w14:textId="77777777" w:rsidR="009648F1" w:rsidRDefault="009648F1" w:rsidP="00AE7AB3">
      <w:r>
        <w:continuationSeparator/>
      </w:r>
    </w:p>
  </w:endnote>
  <w:endnote w:type="continuationNotice" w:id="1">
    <w:p w14:paraId="443E2CC8" w14:textId="77777777" w:rsidR="009648F1" w:rsidRDefault="00964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8998179"/>
      <w:docPartObj>
        <w:docPartGallery w:val="Page Numbers (Bottom of Page)"/>
        <w:docPartUnique/>
      </w:docPartObj>
    </w:sdtPr>
    <w:sdtContent>
      <w:p w14:paraId="69D50CED" w14:textId="77777777" w:rsidR="00AE7AB3" w:rsidRDefault="00AE7AB3">
        <w:pPr>
          <w:pStyle w:val="Stopka"/>
          <w:jc w:val="right"/>
        </w:pPr>
        <w:r>
          <w:fldChar w:fldCharType="begin"/>
        </w:r>
        <w:r>
          <w:instrText>PAGE   \* MERGEFORMAT</w:instrText>
        </w:r>
        <w:r>
          <w:fldChar w:fldCharType="separate"/>
        </w:r>
        <w:r>
          <w:t>2</w:t>
        </w:r>
        <w:r>
          <w:fldChar w:fldCharType="end"/>
        </w:r>
      </w:p>
    </w:sdtContent>
  </w:sdt>
  <w:p w14:paraId="2D5DD49D" w14:textId="77777777" w:rsidR="00AE7AB3" w:rsidRDefault="00AE7A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99DD0" w14:textId="77777777" w:rsidR="00AE7AB3" w:rsidRDefault="00AE7A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97809" w14:textId="77777777" w:rsidR="00AE7AB3" w:rsidRDefault="00AE7A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D0F5D" w14:textId="77777777" w:rsidR="009648F1" w:rsidRDefault="009648F1" w:rsidP="00AE7AB3">
      <w:r>
        <w:separator/>
      </w:r>
    </w:p>
  </w:footnote>
  <w:footnote w:type="continuationSeparator" w:id="0">
    <w:p w14:paraId="7F5E3DBF" w14:textId="77777777" w:rsidR="009648F1" w:rsidRDefault="009648F1" w:rsidP="00AE7AB3">
      <w:r>
        <w:continuationSeparator/>
      </w:r>
    </w:p>
  </w:footnote>
  <w:footnote w:type="continuationNotice" w:id="1">
    <w:p w14:paraId="3AD81D93" w14:textId="77777777" w:rsidR="009648F1" w:rsidRDefault="00964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C6210" w14:textId="3D7A8233" w:rsidR="0067468E" w:rsidRDefault="0067468E" w:rsidP="0067468E">
    <w:pPr>
      <w:pStyle w:val="Nagwek"/>
      <w:jc w:val="right"/>
    </w:pPr>
    <w:r>
      <w:t xml:space="preserve">Zał. nr </w:t>
    </w:r>
    <w:r w:rsidR="00F37CE0">
      <w:t>1</w:t>
    </w:r>
    <w:r>
      <w:t xml:space="preserve"> do SWZ</w:t>
    </w:r>
  </w:p>
  <w:p w14:paraId="298D3E5A" w14:textId="17EF21BC" w:rsidR="0067468E" w:rsidRDefault="0067468E" w:rsidP="0067468E">
    <w:pPr>
      <w:pStyle w:val="Nagwek"/>
      <w:jc w:val="right"/>
    </w:pPr>
    <w:r>
      <w:t>ZG-NZP.3410.12.2024</w:t>
    </w:r>
  </w:p>
  <w:p w14:paraId="6407C3D9" w14:textId="77777777" w:rsidR="0067468E" w:rsidRDefault="006746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B6B7F" w14:textId="77777777" w:rsidR="00AE7AB3" w:rsidRDefault="00AE7AB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5F8EA" w14:textId="77777777" w:rsidR="00AE7AB3" w:rsidRDefault="00AE7AB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F5C48" w14:textId="77777777" w:rsidR="00AE7AB3" w:rsidRDefault="00AE7A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3027"/>
    <w:multiLevelType w:val="hybridMultilevel"/>
    <w:tmpl w:val="F860212A"/>
    <w:lvl w:ilvl="0" w:tplc="0415000F">
      <w:start w:val="1"/>
      <w:numFmt w:val="decimal"/>
      <w:lvlText w:val="%1."/>
      <w:lvlJc w:val="left"/>
      <w:pPr>
        <w:tabs>
          <w:tab w:val="num" w:pos="720"/>
        </w:tabs>
        <w:ind w:left="720"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7D03C26"/>
    <w:multiLevelType w:val="hybridMultilevel"/>
    <w:tmpl w:val="87986FA2"/>
    <w:lvl w:ilvl="0" w:tplc="FD322A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7658EB"/>
    <w:multiLevelType w:val="multilevel"/>
    <w:tmpl w:val="10AE51C4"/>
    <w:lvl w:ilvl="0">
      <w:start w:val="1"/>
      <w:numFmt w:val="decimal"/>
      <w:lvlText w:val="%1."/>
      <w:lvlJc w:val="left"/>
      <w:pPr>
        <w:ind w:left="360" w:hanging="360"/>
      </w:pPr>
      <w:rPr>
        <w:b/>
        <w:bCs w:val="0"/>
      </w:r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404CE7"/>
    <w:multiLevelType w:val="multilevel"/>
    <w:tmpl w:val="10AE51C4"/>
    <w:lvl w:ilvl="0">
      <w:start w:val="1"/>
      <w:numFmt w:val="decimal"/>
      <w:lvlText w:val="%1."/>
      <w:lvlJc w:val="left"/>
      <w:pPr>
        <w:ind w:left="360" w:hanging="360"/>
      </w:pPr>
      <w:rPr>
        <w:b/>
        <w:bCs w:val="0"/>
      </w:r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CC017F5"/>
    <w:multiLevelType w:val="hybridMultilevel"/>
    <w:tmpl w:val="E55C9680"/>
    <w:lvl w:ilvl="0" w:tplc="0415000F">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340" w:hanging="360"/>
      </w:pPr>
      <w:rPr>
        <w:rFonts w:ascii="Wingdings" w:hAnsi="Wingding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E623B8"/>
    <w:multiLevelType w:val="multilevel"/>
    <w:tmpl w:val="F7C28EE8"/>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38562D2"/>
    <w:multiLevelType w:val="multilevel"/>
    <w:tmpl w:val="B0C0581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C6225E"/>
    <w:multiLevelType w:val="multilevel"/>
    <w:tmpl w:val="A15601F2"/>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E490FD8"/>
    <w:multiLevelType w:val="multilevel"/>
    <w:tmpl w:val="E68ABED8"/>
    <w:lvl w:ilvl="0">
      <w:start w:val="1"/>
      <w:numFmt w:val="decimal"/>
      <w:lvlText w:val="%1."/>
      <w:lvlJc w:val="left"/>
      <w:pPr>
        <w:ind w:left="360" w:hanging="360"/>
      </w:pPr>
      <w:rPr>
        <w:b/>
        <w:bCs w:val="0"/>
      </w:rPr>
    </w:lvl>
    <w:lvl w:ilvl="1">
      <w:start w:val="1"/>
      <w:numFmt w:val="decimal"/>
      <w:lvlText w:val="%1.%2."/>
      <w:lvlJc w:val="left"/>
      <w:pPr>
        <w:ind w:left="792" w:hanging="432"/>
      </w:pPr>
      <w:rPr>
        <w:b/>
      </w:rPr>
    </w:lvl>
    <w:lvl w:ilvl="2">
      <w:start w:val="1"/>
      <w:numFmt w:val="bullet"/>
      <w:lvlText w:val=""/>
      <w:lvlJc w:val="left"/>
      <w:pPr>
        <w:ind w:left="1080" w:hanging="360"/>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97186">
    <w:abstractNumId w:val="9"/>
  </w:num>
  <w:num w:numId="2" w16cid:durableId="744956011">
    <w:abstractNumId w:val="5"/>
  </w:num>
  <w:num w:numId="3" w16cid:durableId="1101797630">
    <w:abstractNumId w:val="7"/>
  </w:num>
  <w:num w:numId="4" w16cid:durableId="2008751106">
    <w:abstractNumId w:val="2"/>
  </w:num>
  <w:num w:numId="5" w16cid:durableId="2089183076">
    <w:abstractNumId w:val="6"/>
  </w:num>
  <w:num w:numId="6" w16cid:durableId="1728147049">
    <w:abstractNumId w:val="8"/>
  </w:num>
  <w:num w:numId="7" w16cid:durableId="990212782">
    <w:abstractNumId w:val="4"/>
  </w:num>
  <w:num w:numId="8" w16cid:durableId="910236455">
    <w:abstractNumId w:val="3"/>
  </w:num>
  <w:num w:numId="9" w16cid:durableId="1657416063">
    <w:abstractNumId w:val="0"/>
  </w:num>
  <w:num w:numId="10" w16cid:durableId="93795140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565"/>
    <w:rsid w:val="00007F45"/>
    <w:rsid w:val="0001231B"/>
    <w:rsid w:val="00016A59"/>
    <w:rsid w:val="00033812"/>
    <w:rsid w:val="000569F1"/>
    <w:rsid w:val="000702A5"/>
    <w:rsid w:val="00071834"/>
    <w:rsid w:val="00086DBF"/>
    <w:rsid w:val="000A1054"/>
    <w:rsid w:val="000B0D5A"/>
    <w:rsid w:val="000B1819"/>
    <w:rsid w:val="000C6AAF"/>
    <w:rsid w:val="000D1725"/>
    <w:rsid w:val="000D361E"/>
    <w:rsid w:val="000F58DF"/>
    <w:rsid w:val="000F6DD4"/>
    <w:rsid w:val="001005D0"/>
    <w:rsid w:val="00104D1C"/>
    <w:rsid w:val="00105E37"/>
    <w:rsid w:val="00113BB1"/>
    <w:rsid w:val="001347A7"/>
    <w:rsid w:val="001379A6"/>
    <w:rsid w:val="0014197B"/>
    <w:rsid w:val="00146355"/>
    <w:rsid w:val="00153CB6"/>
    <w:rsid w:val="00157AC0"/>
    <w:rsid w:val="00171C18"/>
    <w:rsid w:val="0018139B"/>
    <w:rsid w:val="001842D8"/>
    <w:rsid w:val="00194653"/>
    <w:rsid w:val="00196D0B"/>
    <w:rsid w:val="001A641A"/>
    <w:rsid w:val="001B6CDC"/>
    <w:rsid w:val="001C19EB"/>
    <w:rsid w:val="001D2FB1"/>
    <w:rsid w:val="001E0249"/>
    <w:rsid w:val="001E4721"/>
    <w:rsid w:val="001E65F4"/>
    <w:rsid w:val="001F360B"/>
    <w:rsid w:val="001F3834"/>
    <w:rsid w:val="001F40A1"/>
    <w:rsid w:val="00216313"/>
    <w:rsid w:val="002178E1"/>
    <w:rsid w:val="00226709"/>
    <w:rsid w:val="002336CA"/>
    <w:rsid w:val="0023692A"/>
    <w:rsid w:val="00240888"/>
    <w:rsid w:val="00253579"/>
    <w:rsid w:val="00254AA0"/>
    <w:rsid w:val="0027736B"/>
    <w:rsid w:val="00284F74"/>
    <w:rsid w:val="00287E2F"/>
    <w:rsid w:val="00293D1E"/>
    <w:rsid w:val="002A5252"/>
    <w:rsid w:val="002B00BB"/>
    <w:rsid w:val="002B7D5A"/>
    <w:rsid w:val="002E2E77"/>
    <w:rsid w:val="002F13E6"/>
    <w:rsid w:val="002F6CEF"/>
    <w:rsid w:val="00304675"/>
    <w:rsid w:val="0031020C"/>
    <w:rsid w:val="00320EDD"/>
    <w:rsid w:val="00325A18"/>
    <w:rsid w:val="00335D32"/>
    <w:rsid w:val="003406B6"/>
    <w:rsid w:val="0036110F"/>
    <w:rsid w:val="00376E7F"/>
    <w:rsid w:val="00383484"/>
    <w:rsid w:val="00385E14"/>
    <w:rsid w:val="003B19FC"/>
    <w:rsid w:val="003B6BDD"/>
    <w:rsid w:val="003D1B6E"/>
    <w:rsid w:val="003E065B"/>
    <w:rsid w:val="00441360"/>
    <w:rsid w:val="0045047B"/>
    <w:rsid w:val="00452EB1"/>
    <w:rsid w:val="00462020"/>
    <w:rsid w:val="00462477"/>
    <w:rsid w:val="00473639"/>
    <w:rsid w:val="00473B18"/>
    <w:rsid w:val="00482F6D"/>
    <w:rsid w:val="00494428"/>
    <w:rsid w:val="004B0ADF"/>
    <w:rsid w:val="004B5746"/>
    <w:rsid w:val="004C43A6"/>
    <w:rsid w:val="004D2671"/>
    <w:rsid w:val="004F23D5"/>
    <w:rsid w:val="004F29A1"/>
    <w:rsid w:val="0050288D"/>
    <w:rsid w:val="0052367A"/>
    <w:rsid w:val="00523BFF"/>
    <w:rsid w:val="0054261A"/>
    <w:rsid w:val="00543E7C"/>
    <w:rsid w:val="00562858"/>
    <w:rsid w:val="00562FC9"/>
    <w:rsid w:val="00565BEF"/>
    <w:rsid w:val="005730DC"/>
    <w:rsid w:val="005975A9"/>
    <w:rsid w:val="005A0115"/>
    <w:rsid w:val="005A299F"/>
    <w:rsid w:val="005B5973"/>
    <w:rsid w:val="005B6FE2"/>
    <w:rsid w:val="005C2FCC"/>
    <w:rsid w:val="005D5292"/>
    <w:rsid w:val="005E545D"/>
    <w:rsid w:val="00631779"/>
    <w:rsid w:val="00645DBB"/>
    <w:rsid w:val="006734CA"/>
    <w:rsid w:val="0067468E"/>
    <w:rsid w:val="00681BDA"/>
    <w:rsid w:val="00684528"/>
    <w:rsid w:val="00685BE6"/>
    <w:rsid w:val="006B1CAF"/>
    <w:rsid w:val="006B41CE"/>
    <w:rsid w:val="006C54A3"/>
    <w:rsid w:val="006D650A"/>
    <w:rsid w:val="006F3A3C"/>
    <w:rsid w:val="006F5B2D"/>
    <w:rsid w:val="00702047"/>
    <w:rsid w:val="007067FE"/>
    <w:rsid w:val="0070797C"/>
    <w:rsid w:val="0071454C"/>
    <w:rsid w:val="00726864"/>
    <w:rsid w:val="00737558"/>
    <w:rsid w:val="00737BD1"/>
    <w:rsid w:val="0074179C"/>
    <w:rsid w:val="00764E8A"/>
    <w:rsid w:val="00771E95"/>
    <w:rsid w:val="00773F52"/>
    <w:rsid w:val="00776152"/>
    <w:rsid w:val="00777E1C"/>
    <w:rsid w:val="00797B35"/>
    <w:rsid w:val="007A3C7A"/>
    <w:rsid w:val="007B1618"/>
    <w:rsid w:val="007B3BE6"/>
    <w:rsid w:val="007B62C7"/>
    <w:rsid w:val="007D6D14"/>
    <w:rsid w:val="007D7618"/>
    <w:rsid w:val="007E0BD0"/>
    <w:rsid w:val="007E10D7"/>
    <w:rsid w:val="007F7565"/>
    <w:rsid w:val="007F76B8"/>
    <w:rsid w:val="00804D34"/>
    <w:rsid w:val="0080587A"/>
    <w:rsid w:val="00811991"/>
    <w:rsid w:val="00824D54"/>
    <w:rsid w:val="008342AE"/>
    <w:rsid w:val="00836DB1"/>
    <w:rsid w:val="008419E3"/>
    <w:rsid w:val="00845C8C"/>
    <w:rsid w:val="0084617B"/>
    <w:rsid w:val="008621D1"/>
    <w:rsid w:val="00862FB0"/>
    <w:rsid w:val="00872D89"/>
    <w:rsid w:val="00882563"/>
    <w:rsid w:val="00884265"/>
    <w:rsid w:val="00893283"/>
    <w:rsid w:val="008A47DB"/>
    <w:rsid w:val="008B2AAD"/>
    <w:rsid w:val="008C79AE"/>
    <w:rsid w:val="008F13A2"/>
    <w:rsid w:val="008F69ED"/>
    <w:rsid w:val="00906293"/>
    <w:rsid w:val="0092125A"/>
    <w:rsid w:val="0092492F"/>
    <w:rsid w:val="00927681"/>
    <w:rsid w:val="00932571"/>
    <w:rsid w:val="00936276"/>
    <w:rsid w:val="00953CAA"/>
    <w:rsid w:val="00964656"/>
    <w:rsid w:val="009648F1"/>
    <w:rsid w:val="0097014F"/>
    <w:rsid w:val="00985649"/>
    <w:rsid w:val="00990321"/>
    <w:rsid w:val="009A15BD"/>
    <w:rsid w:val="009D0AF0"/>
    <w:rsid w:val="009E1420"/>
    <w:rsid w:val="009E3122"/>
    <w:rsid w:val="00A06BA1"/>
    <w:rsid w:val="00A074F0"/>
    <w:rsid w:val="00A07DF4"/>
    <w:rsid w:val="00A158DB"/>
    <w:rsid w:val="00A216C2"/>
    <w:rsid w:val="00A27F63"/>
    <w:rsid w:val="00A32A69"/>
    <w:rsid w:val="00A336F0"/>
    <w:rsid w:val="00A42494"/>
    <w:rsid w:val="00A45B23"/>
    <w:rsid w:val="00A76E94"/>
    <w:rsid w:val="00A779D0"/>
    <w:rsid w:val="00A81DDB"/>
    <w:rsid w:val="00A9764B"/>
    <w:rsid w:val="00AA2C8A"/>
    <w:rsid w:val="00AA6F7F"/>
    <w:rsid w:val="00AB12E8"/>
    <w:rsid w:val="00AE04CC"/>
    <w:rsid w:val="00AE61A2"/>
    <w:rsid w:val="00AE7AB3"/>
    <w:rsid w:val="00B128CB"/>
    <w:rsid w:val="00B14C6C"/>
    <w:rsid w:val="00B17739"/>
    <w:rsid w:val="00B319AB"/>
    <w:rsid w:val="00B40072"/>
    <w:rsid w:val="00B518CF"/>
    <w:rsid w:val="00B609A6"/>
    <w:rsid w:val="00B61C95"/>
    <w:rsid w:val="00B63E2B"/>
    <w:rsid w:val="00B66098"/>
    <w:rsid w:val="00B70392"/>
    <w:rsid w:val="00B7382A"/>
    <w:rsid w:val="00B8234C"/>
    <w:rsid w:val="00B82E46"/>
    <w:rsid w:val="00B86589"/>
    <w:rsid w:val="00B86B85"/>
    <w:rsid w:val="00B94EFA"/>
    <w:rsid w:val="00BA4693"/>
    <w:rsid w:val="00BB0FEA"/>
    <w:rsid w:val="00BB619C"/>
    <w:rsid w:val="00BC1D63"/>
    <w:rsid w:val="00BC44B1"/>
    <w:rsid w:val="00BD3251"/>
    <w:rsid w:val="00BD6259"/>
    <w:rsid w:val="00BE22D7"/>
    <w:rsid w:val="00BF321D"/>
    <w:rsid w:val="00BF7E35"/>
    <w:rsid w:val="00C10240"/>
    <w:rsid w:val="00C11E8C"/>
    <w:rsid w:val="00C15DB1"/>
    <w:rsid w:val="00C37DAE"/>
    <w:rsid w:val="00C4078A"/>
    <w:rsid w:val="00C704A6"/>
    <w:rsid w:val="00C73460"/>
    <w:rsid w:val="00C752A9"/>
    <w:rsid w:val="00C84230"/>
    <w:rsid w:val="00C84D6A"/>
    <w:rsid w:val="00CA6209"/>
    <w:rsid w:val="00CB25E1"/>
    <w:rsid w:val="00CB50B4"/>
    <w:rsid w:val="00CC0FA5"/>
    <w:rsid w:val="00CC18B4"/>
    <w:rsid w:val="00CC19F0"/>
    <w:rsid w:val="00CC1D65"/>
    <w:rsid w:val="00CC235E"/>
    <w:rsid w:val="00CC4092"/>
    <w:rsid w:val="00CC776A"/>
    <w:rsid w:val="00CD469E"/>
    <w:rsid w:val="00CD55EC"/>
    <w:rsid w:val="00CE6F9E"/>
    <w:rsid w:val="00CE7B30"/>
    <w:rsid w:val="00CF0823"/>
    <w:rsid w:val="00D012D2"/>
    <w:rsid w:val="00D31436"/>
    <w:rsid w:val="00D516FF"/>
    <w:rsid w:val="00D51D32"/>
    <w:rsid w:val="00D55832"/>
    <w:rsid w:val="00D562BF"/>
    <w:rsid w:val="00D62CF0"/>
    <w:rsid w:val="00D65C9A"/>
    <w:rsid w:val="00D67D26"/>
    <w:rsid w:val="00D9096E"/>
    <w:rsid w:val="00D90C46"/>
    <w:rsid w:val="00DA13DE"/>
    <w:rsid w:val="00DA63F3"/>
    <w:rsid w:val="00DB3CC6"/>
    <w:rsid w:val="00DB7154"/>
    <w:rsid w:val="00DC2CF2"/>
    <w:rsid w:val="00DC519A"/>
    <w:rsid w:val="00DC7198"/>
    <w:rsid w:val="00DE4FAA"/>
    <w:rsid w:val="00DE6581"/>
    <w:rsid w:val="00DF23FE"/>
    <w:rsid w:val="00DF61BA"/>
    <w:rsid w:val="00E043C0"/>
    <w:rsid w:val="00E049E1"/>
    <w:rsid w:val="00E15127"/>
    <w:rsid w:val="00E32585"/>
    <w:rsid w:val="00E33046"/>
    <w:rsid w:val="00E426A1"/>
    <w:rsid w:val="00E45319"/>
    <w:rsid w:val="00E479E6"/>
    <w:rsid w:val="00E546F0"/>
    <w:rsid w:val="00E54B5F"/>
    <w:rsid w:val="00E54EA7"/>
    <w:rsid w:val="00E62042"/>
    <w:rsid w:val="00E6263E"/>
    <w:rsid w:val="00E6423E"/>
    <w:rsid w:val="00E65C99"/>
    <w:rsid w:val="00E675A1"/>
    <w:rsid w:val="00E67F6F"/>
    <w:rsid w:val="00E830B8"/>
    <w:rsid w:val="00E83282"/>
    <w:rsid w:val="00E940CB"/>
    <w:rsid w:val="00E9423A"/>
    <w:rsid w:val="00E9554E"/>
    <w:rsid w:val="00ED0706"/>
    <w:rsid w:val="00EF1FF5"/>
    <w:rsid w:val="00EF6610"/>
    <w:rsid w:val="00EF6658"/>
    <w:rsid w:val="00F00B2F"/>
    <w:rsid w:val="00F229AD"/>
    <w:rsid w:val="00F22F1F"/>
    <w:rsid w:val="00F26694"/>
    <w:rsid w:val="00F37CE0"/>
    <w:rsid w:val="00F43FEF"/>
    <w:rsid w:val="00F630F2"/>
    <w:rsid w:val="00F66FEF"/>
    <w:rsid w:val="00F80E20"/>
    <w:rsid w:val="00F838B9"/>
    <w:rsid w:val="00F851A0"/>
    <w:rsid w:val="00F85675"/>
    <w:rsid w:val="00F97E76"/>
    <w:rsid w:val="00FB22EF"/>
    <w:rsid w:val="00FB2F80"/>
    <w:rsid w:val="00FC366F"/>
    <w:rsid w:val="00FC660D"/>
    <w:rsid w:val="00FD41F8"/>
    <w:rsid w:val="00FE0D18"/>
    <w:rsid w:val="00FF193B"/>
    <w:rsid w:val="00FF76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B54C"/>
  <w15:docId w15:val="{67461F0D-FF8D-4CAA-81A2-E391EB1A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3E2B"/>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Znak">
    <w:name w:val="Nagłówek Znak"/>
    <w:aliases w:val="hd Znak,Nagłówek strony Znak"/>
    <w:basedOn w:val="Domylnaczcionkaakapitu"/>
    <w:link w:val="Nagwek"/>
    <w:uiPriority w:val="99"/>
    <w:locked/>
    <w:rsid w:val="001E26EC"/>
    <w:rPr>
      <w:sz w:val="20"/>
      <w:szCs w:val="20"/>
    </w:rPr>
  </w:style>
  <w:style w:type="paragraph" w:styleId="Nagwek">
    <w:name w:val="header"/>
    <w:aliases w:val="hd,Nagłówek strony"/>
    <w:basedOn w:val="Normalny"/>
    <w:link w:val="NagwekZnak"/>
    <w:uiPriority w:val="99"/>
    <w:unhideWhenUsed/>
    <w:rsid w:val="001E26EC"/>
    <w:pPr>
      <w:tabs>
        <w:tab w:val="center" w:pos="4536"/>
        <w:tab w:val="right" w:pos="9072"/>
      </w:tabs>
    </w:pPr>
    <w:rPr>
      <w:rFonts w:asciiTheme="minorHAnsi" w:eastAsiaTheme="minorHAnsi" w:hAnsiTheme="minorHAnsi" w:cstheme="minorBidi"/>
      <w:lang w:eastAsia="en-US"/>
    </w:rPr>
  </w:style>
  <w:style w:type="character" w:customStyle="1" w:styleId="NagwekZnak1">
    <w:name w:val="Nagłówek Znak1"/>
    <w:basedOn w:val="Domylnaczcionkaakapitu"/>
    <w:uiPriority w:val="99"/>
    <w:semiHidden/>
    <w:rsid w:val="001E26EC"/>
    <w:rPr>
      <w:rFonts w:ascii="Times New Roman" w:eastAsia="Times New Roman" w:hAnsi="Times New Roman" w:cs="Times New Roman"/>
      <w:sz w:val="20"/>
      <w:szCs w:val="20"/>
      <w:lang w:eastAsia="pl-PL"/>
    </w:rPr>
  </w:style>
  <w:style w:type="paragraph" w:styleId="Akapitzlist">
    <w:name w:val="List Paragraph"/>
    <w:basedOn w:val="Normalny"/>
    <w:uiPriority w:val="99"/>
    <w:qFormat/>
    <w:rsid w:val="001E26EC"/>
    <w:pPr>
      <w:spacing w:after="200" w:line="276" w:lineRule="auto"/>
      <w:ind w:left="720"/>
      <w:contextualSpacing/>
    </w:pPr>
    <w:rPr>
      <w:rFonts w:ascii="Calibri" w:hAnsi="Calibri" w:cs="Calibri"/>
      <w:sz w:val="22"/>
      <w:szCs w:val="22"/>
      <w:lang w:eastAsia="en-US"/>
    </w:rPr>
  </w:style>
  <w:style w:type="paragraph" w:customStyle="1" w:styleId="Akapitzlist1">
    <w:name w:val="Akapit z listą1"/>
    <w:basedOn w:val="Normalny"/>
    <w:rsid w:val="001E26EC"/>
    <w:pPr>
      <w:spacing w:after="200" w:line="276" w:lineRule="auto"/>
      <w:ind w:left="720"/>
    </w:pPr>
    <w:rPr>
      <w:rFonts w:ascii="Calibri" w:hAnsi="Calibri" w:cs="Calibri"/>
      <w:sz w:val="22"/>
      <w:szCs w:val="22"/>
      <w:lang w:eastAsia="en-US"/>
    </w:rPr>
  </w:style>
  <w:style w:type="character" w:styleId="Hipercze">
    <w:name w:val="Hyperlink"/>
    <w:basedOn w:val="Domylnaczcionkaakapitu"/>
    <w:unhideWhenUsed/>
    <w:rsid w:val="001E26EC"/>
    <w:rPr>
      <w:color w:val="0000FF"/>
      <w:u w:val="single"/>
    </w:rPr>
  </w:style>
  <w:style w:type="paragraph" w:styleId="Tekstpodstawowy">
    <w:name w:val="Body Text"/>
    <w:basedOn w:val="Normalny"/>
    <w:link w:val="TekstpodstawowyZnak"/>
    <w:uiPriority w:val="99"/>
    <w:rsid w:val="002D190D"/>
    <w:pPr>
      <w:jc w:val="center"/>
    </w:pPr>
    <w:rPr>
      <w:rFonts w:ascii="Arial" w:hAnsi="Arial" w:cs="Arial"/>
      <w:b/>
      <w:bCs/>
      <w:smallCaps/>
      <w:sz w:val="26"/>
      <w:szCs w:val="26"/>
    </w:rPr>
  </w:style>
  <w:style w:type="character" w:customStyle="1" w:styleId="TekstpodstawowyZnak">
    <w:name w:val="Tekst podstawowy Znak"/>
    <w:basedOn w:val="Domylnaczcionkaakapitu"/>
    <w:link w:val="Tekstpodstawowy"/>
    <w:uiPriority w:val="99"/>
    <w:rsid w:val="002D190D"/>
    <w:rPr>
      <w:rFonts w:ascii="Arial" w:eastAsia="Times New Roman" w:hAnsi="Arial" w:cs="Arial"/>
      <w:b/>
      <w:bCs/>
      <w:smallCaps/>
      <w:sz w:val="26"/>
      <w:szCs w:val="26"/>
      <w:lang w:eastAsia="pl-PL"/>
    </w:rPr>
  </w:style>
  <w:style w:type="table" w:styleId="Tabela-Siatka">
    <w:name w:val="Table Grid"/>
    <w:basedOn w:val="Standardowy"/>
    <w:uiPriority w:val="59"/>
    <w:rsid w:val="002D19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2">
    <w:name w:val="Akapit z listą2"/>
    <w:basedOn w:val="Normalny"/>
    <w:rsid w:val="002D190D"/>
    <w:pPr>
      <w:spacing w:after="200" w:line="276" w:lineRule="auto"/>
      <w:ind w:left="720"/>
      <w:contextualSpacing/>
    </w:pPr>
    <w:rPr>
      <w:rFonts w:ascii="Calibri" w:hAnsi="Calibri" w:cs="Calibri"/>
      <w:sz w:val="22"/>
      <w:szCs w:val="22"/>
      <w:lang w:eastAsia="en-US"/>
    </w:rPr>
  </w:style>
  <w:style w:type="paragraph" w:customStyle="1" w:styleId="Heading71">
    <w:name w:val="Heading 71"/>
    <w:basedOn w:val="Normalny"/>
    <w:uiPriority w:val="1"/>
    <w:qFormat/>
    <w:rsid w:val="002D190D"/>
    <w:pPr>
      <w:widowControl w:val="0"/>
      <w:ind w:left="115"/>
      <w:outlineLvl w:val="7"/>
    </w:pPr>
    <w:rPr>
      <w:rFonts w:ascii="Century Gothic" w:eastAsia="Century Gothic" w:hAnsi="Century Gothic"/>
      <w:b/>
      <w:bCs/>
      <w:lang w:val="en-US" w:eastAsia="en-US"/>
    </w:rPr>
  </w:style>
  <w:style w:type="paragraph" w:customStyle="1" w:styleId="TableParagraph">
    <w:name w:val="Table Paragraph"/>
    <w:basedOn w:val="Normalny"/>
    <w:uiPriority w:val="1"/>
    <w:qFormat/>
    <w:rsid w:val="002D190D"/>
    <w:pPr>
      <w:widowControl w:val="0"/>
    </w:pPr>
    <w:rPr>
      <w:rFonts w:asciiTheme="minorHAnsi" w:eastAsiaTheme="minorHAnsi" w:hAnsiTheme="minorHAnsi" w:cstheme="minorBidi"/>
      <w:sz w:val="22"/>
      <w:szCs w:val="22"/>
      <w:lang w:val="en-US" w:eastAsia="en-US"/>
    </w:rPr>
  </w:style>
  <w:style w:type="paragraph" w:styleId="Tekstdymka">
    <w:name w:val="Balloon Text"/>
    <w:basedOn w:val="Normalny"/>
    <w:link w:val="TekstdymkaZnak"/>
    <w:uiPriority w:val="99"/>
    <w:semiHidden/>
    <w:unhideWhenUsed/>
    <w:rsid w:val="002D190D"/>
    <w:rPr>
      <w:rFonts w:ascii="Tahoma" w:hAnsi="Tahoma" w:cs="Tahoma"/>
      <w:sz w:val="16"/>
      <w:szCs w:val="16"/>
    </w:rPr>
  </w:style>
  <w:style w:type="character" w:customStyle="1" w:styleId="TekstdymkaZnak">
    <w:name w:val="Tekst dymka Znak"/>
    <w:basedOn w:val="Domylnaczcionkaakapitu"/>
    <w:link w:val="Tekstdymka"/>
    <w:uiPriority w:val="99"/>
    <w:semiHidden/>
    <w:rsid w:val="002D190D"/>
    <w:rPr>
      <w:rFonts w:ascii="Tahoma" w:eastAsia="Times New Roman" w:hAnsi="Tahoma" w:cs="Tahoma"/>
      <w:sz w:val="16"/>
      <w:szCs w:val="16"/>
      <w:lang w:eastAsia="pl-PL"/>
    </w:rPr>
  </w:style>
  <w:style w:type="paragraph" w:styleId="Tekstkomentarza">
    <w:name w:val="annotation text"/>
    <w:basedOn w:val="Normalny"/>
    <w:link w:val="TekstkomentarzaZnak"/>
    <w:uiPriority w:val="99"/>
    <w:semiHidden/>
    <w:unhideWhenUsed/>
    <w:rsid w:val="0032069C"/>
  </w:style>
  <w:style w:type="character" w:customStyle="1" w:styleId="TekstkomentarzaZnak">
    <w:name w:val="Tekst komentarza Znak"/>
    <w:basedOn w:val="Domylnaczcionkaakapitu"/>
    <w:link w:val="Tekstkomentarza"/>
    <w:uiPriority w:val="99"/>
    <w:semiHidden/>
    <w:rsid w:val="0032069C"/>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32069C"/>
    <w:rPr>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bottom w:w="851"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8" w:type="dxa"/>
        <w:right w:w="108" w:type="dxa"/>
      </w:tblCellMar>
    </w:tblPr>
  </w:style>
  <w:style w:type="paragraph" w:styleId="Poprawka">
    <w:name w:val="Revision"/>
    <w:hidden/>
    <w:uiPriority w:val="99"/>
    <w:semiHidden/>
    <w:rsid w:val="008F13A2"/>
  </w:style>
  <w:style w:type="paragraph" w:styleId="Tematkomentarza">
    <w:name w:val="annotation subject"/>
    <w:basedOn w:val="Tekstkomentarza"/>
    <w:next w:val="Tekstkomentarza"/>
    <w:link w:val="TematkomentarzaZnak"/>
    <w:uiPriority w:val="99"/>
    <w:semiHidden/>
    <w:unhideWhenUsed/>
    <w:rsid w:val="00C752A9"/>
    <w:rPr>
      <w:b/>
      <w:bCs/>
    </w:rPr>
  </w:style>
  <w:style w:type="character" w:customStyle="1" w:styleId="TematkomentarzaZnak">
    <w:name w:val="Temat komentarza Znak"/>
    <w:basedOn w:val="TekstkomentarzaZnak"/>
    <w:link w:val="Tematkomentarza"/>
    <w:uiPriority w:val="99"/>
    <w:semiHidden/>
    <w:rsid w:val="00C752A9"/>
    <w:rPr>
      <w:rFonts w:ascii="Times New Roman" w:eastAsia="Times New Roman" w:hAnsi="Times New Roman" w:cs="Times New Roman"/>
      <w:b/>
      <w:bCs/>
      <w:sz w:val="20"/>
      <w:szCs w:val="20"/>
      <w:lang w:eastAsia="pl-PL"/>
    </w:rPr>
  </w:style>
  <w:style w:type="paragraph" w:styleId="NormalnyWeb">
    <w:name w:val="Normal (Web)"/>
    <w:basedOn w:val="Normalny"/>
    <w:uiPriority w:val="99"/>
    <w:unhideWhenUsed/>
    <w:rsid w:val="00953CAA"/>
    <w:pPr>
      <w:spacing w:before="100" w:beforeAutospacing="1" w:after="100" w:afterAutospacing="1"/>
    </w:pPr>
    <w:rPr>
      <w:sz w:val="24"/>
      <w:szCs w:val="24"/>
    </w:rPr>
  </w:style>
  <w:style w:type="character" w:styleId="Nierozpoznanawzmianka">
    <w:name w:val="Unresolved Mention"/>
    <w:basedOn w:val="Domylnaczcionkaakapitu"/>
    <w:uiPriority w:val="99"/>
    <w:semiHidden/>
    <w:unhideWhenUsed/>
    <w:rsid w:val="00DC519A"/>
    <w:rPr>
      <w:color w:val="605E5C"/>
      <w:shd w:val="clear" w:color="auto" w:fill="E1DFDD"/>
    </w:rPr>
  </w:style>
  <w:style w:type="paragraph" w:styleId="Stopka">
    <w:name w:val="footer"/>
    <w:basedOn w:val="Normalny"/>
    <w:link w:val="StopkaZnak"/>
    <w:uiPriority w:val="99"/>
    <w:unhideWhenUsed/>
    <w:rsid w:val="00AE7AB3"/>
    <w:pPr>
      <w:tabs>
        <w:tab w:val="center" w:pos="4536"/>
        <w:tab w:val="right" w:pos="9072"/>
      </w:tabs>
    </w:pPr>
  </w:style>
  <w:style w:type="character" w:customStyle="1" w:styleId="StopkaZnak">
    <w:name w:val="Stopka Znak"/>
    <w:basedOn w:val="Domylnaczcionkaakapitu"/>
    <w:link w:val="Stopka"/>
    <w:uiPriority w:val="99"/>
    <w:rsid w:val="00AE7AB3"/>
  </w:style>
  <w:style w:type="paragraph" w:customStyle="1" w:styleId="Default">
    <w:name w:val="Default"/>
    <w:rsid w:val="0018139B"/>
    <w:pPr>
      <w:autoSpaceDE w:val="0"/>
      <w:autoSpaceDN w:val="0"/>
      <w:adjustRightInd w:val="0"/>
    </w:pPr>
    <w:rPr>
      <w:rFonts w:ascii="Calibri" w:eastAsiaTheme="minorHAnsi" w:hAnsi="Calibri" w:cs="Calibri"/>
      <w:color w:val="000000"/>
      <w:sz w:val="24"/>
      <w:szCs w:val="24"/>
      <w:lang w:val="en-US" w:eastAsia="en-US"/>
    </w:rPr>
  </w:style>
  <w:style w:type="character" w:customStyle="1" w:styleId="hgkelc">
    <w:name w:val="hgkelc"/>
    <w:basedOn w:val="Domylnaczcionkaakapitu"/>
    <w:rsid w:val="001D2FB1"/>
  </w:style>
  <w:style w:type="character" w:customStyle="1" w:styleId="apple-converted-space">
    <w:name w:val="apple-converted-space"/>
    <w:basedOn w:val="Domylnaczcionkaakapitu"/>
    <w:rsid w:val="001005D0"/>
  </w:style>
  <w:style w:type="character" w:styleId="UyteHipercze">
    <w:name w:val="FollowedHyperlink"/>
    <w:basedOn w:val="Domylnaczcionkaakapitu"/>
    <w:uiPriority w:val="99"/>
    <w:semiHidden/>
    <w:unhideWhenUsed/>
    <w:rsid w:val="00113B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0856">
      <w:bodyDiv w:val="1"/>
      <w:marLeft w:val="0"/>
      <w:marRight w:val="0"/>
      <w:marTop w:val="0"/>
      <w:marBottom w:val="0"/>
      <w:divBdr>
        <w:top w:val="none" w:sz="0" w:space="0" w:color="auto"/>
        <w:left w:val="none" w:sz="0" w:space="0" w:color="auto"/>
        <w:bottom w:val="none" w:sz="0" w:space="0" w:color="auto"/>
        <w:right w:val="none" w:sz="0" w:space="0" w:color="auto"/>
      </w:divBdr>
    </w:div>
    <w:div w:id="287008764">
      <w:bodyDiv w:val="1"/>
      <w:marLeft w:val="0"/>
      <w:marRight w:val="0"/>
      <w:marTop w:val="0"/>
      <w:marBottom w:val="0"/>
      <w:divBdr>
        <w:top w:val="none" w:sz="0" w:space="0" w:color="auto"/>
        <w:left w:val="none" w:sz="0" w:space="0" w:color="auto"/>
        <w:bottom w:val="none" w:sz="0" w:space="0" w:color="auto"/>
        <w:right w:val="none" w:sz="0" w:space="0" w:color="auto"/>
      </w:divBdr>
    </w:div>
    <w:div w:id="323172166">
      <w:bodyDiv w:val="1"/>
      <w:marLeft w:val="0"/>
      <w:marRight w:val="0"/>
      <w:marTop w:val="0"/>
      <w:marBottom w:val="0"/>
      <w:divBdr>
        <w:top w:val="none" w:sz="0" w:space="0" w:color="auto"/>
        <w:left w:val="none" w:sz="0" w:space="0" w:color="auto"/>
        <w:bottom w:val="none" w:sz="0" w:space="0" w:color="auto"/>
        <w:right w:val="none" w:sz="0" w:space="0" w:color="auto"/>
      </w:divBdr>
    </w:div>
    <w:div w:id="441539912">
      <w:bodyDiv w:val="1"/>
      <w:marLeft w:val="0"/>
      <w:marRight w:val="0"/>
      <w:marTop w:val="0"/>
      <w:marBottom w:val="0"/>
      <w:divBdr>
        <w:top w:val="none" w:sz="0" w:space="0" w:color="auto"/>
        <w:left w:val="none" w:sz="0" w:space="0" w:color="auto"/>
        <w:bottom w:val="none" w:sz="0" w:space="0" w:color="auto"/>
        <w:right w:val="none" w:sz="0" w:space="0" w:color="auto"/>
      </w:divBdr>
    </w:div>
    <w:div w:id="643660778">
      <w:bodyDiv w:val="1"/>
      <w:marLeft w:val="0"/>
      <w:marRight w:val="0"/>
      <w:marTop w:val="0"/>
      <w:marBottom w:val="0"/>
      <w:divBdr>
        <w:top w:val="none" w:sz="0" w:space="0" w:color="auto"/>
        <w:left w:val="none" w:sz="0" w:space="0" w:color="auto"/>
        <w:bottom w:val="none" w:sz="0" w:space="0" w:color="auto"/>
        <w:right w:val="none" w:sz="0" w:space="0" w:color="auto"/>
      </w:divBdr>
    </w:div>
    <w:div w:id="656764946">
      <w:bodyDiv w:val="1"/>
      <w:marLeft w:val="0"/>
      <w:marRight w:val="0"/>
      <w:marTop w:val="0"/>
      <w:marBottom w:val="0"/>
      <w:divBdr>
        <w:top w:val="none" w:sz="0" w:space="0" w:color="auto"/>
        <w:left w:val="none" w:sz="0" w:space="0" w:color="auto"/>
        <w:bottom w:val="none" w:sz="0" w:space="0" w:color="auto"/>
        <w:right w:val="none" w:sz="0" w:space="0" w:color="auto"/>
      </w:divBdr>
    </w:div>
    <w:div w:id="973758053">
      <w:bodyDiv w:val="1"/>
      <w:marLeft w:val="0"/>
      <w:marRight w:val="0"/>
      <w:marTop w:val="0"/>
      <w:marBottom w:val="0"/>
      <w:divBdr>
        <w:top w:val="none" w:sz="0" w:space="0" w:color="auto"/>
        <w:left w:val="none" w:sz="0" w:space="0" w:color="auto"/>
        <w:bottom w:val="none" w:sz="0" w:space="0" w:color="auto"/>
        <w:right w:val="none" w:sz="0" w:space="0" w:color="auto"/>
      </w:divBdr>
      <w:divsChild>
        <w:div w:id="324281281">
          <w:marLeft w:val="-278"/>
          <w:marRight w:val="0"/>
          <w:marTop w:val="0"/>
          <w:marBottom w:val="0"/>
          <w:divBdr>
            <w:top w:val="none" w:sz="0" w:space="0" w:color="auto"/>
            <w:left w:val="none" w:sz="0" w:space="0" w:color="auto"/>
            <w:bottom w:val="none" w:sz="0" w:space="0" w:color="auto"/>
            <w:right w:val="none" w:sz="0" w:space="0" w:color="auto"/>
          </w:divBdr>
        </w:div>
        <w:div w:id="157578740">
          <w:marLeft w:val="-108"/>
          <w:marRight w:val="0"/>
          <w:marTop w:val="0"/>
          <w:marBottom w:val="0"/>
          <w:divBdr>
            <w:top w:val="none" w:sz="0" w:space="0" w:color="auto"/>
            <w:left w:val="none" w:sz="0" w:space="0" w:color="auto"/>
            <w:bottom w:val="none" w:sz="0" w:space="0" w:color="auto"/>
            <w:right w:val="none" w:sz="0" w:space="0" w:color="auto"/>
          </w:divBdr>
        </w:div>
      </w:divsChild>
    </w:div>
    <w:div w:id="1068113289">
      <w:bodyDiv w:val="1"/>
      <w:marLeft w:val="0"/>
      <w:marRight w:val="0"/>
      <w:marTop w:val="0"/>
      <w:marBottom w:val="0"/>
      <w:divBdr>
        <w:top w:val="none" w:sz="0" w:space="0" w:color="auto"/>
        <w:left w:val="none" w:sz="0" w:space="0" w:color="auto"/>
        <w:bottom w:val="none" w:sz="0" w:space="0" w:color="auto"/>
        <w:right w:val="none" w:sz="0" w:space="0" w:color="auto"/>
      </w:divBdr>
    </w:div>
    <w:div w:id="1679110889">
      <w:bodyDiv w:val="1"/>
      <w:marLeft w:val="0"/>
      <w:marRight w:val="0"/>
      <w:marTop w:val="0"/>
      <w:marBottom w:val="0"/>
      <w:divBdr>
        <w:top w:val="none" w:sz="0" w:space="0" w:color="auto"/>
        <w:left w:val="none" w:sz="0" w:space="0" w:color="auto"/>
        <w:bottom w:val="none" w:sz="0" w:space="0" w:color="auto"/>
        <w:right w:val="none" w:sz="0" w:space="0" w:color="auto"/>
      </w:divBdr>
    </w:div>
    <w:div w:id="1790195365">
      <w:bodyDiv w:val="1"/>
      <w:marLeft w:val="0"/>
      <w:marRight w:val="0"/>
      <w:marTop w:val="0"/>
      <w:marBottom w:val="0"/>
      <w:divBdr>
        <w:top w:val="none" w:sz="0" w:space="0" w:color="auto"/>
        <w:left w:val="none" w:sz="0" w:space="0" w:color="auto"/>
        <w:bottom w:val="none" w:sz="0" w:space="0" w:color="auto"/>
        <w:right w:val="none" w:sz="0" w:space="0" w:color="auto"/>
      </w:divBdr>
    </w:div>
    <w:div w:id="2005932929">
      <w:bodyDiv w:val="1"/>
      <w:marLeft w:val="0"/>
      <w:marRight w:val="0"/>
      <w:marTop w:val="0"/>
      <w:marBottom w:val="0"/>
      <w:divBdr>
        <w:top w:val="none" w:sz="0" w:space="0" w:color="auto"/>
        <w:left w:val="none" w:sz="0" w:space="0" w:color="auto"/>
        <w:bottom w:val="none" w:sz="0" w:space="0" w:color="auto"/>
        <w:right w:val="none" w:sz="0" w:space="0" w:color="auto"/>
      </w:divBdr>
    </w:div>
    <w:div w:id="2051874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cpubenchmark.net/cpu_list.php"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eEdHSXA/9S061jo8dcfkQdXgKRw==">AMUW2mXqPgvsqKYnoyjZSRX6jjAFl2zdCSIEbNMYGc6XwiFzE7aAYnlud9qJpW+xrw4zGqudCPf6G1jHgKCdetGDU1g/65lvaWTCnJ/63BlE7YyDbZ6QPhI=</go:docsCustomData>
</go:gDocsCustomXmlDataStorage>
</file>

<file path=customXml/itemProps1.xml><?xml version="1.0" encoding="utf-8"?>
<ds:datastoreItem xmlns:ds="http://schemas.openxmlformats.org/officeDocument/2006/customXml" ds:itemID="{AC615E59-4818-42F4-884F-2833B1A93D4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2032</Words>
  <Characters>12198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Kudłaszyk</dc:creator>
  <cp:lastModifiedBy>Michał Strabużyński</cp:lastModifiedBy>
  <cp:revision>2</cp:revision>
  <cp:lastPrinted>2024-10-04T08:26:00Z</cp:lastPrinted>
  <dcterms:created xsi:type="dcterms:W3CDTF">2024-10-04T10:59:00Z</dcterms:created>
  <dcterms:modified xsi:type="dcterms:W3CDTF">2024-10-04T10:59:00Z</dcterms:modified>
</cp:coreProperties>
</file>