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9755D9" w:rsidRPr="009755D9" w:rsidRDefault="009755D9" w:rsidP="009755D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9755D9">
        <w:rPr>
          <w:rFonts w:asciiTheme="majorHAnsi" w:hAnsiTheme="majorHAnsi"/>
          <w:b/>
          <w:bCs/>
          <w:sz w:val="24"/>
          <w:szCs w:val="20"/>
        </w:rPr>
        <w:t>Gmina Złota</w:t>
      </w:r>
    </w:p>
    <w:p w:rsidR="009755D9" w:rsidRPr="009755D9" w:rsidRDefault="009755D9" w:rsidP="009755D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9755D9">
        <w:rPr>
          <w:rFonts w:asciiTheme="majorHAnsi" w:hAnsiTheme="majorHAnsi"/>
          <w:b/>
          <w:bCs/>
          <w:sz w:val="24"/>
          <w:szCs w:val="20"/>
        </w:rPr>
        <w:t>ul. Sienkiewicza 79</w:t>
      </w:r>
    </w:p>
    <w:p w:rsidR="00694DF2" w:rsidRPr="00694DF2" w:rsidRDefault="009755D9" w:rsidP="009755D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9755D9">
        <w:rPr>
          <w:rFonts w:asciiTheme="majorHAnsi" w:hAnsiTheme="majorHAnsi"/>
          <w:b/>
          <w:bCs/>
          <w:sz w:val="24"/>
          <w:szCs w:val="20"/>
        </w:rPr>
        <w:t>28-425 Złota</w:t>
      </w:r>
    </w:p>
    <w:p w:rsidR="0067131C" w:rsidRPr="00F442F4" w:rsidRDefault="0067131C" w:rsidP="00064C59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917425" w:rsidRPr="00917425">
        <w:rPr>
          <w:rFonts w:asciiTheme="majorHAnsi" w:hAnsiTheme="majorHAnsi"/>
          <w:b/>
          <w:sz w:val="20"/>
          <w:szCs w:val="20"/>
        </w:rPr>
        <w:t>Dostawa energi</w:t>
      </w:r>
      <w:r w:rsidR="00917425"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694DF2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9755D9">
        <w:rPr>
          <w:rFonts w:asciiTheme="majorHAnsi" w:hAnsiTheme="majorHAnsi"/>
          <w:b/>
          <w:bCs/>
          <w:sz w:val="20"/>
          <w:szCs w:val="20"/>
        </w:rPr>
        <w:t>Złota</w:t>
      </w:r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</w:p>
    <w:p w:rsidR="00354E64" w:rsidRPr="004976FD" w:rsidRDefault="00694DF2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24 miesiące</w:t>
      </w:r>
      <w:r w:rsidR="00064C59">
        <w:rPr>
          <w:rFonts w:asciiTheme="majorHAnsi" w:hAnsiTheme="majorHAnsi"/>
          <w:b/>
          <w:sz w:val="20"/>
          <w:szCs w:val="20"/>
        </w:rPr>
        <w:t xml:space="preserve">: </w:t>
      </w:r>
      <w:r w:rsidR="00DA6402">
        <w:rPr>
          <w:rFonts w:asciiTheme="majorHAnsi" w:hAnsiTheme="majorHAnsi" w:cstheme="minorHAnsi"/>
          <w:sz w:val="20"/>
          <w:szCs w:val="20"/>
        </w:rPr>
        <w:t xml:space="preserve"> od 1 stycznia 2025 roku do 31 grudnia 202</w:t>
      </w:r>
      <w:r>
        <w:rPr>
          <w:rFonts w:asciiTheme="majorHAnsi" w:hAnsiTheme="majorHAnsi" w:cstheme="minorHAnsi"/>
          <w:sz w:val="20"/>
          <w:szCs w:val="20"/>
        </w:rPr>
        <w:t>6</w:t>
      </w:r>
      <w:r w:rsidR="00354E64" w:rsidRPr="004976FD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354E64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3B2AA4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lastRenderedPageBreak/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Pr="002C79D5">
        <w:rPr>
          <w:rFonts w:asciiTheme="majorHAnsi" w:hAnsiTheme="majorHAnsi"/>
          <w:sz w:val="20"/>
          <w:szCs w:val="20"/>
        </w:rPr>
        <w:t xml:space="preserve">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54E64" w:rsidRDefault="00354E64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735F9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67131C" w:rsidRDefault="0067131C" w:rsidP="00735F9E">
      <w:pPr>
        <w:pStyle w:val="Akapitzlist"/>
        <w:numPr>
          <w:ilvl w:val="1"/>
          <w:numId w:val="1"/>
        </w:numPr>
        <w:tabs>
          <w:tab w:val="num" w:pos="0"/>
        </w:tabs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63A4B">
        <w:rPr>
          <w:rFonts w:asciiTheme="majorHAnsi" w:hAnsiTheme="majorHAnsi"/>
          <w:sz w:val="20"/>
          <w:szCs w:val="20"/>
        </w:rPr>
        <w:t>Oferujemy wykonanie zamówienia zgodnie z poniższym zestawieniem cenowym:</w:t>
      </w:r>
    </w:p>
    <w:p w:rsidR="00694DF2" w:rsidRDefault="00694DF2" w:rsidP="00694DF2">
      <w:pPr>
        <w:pStyle w:val="Akapitzlist"/>
        <w:autoSpaceDE w:val="0"/>
        <w:spacing w:after="0" w:line="240" w:lineRule="auto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tbl>
      <w:tblPr>
        <w:tblW w:w="106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134"/>
        <w:gridCol w:w="1276"/>
        <w:gridCol w:w="1277"/>
        <w:gridCol w:w="1133"/>
        <w:gridCol w:w="1414"/>
        <w:gridCol w:w="1418"/>
      </w:tblGrid>
      <w:tr w:rsidR="00694DF2" w:rsidRPr="00FC6442" w:rsidTr="00D01A19">
        <w:trPr>
          <w:trHeight w:val="5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252D2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252D22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875594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252D22">
              <w:rPr>
                <w:rFonts w:asciiTheme="majorHAnsi" w:hAnsiTheme="majorHAnsi"/>
                <w:sz w:val="16"/>
              </w:rPr>
              <w:t xml:space="preserve">Sprzedaż energii elektrycznej do </w:t>
            </w:r>
            <w:r>
              <w:rPr>
                <w:rFonts w:asciiTheme="majorHAnsi" w:hAnsiTheme="majorHAnsi"/>
                <w:sz w:val="16"/>
              </w:rPr>
              <w:t xml:space="preserve">PPE </w:t>
            </w:r>
            <w:r w:rsidRPr="00252D22">
              <w:rPr>
                <w:rFonts w:asciiTheme="majorHAnsi" w:hAnsiTheme="majorHAnsi"/>
                <w:sz w:val="16"/>
              </w:rPr>
              <w:t xml:space="preserve">wg grup taryfowych </w:t>
            </w:r>
            <w:r w:rsidRPr="00252D22">
              <w:rPr>
                <w:rFonts w:asciiTheme="majorHAnsi" w:hAnsiTheme="majorHAnsi"/>
                <w:sz w:val="16"/>
              </w:rPr>
              <w:br/>
              <w:t>oraz charakteru użytkowania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Szacunkowe zużycie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MWh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Cena jednostkowa netto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zł/MWh</w:t>
            </w:r>
          </w:p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(uśredniona)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oferty netto</w:t>
            </w:r>
          </w:p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DF2" w:rsidRPr="00252D22" w:rsidRDefault="00694DF2" w:rsidP="00D01A19">
            <w:pPr>
              <w:pStyle w:val="Nagwek1"/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Stawka podatku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w 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podat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k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u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F2" w:rsidRPr="00252D2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 xml:space="preserve">oferty 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brutto </w:t>
            </w:r>
            <w:r w:rsidRPr="00252D2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</w:tr>
      <w:tr w:rsidR="00694DF2" w:rsidRPr="00FC6442" w:rsidTr="00D01A19">
        <w:trPr>
          <w:trHeight w:val="4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FC6442" w:rsidRDefault="00694DF2" w:rsidP="00D01A19">
            <w:pPr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94DF2" w:rsidRPr="00FC644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4DF2" w:rsidRPr="00063A4B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063A4B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94DF2" w:rsidRPr="00FC644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94DF2" w:rsidRPr="00FC644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DF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DF2" w:rsidRPr="00FC644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F = D x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F2" w:rsidRPr="00FC6442" w:rsidRDefault="00694DF2" w:rsidP="00D01A19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G = D + F</w:t>
            </w:r>
          </w:p>
        </w:tc>
      </w:tr>
      <w:tr w:rsidR="00694DF2" w:rsidRPr="00FB2F94" w:rsidTr="00D01A19">
        <w:trPr>
          <w:trHeight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F2" w:rsidRPr="00FB2F94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354E64" w:rsidRDefault="00874652" w:rsidP="00D01A1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122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7A526A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94DF2" w:rsidRPr="007A526A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94DF2" w:rsidRPr="00FB2F94" w:rsidTr="00D01A19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FB2F94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</w:t>
            </w:r>
            <w:r w:rsidR="00874652">
              <w:rPr>
                <w:rFonts w:asciiTheme="majorHAnsi" w:hAnsiTheme="majorHAnsi"/>
                <w:sz w:val="16"/>
              </w:rPr>
              <w:t>x</w:t>
            </w:r>
            <w:proofErr w:type="spellEnd"/>
            <w:r w:rsidRPr="00DA6402">
              <w:rPr>
                <w:rFonts w:asciiTheme="majorHAnsi" w:hAnsiTheme="majorHAnsi"/>
                <w:sz w:val="16"/>
              </w:rPr>
              <w:t xml:space="preserve"> (wszystkie strefy)</w:t>
            </w:r>
          </w:p>
          <w:p w:rsidR="00694DF2" w:rsidRPr="00DA6402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354E64" w:rsidRDefault="00874652" w:rsidP="00D01A1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372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7A526A" w:rsidRDefault="00694DF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94DF2" w:rsidRPr="007A526A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FB2F94" w:rsidRDefault="00694DF2" w:rsidP="00D01A19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652" w:rsidRPr="00FB2F94" w:rsidTr="00D01A19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354E64" w:rsidRDefault="00874652" w:rsidP="00081BE6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122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7A526A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74652" w:rsidRPr="007A526A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652" w:rsidRPr="00FB2F94" w:rsidTr="00D01A19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Gxx</w:t>
            </w:r>
            <w:proofErr w:type="spellEnd"/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874652" w:rsidRPr="00DA6402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354E64" w:rsidRDefault="00874652" w:rsidP="00081BE6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372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874652">
              <w:rPr>
                <w:rFonts w:asciiTheme="majorHAnsi" w:hAnsiTheme="majorHAnsi" w:cs="Times New Roman"/>
                <w:b/>
                <w:sz w:val="16"/>
                <w:lang w:eastAsia="pl-PL"/>
              </w:rPr>
              <w:t>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7A526A" w:rsidRDefault="00874652" w:rsidP="00D01A19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74652" w:rsidRPr="007A526A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52" w:rsidRPr="00FB2F94" w:rsidRDefault="00874652" w:rsidP="00D01A19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94DF2" w:rsidRPr="00FC6442" w:rsidTr="00D01A19">
        <w:trPr>
          <w:trHeight w:hRule="exact" w:val="594"/>
        </w:trPr>
        <w:tc>
          <w:tcPr>
            <w:tcW w:w="92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DF2" w:rsidRPr="00875594" w:rsidRDefault="00694DF2" w:rsidP="00D01A1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6307AE"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Łącznie warto</w:t>
            </w:r>
            <w:r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F2" w:rsidRPr="00FC6442" w:rsidRDefault="00694DF2" w:rsidP="00D01A19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</w:p>
        </w:tc>
      </w:tr>
    </w:tbl>
    <w:p w:rsidR="00694DF2" w:rsidRPr="00694DF2" w:rsidRDefault="00694DF2" w:rsidP="00694DF2">
      <w:pPr>
        <w:pStyle w:val="Akapitzlist"/>
        <w:autoSpaceDE w:val="0"/>
        <w:spacing w:after="0" w:line="240" w:lineRule="auto"/>
        <w:jc w:val="center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694DF2">
        <w:rPr>
          <w:rFonts w:asciiTheme="majorHAnsi" w:hAnsiTheme="majorHAnsi"/>
          <w:kern w:val="2"/>
          <w:sz w:val="20"/>
          <w:szCs w:val="20"/>
          <w:lang w:eastAsia="hi-IN" w:bidi="hi-IN"/>
        </w:rPr>
        <w:t>Wartość oferty brutto należy przenieść do pkt 1.4.1. formularza oferty.</w:t>
      </w:r>
    </w:p>
    <w:p w:rsidR="00702582" w:rsidRDefault="00702582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694DF2" w:rsidRDefault="00694DF2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694DF2" w:rsidRDefault="00694DF2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354E64" w:rsidRPr="00672171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D</w:t>
      </w: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la potrzeb porównania Ofert należy: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przyjąć podstawową stawkę podatku VAT, tj. 23%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podatek akcyzowy w wysokości 5zł/MWh</w:t>
      </w:r>
    </w:p>
    <w:p w:rsidR="00354E64" w:rsidRDefault="00354E64" w:rsidP="00354E64">
      <w:pPr>
        <w:autoSpaceDE w:val="0"/>
        <w:spacing w:after="0" w:line="240" w:lineRule="auto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Rozliczenia za pobraną energię elektryczną dokonywane będą zgodnie z obowiązującymi w trakcie trwania Umowy stawkami podatków.</w:t>
      </w:r>
    </w:p>
    <w:p w:rsidR="00354E64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Oświadczamy, że wskazane w powyższym formularzu ceny obejmują wszystkie koszty związane z realizacją Przedmiotu zamówienia i nie ulegną zwiększeniu w okresie obowiązywania Umowy z wyjątkiem przypadków przewidzianych w </w:t>
      </w:r>
      <w:r w:rsidR="00A6267C">
        <w:rPr>
          <w:rFonts w:asciiTheme="majorHAnsi" w:hAnsiTheme="majorHAnsi"/>
          <w:kern w:val="2"/>
          <w:sz w:val="20"/>
          <w:szCs w:val="20"/>
          <w:lang w:eastAsia="hi-IN" w:bidi="hi-IN"/>
        </w:rPr>
        <w:t>SWZ</w:t>
      </w:r>
      <w:r w:rsidR="00735F9E">
        <w:rPr>
          <w:rFonts w:asciiTheme="majorHAnsi" w:hAnsiTheme="majorHAnsi"/>
          <w:kern w:val="2"/>
          <w:sz w:val="20"/>
          <w:szCs w:val="20"/>
          <w:lang w:eastAsia="hi-IN" w:bidi="hi-IN"/>
        </w:rPr>
        <w:t>.</w:t>
      </w:r>
    </w:p>
    <w:p w:rsidR="0067131C" w:rsidRPr="008B0A91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8B0A91">
        <w:rPr>
          <w:rFonts w:asciiTheme="majorHAnsi" w:hAnsiTheme="majorHAnsi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:rsidR="0067131C" w:rsidRPr="00063A4B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CF6D87" w:rsidRDefault="00CF6D87" w:rsidP="00CF6D87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F6D87" w:rsidRPr="00E06730" w:rsidRDefault="00CF6D87" w:rsidP="00CF6D87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CF6D87" w:rsidRPr="001E6C15" w:rsidTr="0096460E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D87" w:rsidRPr="002E7FC0" w:rsidRDefault="00CF6D87" w:rsidP="0096460E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87" w:rsidRPr="001E6C15" w:rsidRDefault="00CF6D87" w:rsidP="0096460E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CF6D87">
      <w:pPr>
        <w:spacing w:after="0" w:line="268" w:lineRule="auto"/>
        <w:jc w:val="both"/>
      </w:pPr>
    </w:p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4E" w:rsidRDefault="0051134E" w:rsidP="0067131C">
      <w:pPr>
        <w:spacing w:after="0" w:line="240" w:lineRule="auto"/>
      </w:pPr>
      <w:r>
        <w:separator/>
      </w:r>
    </w:p>
  </w:endnote>
  <w:endnote w:type="continuationSeparator" w:id="0">
    <w:p w:rsidR="0051134E" w:rsidRDefault="0051134E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4E" w:rsidRDefault="0051134E" w:rsidP="0067131C">
      <w:pPr>
        <w:spacing w:after="0" w:line="240" w:lineRule="auto"/>
      </w:pPr>
      <w:r>
        <w:separator/>
      </w:r>
    </w:p>
  </w:footnote>
  <w:footnote w:type="continuationSeparator" w:id="0">
    <w:p w:rsidR="0051134E" w:rsidRDefault="0051134E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64C59"/>
    <w:rsid w:val="00094B86"/>
    <w:rsid w:val="000B43C9"/>
    <w:rsid w:val="000E61E8"/>
    <w:rsid w:val="001851C9"/>
    <w:rsid w:val="00186677"/>
    <w:rsid w:val="0019483E"/>
    <w:rsid w:val="001B219D"/>
    <w:rsid w:val="001C52F5"/>
    <w:rsid w:val="002058F4"/>
    <w:rsid w:val="00214FB5"/>
    <w:rsid w:val="00215A97"/>
    <w:rsid w:val="0022159E"/>
    <w:rsid w:val="00241BF0"/>
    <w:rsid w:val="0028336E"/>
    <w:rsid w:val="0029254F"/>
    <w:rsid w:val="002C79D5"/>
    <w:rsid w:val="00345739"/>
    <w:rsid w:val="00354E64"/>
    <w:rsid w:val="003864AC"/>
    <w:rsid w:val="003B2AA4"/>
    <w:rsid w:val="003C4820"/>
    <w:rsid w:val="00400439"/>
    <w:rsid w:val="004109BE"/>
    <w:rsid w:val="00414F7E"/>
    <w:rsid w:val="0046398E"/>
    <w:rsid w:val="004924BD"/>
    <w:rsid w:val="004976FD"/>
    <w:rsid w:val="0051134E"/>
    <w:rsid w:val="00515CE7"/>
    <w:rsid w:val="0054606B"/>
    <w:rsid w:val="005A72E5"/>
    <w:rsid w:val="006179B1"/>
    <w:rsid w:val="00637A67"/>
    <w:rsid w:val="0066026F"/>
    <w:rsid w:val="0067131C"/>
    <w:rsid w:val="00672171"/>
    <w:rsid w:val="00694DF2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74652"/>
    <w:rsid w:val="00893B34"/>
    <w:rsid w:val="008B1CC0"/>
    <w:rsid w:val="008E26DB"/>
    <w:rsid w:val="008E51AA"/>
    <w:rsid w:val="008F196B"/>
    <w:rsid w:val="00917425"/>
    <w:rsid w:val="009755D9"/>
    <w:rsid w:val="009B416F"/>
    <w:rsid w:val="009E770A"/>
    <w:rsid w:val="009F5D95"/>
    <w:rsid w:val="00A163DD"/>
    <w:rsid w:val="00A6267C"/>
    <w:rsid w:val="00A75945"/>
    <w:rsid w:val="00AB5F90"/>
    <w:rsid w:val="00AD5504"/>
    <w:rsid w:val="00B34C92"/>
    <w:rsid w:val="00B400FD"/>
    <w:rsid w:val="00B61F27"/>
    <w:rsid w:val="00BC08F5"/>
    <w:rsid w:val="00BF04AD"/>
    <w:rsid w:val="00C32232"/>
    <w:rsid w:val="00C462FD"/>
    <w:rsid w:val="00C70835"/>
    <w:rsid w:val="00CC1CD6"/>
    <w:rsid w:val="00CD0142"/>
    <w:rsid w:val="00CF6D87"/>
    <w:rsid w:val="00CF7DB7"/>
    <w:rsid w:val="00D061EB"/>
    <w:rsid w:val="00D45537"/>
    <w:rsid w:val="00DA6402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E4862"/>
    <w:rsid w:val="00275D70"/>
    <w:rsid w:val="00280A72"/>
    <w:rsid w:val="002C5A0B"/>
    <w:rsid w:val="002E3580"/>
    <w:rsid w:val="003914FF"/>
    <w:rsid w:val="003A6D2B"/>
    <w:rsid w:val="003B0258"/>
    <w:rsid w:val="0041574F"/>
    <w:rsid w:val="004E400E"/>
    <w:rsid w:val="00512213"/>
    <w:rsid w:val="00516286"/>
    <w:rsid w:val="005D3D50"/>
    <w:rsid w:val="005F54EA"/>
    <w:rsid w:val="00674DF5"/>
    <w:rsid w:val="006E7993"/>
    <w:rsid w:val="00743080"/>
    <w:rsid w:val="0076458C"/>
    <w:rsid w:val="00797ABC"/>
    <w:rsid w:val="00827055"/>
    <w:rsid w:val="009107F6"/>
    <w:rsid w:val="009E0C03"/>
    <w:rsid w:val="00A319E1"/>
    <w:rsid w:val="00A326A2"/>
    <w:rsid w:val="00A64E26"/>
    <w:rsid w:val="00A86BBA"/>
    <w:rsid w:val="00B03BA2"/>
    <w:rsid w:val="00B43872"/>
    <w:rsid w:val="00BE7D06"/>
    <w:rsid w:val="00CD5BCC"/>
    <w:rsid w:val="00D262F6"/>
    <w:rsid w:val="00D505E0"/>
    <w:rsid w:val="00D62257"/>
    <w:rsid w:val="00DE3D98"/>
    <w:rsid w:val="00E9288A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852F-6E8C-45FE-99E9-05237628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1437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41</cp:revision>
  <dcterms:created xsi:type="dcterms:W3CDTF">2022-10-14T05:49:00Z</dcterms:created>
  <dcterms:modified xsi:type="dcterms:W3CDTF">2024-10-02T10:40:00Z</dcterms:modified>
</cp:coreProperties>
</file>