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51E79687" w:rsidR="000F6CE6" w:rsidRDefault="00B47DCB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  <w:r>
              <w:rPr>
                <w:b/>
                <w:sz w:val="6"/>
                <w:szCs w:val="6"/>
              </w:rPr>
              <w:t>m</w:t>
            </w:r>
          </w:p>
          <w:p w14:paraId="4CFE469B" w14:textId="77777777" w:rsidR="00B47DCB" w:rsidRPr="000F6CE6" w:rsidRDefault="00B47DCB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C5458E5" w14:textId="289355A6" w:rsidR="009E1376" w:rsidRDefault="009E1376" w:rsidP="008F7888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1A2B7626" w14:textId="020A778C" w:rsidR="008F7888" w:rsidRPr="00A9534C" w:rsidRDefault="008F7888" w:rsidP="008F7888">
            <w:pPr>
              <w:ind w:left="300" w:hanging="300"/>
              <w:jc w:val="both"/>
              <w:rPr>
                <w:b/>
                <w:bCs/>
                <w:i/>
                <w:iCs/>
              </w:rPr>
            </w:pPr>
          </w:p>
          <w:p w14:paraId="43154BC2" w14:textId="460E269D" w:rsidR="001A523E" w:rsidRPr="00272F23" w:rsidRDefault="001A523E" w:rsidP="001A523E">
            <w:pPr>
              <w:tabs>
                <w:tab w:val="left" w:pos="408"/>
              </w:tabs>
              <w:rPr>
                <w:b/>
                <w:color w:val="000000"/>
              </w:rPr>
            </w:pPr>
            <w:r w:rsidRPr="00272F23">
              <w:rPr>
                <w:b/>
              </w:rPr>
              <w:t xml:space="preserve">Dostawa mebli biurowych z montażem do PZDW </w:t>
            </w:r>
            <w:r>
              <w:rPr>
                <w:b/>
              </w:rPr>
              <w:t xml:space="preserve">oraz jednostek terenowych </w:t>
            </w:r>
            <w:r w:rsidR="007D12B3">
              <w:rPr>
                <w:b/>
              </w:rPr>
              <w:br/>
            </w:r>
            <w:r>
              <w:rPr>
                <w:b/>
              </w:rPr>
              <w:t>w 2024</w:t>
            </w:r>
            <w:r w:rsidR="005A1D7F">
              <w:rPr>
                <w:b/>
              </w:rPr>
              <w:t xml:space="preserve"> roku – 6 zadań</w:t>
            </w:r>
          </w:p>
          <w:p w14:paraId="6698F266" w14:textId="77777777" w:rsidR="00A9534C" w:rsidRPr="00A9534C" w:rsidRDefault="00A9534C" w:rsidP="009E1376">
            <w:pPr>
              <w:jc w:val="both"/>
              <w:rPr>
                <w:b/>
                <w:bCs/>
                <w:i/>
                <w:iCs/>
              </w:rPr>
            </w:pP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28FE904D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>Z uwagi na możliwość wpisania ograniczonej liczby znaków w platformie 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7CE25C83" w14:textId="642DA48A" w:rsidR="001A523E" w:rsidRPr="00272F23" w:rsidRDefault="001A523E" w:rsidP="001A523E">
            <w:pPr>
              <w:tabs>
                <w:tab w:val="left" w:pos="408"/>
              </w:tabs>
              <w:rPr>
                <w:b/>
                <w:color w:val="000000"/>
              </w:rPr>
            </w:pPr>
            <w:r w:rsidRPr="00272F23">
              <w:rPr>
                <w:b/>
              </w:rPr>
              <w:t>Dostawa mebli biur</w:t>
            </w:r>
            <w:r w:rsidR="005A1D7F">
              <w:rPr>
                <w:b/>
              </w:rPr>
              <w:t>owych z montażem do PZDW</w:t>
            </w:r>
            <w:r>
              <w:rPr>
                <w:b/>
              </w:rPr>
              <w:t xml:space="preserve"> oraz jednostek terenowych </w:t>
            </w:r>
            <w:r w:rsidR="007D12B3">
              <w:rPr>
                <w:b/>
              </w:rPr>
              <w:br/>
            </w:r>
            <w:r>
              <w:rPr>
                <w:b/>
              </w:rPr>
              <w:t>w 2024</w:t>
            </w:r>
            <w:r w:rsidR="00746F06">
              <w:rPr>
                <w:b/>
              </w:rPr>
              <w:t xml:space="preserve"> roku – 6 zadań </w:t>
            </w:r>
          </w:p>
          <w:p w14:paraId="432EC29A" w14:textId="576B6BAE" w:rsidR="002324FD" w:rsidRDefault="002324FD" w:rsidP="002324FD">
            <w:pPr>
              <w:spacing w:beforeLines="60" w:before="144" w:afterLines="60" w:after="144"/>
            </w:pPr>
            <w:r>
              <w:t>Przedmiotem niniejszego  zamówienia jest</w:t>
            </w:r>
            <w:r w:rsidR="001A523E">
              <w:t xml:space="preserve"> dostawa mebli biurowych z montażem do PZDW w Rzeszowie oraz jednostek terenowych. Dostarczone meble muszą</w:t>
            </w:r>
            <w:r>
              <w:t xml:space="preserve"> </w:t>
            </w:r>
            <w:r w:rsidR="001A523E">
              <w:t xml:space="preserve">spełniać </w:t>
            </w:r>
            <w:r>
              <w:t>minimalne wy</w:t>
            </w:r>
            <w:r w:rsidR="001A523E">
              <w:t>magania skonkretyzowane w OPZ.</w:t>
            </w:r>
          </w:p>
          <w:p w14:paraId="1AE01589" w14:textId="4A84D008" w:rsidR="001A523E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72F23">
              <w:rPr>
                <w:b/>
              </w:rPr>
              <w:t>Dostawa mebl</w:t>
            </w:r>
            <w:r w:rsidR="00746F06">
              <w:rPr>
                <w:b/>
              </w:rPr>
              <w:t>i biurowych z montażem do PZDW</w:t>
            </w:r>
            <w:r>
              <w:rPr>
                <w:b/>
              </w:rPr>
              <w:t xml:space="preserve"> oraz jednostek terenowych </w:t>
            </w:r>
            <w:r w:rsidR="007D12B3">
              <w:rPr>
                <w:b/>
              </w:rPr>
              <w:br/>
            </w:r>
            <w:r>
              <w:rPr>
                <w:b/>
              </w:rPr>
              <w:t>w 2024</w:t>
            </w:r>
            <w:r w:rsidRPr="00272F23">
              <w:rPr>
                <w:b/>
              </w:rPr>
              <w:t xml:space="preserve"> roku. </w:t>
            </w:r>
          </w:p>
          <w:p w14:paraId="0BFFEE31" w14:textId="77777777" w:rsidR="00B81C7B" w:rsidRDefault="00B81C7B" w:rsidP="001A523E">
            <w:pPr>
              <w:tabs>
                <w:tab w:val="left" w:pos="408"/>
              </w:tabs>
              <w:rPr>
                <w:b/>
              </w:rPr>
            </w:pPr>
          </w:p>
          <w:p w14:paraId="0820E498" w14:textId="2C136278" w:rsidR="001A523E" w:rsidRPr="002D47AC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>Lokalizacje dostawy i montażu:</w:t>
            </w:r>
          </w:p>
          <w:p w14:paraId="7EB56FF4" w14:textId="5488FF58" w:rsidR="001A523E" w:rsidRPr="002D47AC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 xml:space="preserve">PZDW Rzeszów </w:t>
            </w:r>
            <w:r w:rsidR="00746F06" w:rsidRPr="002D47AC">
              <w:rPr>
                <w:b/>
              </w:rPr>
              <w:t xml:space="preserve">– zadanie 1 </w:t>
            </w:r>
          </w:p>
          <w:p w14:paraId="086189FA" w14:textId="2A30654D" w:rsidR="001A523E" w:rsidRPr="002D47AC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>RDW Mielec</w:t>
            </w:r>
            <w:r w:rsidR="00746F06" w:rsidRPr="002D47AC">
              <w:rPr>
                <w:b/>
              </w:rPr>
              <w:t xml:space="preserve"> – zadanie 2</w:t>
            </w:r>
          </w:p>
          <w:p w14:paraId="2B0B7E46" w14:textId="6A521571" w:rsidR="00687D2D" w:rsidRPr="002D47AC" w:rsidRDefault="00687D2D" w:rsidP="00687D2D">
            <w:pPr>
              <w:tabs>
                <w:tab w:val="left" w:pos="408"/>
              </w:tabs>
              <w:rPr>
                <w:b/>
                <w:color w:val="000000"/>
              </w:rPr>
            </w:pPr>
            <w:r w:rsidRPr="002D47AC">
              <w:rPr>
                <w:b/>
              </w:rPr>
              <w:t xml:space="preserve">RDW Ustrzyki </w:t>
            </w:r>
            <w:r w:rsidR="006B796E" w:rsidRPr="002D47AC">
              <w:rPr>
                <w:b/>
              </w:rPr>
              <w:t xml:space="preserve">Dolne </w:t>
            </w:r>
            <w:r w:rsidRPr="002D47AC">
              <w:rPr>
                <w:b/>
              </w:rPr>
              <w:t>– zadanie 3</w:t>
            </w:r>
          </w:p>
          <w:p w14:paraId="2536313C" w14:textId="4D79FA84" w:rsidR="00687D2D" w:rsidRPr="002D47AC" w:rsidRDefault="00687D2D" w:rsidP="00687D2D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>RDW Jasło – zadanie 4</w:t>
            </w:r>
          </w:p>
          <w:p w14:paraId="4A5B3349" w14:textId="384B4D03" w:rsidR="001A523E" w:rsidRPr="002D47AC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>RDW Rymanów</w:t>
            </w:r>
            <w:r w:rsidR="00746F06" w:rsidRPr="002D47AC">
              <w:rPr>
                <w:b/>
              </w:rPr>
              <w:t xml:space="preserve"> – zadanie </w:t>
            </w:r>
            <w:r w:rsidR="00687D2D" w:rsidRPr="002D47AC">
              <w:rPr>
                <w:b/>
              </w:rPr>
              <w:t>5</w:t>
            </w:r>
          </w:p>
          <w:p w14:paraId="4B192271" w14:textId="202E324C" w:rsidR="001A523E" w:rsidRDefault="001A523E" w:rsidP="001A523E">
            <w:pPr>
              <w:tabs>
                <w:tab w:val="left" w:pos="408"/>
              </w:tabs>
              <w:rPr>
                <w:b/>
              </w:rPr>
            </w:pPr>
            <w:r w:rsidRPr="002D47AC">
              <w:rPr>
                <w:b/>
              </w:rPr>
              <w:t>RDW Łańcut</w:t>
            </w:r>
            <w:r w:rsidR="00746F06" w:rsidRPr="002D47AC">
              <w:rPr>
                <w:b/>
              </w:rPr>
              <w:t xml:space="preserve"> – zadanie </w:t>
            </w:r>
            <w:r w:rsidR="006B796E" w:rsidRPr="002D47AC">
              <w:rPr>
                <w:b/>
              </w:rPr>
              <w:t>6</w:t>
            </w:r>
          </w:p>
          <w:p w14:paraId="2130F7F8" w14:textId="77777777" w:rsidR="009E1376" w:rsidRPr="00A639C4" w:rsidRDefault="009E1376" w:rsidP="006B796E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2BEBC4B2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2EE4B186" w14:textId="77777777" w:rsidR="000C7E50" w:rsidRDefault="00000000" w:rsidP="001A523E">
            <w:pPr>
              <w:tabs>
                <w:tab w:val="left" w:pos="408"/>
              </w:tabs>
              <w:jc w:val="both"/>
              <w:rPr>
                <w:b/>
              </w:rPr>
            </w:pPr>
            <w:hyperlink r:id="rId8" w:history="1">
              <w:r w:rsidR="001A523E" w:rsidRPr="00272F23">
                <w:rPr>
                  <w:b/>
                </w:rPr>
                <w:t>39000000-2</w:t>
              </w:r>
            </w:hyperlink>
            <w:r w:rsidR="001A523E" w:rsidRPr="00272F23">
              <w:rPr>
                <w:b/>
              </w:rPr>
              <w:t xml:space="preserve"> Meble (włącznie z biurowymi), wyposażenie, urządzenia domowe </w:t>
            </w:r>
          </w:p>
          <w:p w14:paraId="47A75420" w14:textId="7A6C7C2D" w:rsidR="001A523E" w:rsidRDefault="001A523E" w:rsidP="001A523E">
            <w:pPr>
              <w:tabs>
                <w:tab w:val="left" w:pos="408"/>
              </w:tabs>
              <w:jc w:val="both"/>
              <w:rPr>
                <w:b/>
              </w:rPr>
            </w:pPr>
            <w:r w:rsidRPr="00272F23">
              <w:rPr>
                <w:b/>
              </w:rPr>
              <w:t>(z wyłączeniem oświetlenia) i środki czyszczące</w:t>
            </w:r>
          </w:p>
          <w:p w14:paraId="79532F01" w14:textId="77777777" w:rsidR="001A523E" w:rsidRPr="00272F23" w:rsidRDefault="001A523E" w:rsidP="001A523E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35CBC523" w14:textId="538C47B2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026EAC4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  <w:p w14:paraId="65DE15FD" w14:textId="700D7147" w:rsidR="000C7E50" w:rsidRDefault="009E1376" w:rsidP="000C7E50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  <w:r w:rsidR="00EA37E4">
              <w:t xml:space="preserve"> </w:t>
            </w:r>
          </w:p>
          <w:p w14:paraId="57EA5771" w14:textId="470A013B" w:rsidR="009E1376" w:rsidRPr="00A639C4" w:rsidRDefault="009E1376" w:rsidP="000C7E50">
            <w:pPr>
              <w:pStyle w:val="Akapitzlist"/>
              <w:numPr>
                <w:ilvl w:val="0"/>
                <w:numId w:val="33"/>
              </w:numPr>
              <w:tabs>
                <w:tab w:val="left" w:pos="408"/>
              </w:tabs>
              <w:jc w:val="both"/>
            </w:pPr>
            <w:r w:rsidRPr="00A639C4">
              <w:t>Szczegółowym opisem przedmiotu zamówienia</w:t>
            </w:r>
          </w:p>
          <w:p w14:paraId="5429799E" w14:textId="77777777" w:rsidR="009E1376" w:rsidRPr="000C7E50" w:rsidRDefault="009E1376" w:rsidP="00982C9A">
            <w:pPr>
              <w:pStyle w:val="Akapitzlist"/>
              <w:numPr>
                <w:ilvl w:val="0"/>
                <w:numId w:val="6"/>
              </w:numPr>
              <w:tabs>
                <w:tab w:val="left" w:pos="408"/>
              </w:tabs>
              <w:jc w:val="both"/>
            </w:pPr>
            <w:r w:rsidRPr="000C7E50">
              <w:t>projektowanymi postanowieniami umowy w sprawie zamówienia publicznego</w:t>
            </w:r>
          </w:p>
          <w:p w14:paraId="6F5C1478" w14:textId="593A9ACA" w:rsidR="0006539D" w:rsidRPr="002D47AC" w:rsidRDefault="009E1376" w:rsidP="0006539D">
            <w:pPr>
              <w:numPr>
                <w:ilvl w:val="0"/>
                <w:numId w:val="6"/>
              </w:numPr>
              <w:jc w:val="both"/>
            </w:pPr>
            <w:r w:rsidRPr="00551FC6">
              <w:t>Formularz</w:t>
            </w:r>
            <w:r w:rsidR="000C7E50">
              <w:t>ami</w:t>
            </w:r>
            <w:r w:rsidRPr="00551FC6">
              <w:t xml:space="preserve"> cenowym</w:t>
            </w:r>
            <w:r w:rsidR="000C7E50">
              <w:t xml:space="preserve">i </w:t>
            </w:r>
            <w:r w:rsidRPr="00551FC6">
              <w:t>( FC)</w:t>
            </w:r>
          </w:p>
        </w:tc>
      </w:tr>
      <w:tr w:rsidR="009E1376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B44C368" w14:textId="77777777" w:rsidR="009E1376" w:rsidRPr="00A639C4" w:rsidRDefault="009E1376" w:rsidP="009E1376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</w:p>
          <w:p w14:paraId="57554596" w14:textId="13F5D0B1" w:rsidR="009E1376" w:rsidRPr="000C7E50" w:rsidRDefault="00385D98" w:rsidP="00FB19A9">
            <w:pPr>
              <w:pStyle w:val="Grundausstatt"/>
              <w:spacing w:beforeLines="60" w:before="144" w:afterLines="60" w:after="144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E50">
              <w:rPr>
                <w:rFonts w:ascii="Arial" w:hAnsi="Arial" w:cs="Arial"/>
                <w:b/>
                <w:bCs/>
                <w:sz w:val="20"/>
                <w:szCs w:val="20"/>
              </w:rPr>
              <w:t>Gwarancja</w:t>
            </w:r>
            <w:r w:rsidRPr="000C7E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C7E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rękojmia </w:t>
            </w:r>
            <w:r w:rsidRPr="000C7E50">
              <w:rPr>
                <w:rFonts w:ascii="Arial" w:hAnsi="Arial" w:cs="Arial"/>
                <w:bCs/>
                <w:sz w:val="20"/>
                <w:szCs w:val="20"/>
              </w:rPr>
              <w:t>na dostarczon</w:t>
            </w:r>
            <w:r w:rsidR="000C7E50" w:rsidRPr="000C7E50">
              <w:rPr>
                <w:rFonts w:ascii="Arial" w:hAnsi="Arial" w:cs="Arial"/>
                <w:bCs/>
                <w:sz w:val="20"/>
                <w:szCs w:val="20"/>
              </w:rPr>
              <w:t>e meble</w:t>
            </w:r>
            <w:r w:rsidR="00A55802" w:rsidRPr="000C7E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51FC6" w:rsidRPr="000C7E50">
              <w:rPr>
                <w:rFonts w:ascii="Arial" w:hAnsi="Arial" w:cs="Arial"/>
                <w:b/>
                <w:bCs/>
                <w:sz w:val="20"/>
                <w:szCs w:val="20"/>
              </w:rPr>
              <w:t>min. 24</w:t>
            </w:r>
            <w:r w:rsidRPr="000C7E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m-ce </w:t>
            </w:r>
            <w:r w:rsidRPr="000C7E50">
              <w:rPr>
                <w:rFonts w:ascii="Arial" w:hAnsi="Arial" w:cs="Arial"/>
                <w:bCs/>
                <w:sz w:val="20"/>
                <w:szCs w:val="20"/>
              </w:rPr>
              <w:t xml:space="preserve">liczone od dnia </w:t>
            </w:r>
            <w:r w:rsidRPr="000C7E5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podpisania przez przedstawicieli stron protokołu odbioru. </w:t>
            </w: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D19116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22B7ADAB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B8E4731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20F80362" w14:textId="607CDD9B" w:rsidR="0006539D" w:rsidRPr="00A639C4" w:rsidRDefault="0006539D" w:rsidP="000C7E50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072742F5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 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1BEB272" w14:textId="0840671B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 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>Zamawiający od dnia 1 stycznia 2022 r. wykonuje, zleca lub powierza wykonywanie zadań publicznych, podmiotom, których łączny udział pojazdów elektrycznych lub pojazdów napędzanych gazem ziemnym we flocie pojazdów samochodowych w rozumieniu art. 2 pkt 33 ustawy z dnia 20 czerwca 1997 r. - Prawo o ruchu drogowym używanych przy wykonywaniu tego zadania będzie wynosił co najmniej 10%</w:t>
            </w:r>
          </w:p>
          <w:p w14:paraId="5BD06759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</w:p>
          <w:p w14:paraId="6519BA6A" w14:textId="7867A3C9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przy wykonywaniu przedmiotowego zamówienia w sposób zgodny z art. 68 ust. 3 ustawy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52FCE5D3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35 ust. 2 pkt 1,</w:t>
            </w:r>
            <w:r w:rsidR="000C7E50">
              <w:rPr>
                <w:color w:val="000000"/>
              </w:rPr>
              <w:t xml:space="preserve"> </w:t>
            </w:r>
            <w:r w:rsidR="009E1376" w:rsidRPr="00A639C4">
              <w:rPr>
                <w:color w:val="000000"/>
              </w:rPr>
              <w:t xml:space="preserve">art. 36 a, art. 68 ust. 3 , art. 76 Ustawy z dnia 11 stycznia 2018 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53875BB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 r. o samorządzie województwa</w:t>
            </w:r>
          </w:p>
          <w:p w14:paraId="5F29827D" w14:textId="0AD605AD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 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0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0"/>
          </w:p>
          <w:p w14:paraId="70E7627B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C044D92" w14:textId="77777777" w:rsidR="00A639C4" w:rsidRPr="00A639C4" w:rsidRDefault="00A639C4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FDDE85E" w14:textId="4CB2AC7F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Organizacja ruchu: </w:t>
            </w:r>
            <w:r w:rsidR="000C7E50">
              <w:rPr>
                <w:b/>
                <w:bCs/>
              </w:rPr>
              <w:t>nie dotyczy</w:t>
            </w:r>
          </w:p>
          <w:p w14:paraId="1332AF73" w14:textId="77777777" w:rsidR="009E1376" w:rsidRPr="00A639C4" w:rsidRDefault="009E1376" w:rsidP="000C7E50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5CC6A1C3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</w:p>
          <w:p w14:paraId="4B3890CD" w14:textId="77B9EEA8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2B7841F9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wraz z załącznikami towarzyszy zwrot: „lub równoważne”.</w:t>
            </w:r>
          </w:p>
          <w:p w14:paraId="4845AE79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</w:t>
            </w:r>
            <w:r w:rsidRPr="00A639C4">
              <w:rPr>
                <w:color w:val="000000"/>
              </w:rPr>
              <w:lastRenderedPageBreak/>
              <w:t xml:space="preserve">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34433731" w14:textId="77777777" w:rsidR="00E7249E" w:rsidRDefault="00E7249E" w:rsidP="009E1376">
            <w:pPr>
              <w:tabs>
                <w:tab w:val="left" w:pos="408"/>
              </w:tabs>
              <w:jc w:val="both"/>
              <w:rPr>
                <w:color w:val="000000"/>
              </w:rPr>
            </w:pPr>
          </w:p>
          <w:p w14:paraId="2C2B886A" w14:textId="7B903851" w:rsidR="00E7249E" w:rsidRPr="00A639C4" w:rsidRDefault="00E7249E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0FD6B842" w14:textId="1920F240" w:rsidR="00265C7D" w:rsidRDefault="00265C7D" w:rsidP="00982C9A">
            <w:pPr>
              <w:pStyle w:val="Akapitzlist"/>
              <w:numPr>
                <w:ilvl w:val="0"/>
                <w:numId w:val="15"/>
              </w:numPr>
              <w:spacing w:before="80" w:after="80"/>
              <w:jc w:val="both"/>
            </w:pPr>
            <w:r>
              <w:t xml:space="preserve">cena </w:t>
            </w:r>
          </w:p>
          <w:p w14:paraId="72739266" w14:textId="00B890EC" w:rsidR="00265C7D" w:rsidRPr="00265C7D" w:rsidRDefault="00265C7D" w:rsidP="000C7E50">
            <w:pPr>
              <w:pStyle w:val="Akapitzlist"/>
              <w:spacing w:before="80" w:after="80"/>
              <w:ind w:left="720"/>
              <w:jc w:val="both"/>
              <w:rPr>
                <w:b/>
                <w:bCs/>
              </w:rPr>
            </w:pP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B63EB13" w14:textId="7EB1F052" w:rsidR="0006539D" w:rsidRPr="00BE55DA" w:rsidRDefault="0006539D" w:rsidP="0006539D">
            <w:pPr>
              <w:jc w:val="both"/>
            </w:pPr>
            <w:r w:rsidRPr="00BE55DA">
              <w:t xml:space="preserve">Zamawiający </w:t>
            </w:r>
            <w:r w:rsidRPr="00BE55DA">
              <w:rPr>
                <w:b/>
                <w:bCs/>
              </w:rPr>
              <w:t>nie przewiduje</w:t>
            </w:r>
            <w:r w:rsidRPr="00BE55DA">
              <w:t xml:space="preserve"> możliwości skorzystania z „prawa opcji” </w:t>
            </w:r>
            <w:r w:rsidR="00A639C4" w:rsidRPr="00BE55DA">
              <w:br/>
            </w:r>
            <w:r w:rsidRPr="00BE55DA">
              <w:t xml:space="preserve">tzn. dodatkowych robót budowlanych, dostaw i usług </w:t>
            </w:r>
            <w:bookmarkStart w:id="2" w:name="_Hlk123634413"/>
          </w:p>
          <w:p w14:paraId="533E10C4" w14:textId="77777777" w:rsidR="0006539D" w:rsidRPr="00A639C4" w:rsidRDefault="0006539D" w:rsidP="0006539D">
            <w:pPr>
              <w:jc w:val="both"/>
            </w:pPr>
          </w:p>
          <w:bookmarkEnd w:id="2"/>
          <w:p w14:paraId="3B96E6F9" w14:textId="08EDC47C" w:rsidR="0006539D" w:rsidRPr="00BE55DA" w:rsidRDefault="0006539D" w:rsidP="00BE55DA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</w:rPr>
            </w:pPr>
          </w:p>
        </w:tc>
      </w:tr>
      <w:bookmarkEnd w:id="1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7E68364" w14:textId="1FDD83F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546463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620E1826" w14:textId="18B47DE0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t xml:space="preserve"> zatrudnienia </w:t>
            </w:r>
            <w:r w:rsidRPr="00A639C4">
              <w:rPr>
                <w:bCs/>
              </w:rPr>
              <w:t>na podstawie stosunku pracy.</w:t>
            </w:r>
          </w:p>
          <w:p w14:paraId="51C14524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51B67B5A" w14:textId="77777777" w:rsidR="009E1376" w:rsidRPr="00A639C4" w:rsidRDefault="009E1376" w:rsidP="00BE55DA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F4A2031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789DB2F4" w14:textId="77777777" w:rsidR="009E1376" w:rsidRPr="00746F06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  <w:r w:rsidRPr="00746F06">
              <w:rPr>
                <w:bCs/>
              </w:rPr>
              <w:t>Zamawiający</w:t>
            </w:r>
            <w:r w:rsidRPr="00746F06">
              <w:rPr>
                <w:bCs/>
                <w:u w:val="single"/>
              </w:rPr>
              <w:t xml:space="preserve"> </w:t>
            </w:r>
            <w:r w:rsidRPr="00746F06">
              <w:rPr>
                <w:b/>
                <w:bCs/>
                <w:u w:val="single"/>
              </w:rPr>
              <w:t>dopuszcza</w:t>
            </w:r>
            <w:r w:rsidRPr="00746F06">
              <w:rPr>
                <w:b/>
                <w:bCs/>
              </w:rPr>
              <w:t xml:space="preserve"> </w:t>
            </w:r>
            <w:r w:rsidRPr="00746F06">
              <w:rPr>
                <w:bCs/>
              </w:rPr>
              <w:t xml:space="preserve">składanie ofert częściowych </w:t>
            </w:r>
          </w:p>
          <w:p w14:paraId="54E744BC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FF0000"/>
              </w:rPr>
            </w:pPr>
          </w:p>
          <w:p w14:paraId="238BF7EB" w14:textId="544E41C1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Opis części zamówienia</w:t>
            </w:r>
            <w:r>
              <w:rPr>
                <w:b/>
                <w:bCs/>
              </w:rPr>
              <w:t>:</w:t>
            </w:r>
          </w:p>
          <w:p w14:paraId="4BB2CA90" w14:textId="2537A33A" w:rsidR="00C623D0" w:rsidRPr="009B3CC8" w:rsidRDefault="00C623D0" w:rsidP="00C623D0">
            <w:pPr>
              <w:tabs>
                <w:tab w:val="left" w:pos="408"/>
              </w:tabs>
              <w:jc w:val="both"/>
              <w:rPr>
                <w:b/>
              </w:rPr>
            </w:pPr>
            <w:r w:rsidRPr="009B3CC8">
              <w:rPr>
                <w:b/>
              </w:rPr>
              <w:t>Część 1 – Zadanie 1 PZDW Rzeszów</w:t>
            </w:r>
          </w:p>
          <w:p w14:paraId="2511C823" w14:textId="089F91B5" w:rsidR="00C623D0" w:rsidRPr="009B3CC8" w:rsidRDefault="00C623D0" w:rsidP="00C623D0">
            <w:pPr>
              <w:tabs>
                <w:tab w:val="left" w:pos="408"/>
              </w:tabs>
              <w:jc w:val="both"/>
              <w:rPr>
                <w:b/>
              </w:rPr>
            </w:pPr>
            <w:r w:rsidRPr="009B3CC8">
              <w:rPr>
                <w:b/>
              </w:rPr>
              <w:t>Część 2 – Zadanie 2 RDW Mielec</w:t>
            </w:r>
          </w:p>
          <w:p w14:paraId="3B1FE2D7" w14:textId="233274BF" w:rsidR="00C623D0" w:rsidRPr="009B3CC8" w:rsidRDefault="00C623D0" w:rsidP="00C623D0">
            <w:pPr>
              <w:tabs>
                <w:tab w:val="left" w:pos="408"/>
              </w:tabs>
              <w:jc w:val="both"/>
              <w:rPr>
                <w:b/>
              </w:rPr>
            </w:pPr>
            <w:r w:rsidRPr="009B3CC8">
              <w:rPr>
                <w:b/>
              </w:rPr>
              <w:t>Część 3 – Zadanie 3 RDW Ustrzyki Dolne</w:t>
            </w:r>
          </w:p>
          <w:p w14:paraId="209CF040" w14:textId="0D63A282" w:rsidR="00C623D0" w:rsidRPr="009B3CC8" w:rsidRDefault="00C623D0" w:rsidP="00C623D0">
            <w:pPr>
              <w:tabs>
                <w:tab w:val="left" w:pos="408"/>
              </w:tabs>
              <w:jc w:val="both"/>
              <w:rPr>
                <w:b/>
              </w:rPr>
            </w:pPr>
            <w:r w:rsidRPr="009B3CC8">
              <w:rPr>
                <w:b/>
              </w:rPr>
              <w:t>Część 4 – Zadanie 4 RDW Jasło</w:t>
            </w:r>
          </w:p>
          <w:p w14:paraId="3FB99181" w14:textId="2BE57A0C" w:rsidR="00C623D0" w:rsidRPr="009B3CC8" w:rsidRDefault="00C623D0" w:rsidP="00C623D0">
            <w:pPr>
              <w:tabs>
                <w:tab w:val="left" w:pos="408"/>
              </w:tabs>
              <w:jc w:val="both"/>
              <w:rPr>
                <w:b/>
              </w:rPr>
            </w:pPr>
            <w:r w:rsidRPr="009B3CC8">
              <w:rPr>
                <w:b/>
              </w:rPr>
              <w:t>Część 5 – Zadanie 5 RDW Rymanów</w:t>
            </w:r>
          </w:p>
          <w:p w14:paraId="4D0FDBED" w14:textId="03131C2C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Cs/>
              </w:rPr>
            </w:pPr>
            <w:r w:rsidRPr="009B3CC8">
              <w:rPr>
                <w:b/>
              </w:rPr>
              <w:t>Część 6 – Zadanie 6 RDW Łańcut</w:t>
            </w:r>
          </w:p>
          <w:p w14:paraId="5A4EEB12" w14:textId="77777777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09C4EB0F" w14:textId="77777777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627A561F" w14:textId="77777777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>Wykonawca może złożyć ofertę na jedno lub kilka zadań – części.</w:t>
            </w:r>
          </w:p>
          <w:p w14:paraId="0A46BB88" w14:textId="5BC7CD66" w:rsidR="00C623D0" w:rsidRPr="00A639C4" w:rsidRDefault="00C623D0" w:rsidP="00C623D0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 xml:space="preserve">Temu samemu wykonawcy może zostać udzielone zamówienie maksymalnie na </w:t>
            </w:r>
            <w:r>
              <w:rPr>
                <w:bCs/>
              </w:rPr>
              <w:t>6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Cs/>
              </w:rPr>
              <w:lastRenderedPageBreak/>
              <w:t>zada</w:t>
            </w:r>
            <w:r>
              <w:rPr>
                <w:bCs/>
              </w:rPr>
              <w:t>ń</w:t>
            </w:r>
            <w:r w:rsidRPr="00A639C4">
              <w:rPr>
                <w:bCs/>
              </w:rPr>
              <w:t xml:space="preserve"> – części. W związku z tym w przedmiotowym postepowaniu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267C9406" w14:textId="1447612E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09F3499D" w14:textId="77777777" w:rsidR="009E1376" w:rsidRPr="00A639C4" w:rsidRDefault="009E1376" w:rsidP="00BE55DA">
            <w:pPr>
              <w:ind w:firstLine="708"/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151BE3C" w14:textId="189227A0" w:rsidR="000B4FCC" w:rsidRPr="0096598F" w:rsidRDefault="009E1376" w:rsidP="009E1376">
            <w:pPr>
              <w:jc w:val="both"/>
            </w:pPr>
            <w:r w:rsidRPr="0096598F">
              <w:rPr>
                <w:rFonts w:eastAsiaTheme="minorHAnsi"/>
                <w:lang w:eastAsia="en-US"/>
              </w:rPr>
              <w:t xml:space="preserve">Zamawiający </w:t>
            </w:r>
            <w:r w:rsidRPr="0096598F">
              <w:rPr>
                <w:rFonts w:eastAsiaTheme="minorHAnsi"/>
                <w:b/>
                <w:lang w:eastAsia="en-US"/>
              </w:rPr>
              <w:t>nie przewiduje</w:t>
            </w:r>
            <w:r w:rsidRPr="0096598F">
              <w:rPr>
                <w:rFonts w:eastAsiaTheme="minorHAnsi"/>
                <w:lang w:eastAsia="en-US"/>
              </w:rPr>
              <w:t xml:space="preserve"> możliwości udzielenia</w:t>
            </w:r>
            <w:r w:rsidRPr="0096598F">
              <w:t xml:space="preserve"> zamówienia, o których mowa w art. 305 pkt.1 w zw. z art. 214 ust. 1 pkt 7  </w:t>
            </w:r>
            <w:proofErr w:type="spellStart"/>
            <w:r w:rsidRPr="0096598F">
              <w:t>Pzp</w:t>
            </w:r>
            <w:proofErr w:type="spellEnd"/>
          </w:p>
          <w:p w14:paraId="07FBBC99" w14:textId="77777777" w:rsidR="000B4FCC" w:rsidRPr="0096598F" w:rsidRDefault="000B4FCC" w:rsidP="009E1376">
            <w:pPr>
              <w:jc w:val="both"/>
              <w:rPr>
                <w:bCs/>
              </w:rPr>
            </w:pPr>
          </w:p>
          <w:p w14:paraId="1B06481F" w14:textId="77777777" w:rsidR="000B4FCC" w:rsidRPr="00A639C4" w:rsidRDefault="000B4FCC" w:rsidP="009E1376">
            <w:pPr>
              <w:jc w:val="both"/>
              <w:rPr>
                <w:bCs/>
              </w:rPr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BA64A4" w14:textId="77777777" w:rsidR="009E1376" w:rsidRDefault="009E1376" w:rsidP="009E1376">
            <w:pPr>
              <w:rPr>
                <w:bCs/>
              </w:rPr>
            </w:pPr>
            <w:r w:rsidRPr="00551FC6">
              <w:rPr>
                <w:b/>
              </w:rPr>
              <w:t xml:space="preserve">Zamawiający </w:t>
            </w:r>
            <w:r w:rsidRPr="00551FC6">
              <w:rPr>
                <w:b/>
                <w:u w:val="single"/>
              </w:rPr>
              <w:t>wymaga</w:t>
            </w:r>
            <w:r w:rsidRPr="00551FC6">
              <w:rPr>
                <w:b/>
              </w:rPr>
              <w:t xml:space="preserve"> złożenia oferty po odbyciu wizji lokalnej</w:t>
            </w:r>
            <w:r w:rsidRPr="00551FC6">
              <w:rPr>
                <w:bCs/>
              </w:rPr>
              <w:t>.</w:t>
            </w:r>
          </w:p>
          <w:p w14:paraId="5F7EE0EB" w14:textId="77777777" w:rsidR="000B4FCC" w:rsidRDefault="000B4FCC" w:rsidP="009E1376">
            <w:pPr>
              <w:rPr>
                <w:bCs/>
              </w:rPr>
            </w:pPr>
          </w:p>
          <w:p w14:paraId="21877F13" w14:textId="5942D389" w:rsidR="000B4FCC" w:rsidRPr="00B619F6" w:rsidRDefault="000B4FCC" w:rsidP="009E1376">
            <w:pPr>
              <w:rPr>
                <w:b/>
              </w:rPr>
            </w:pPr>
            <w:r w:rsidRPr="00B619F6">
              <w:rPr>
                <w:b/>
              </w:rPr>
              <w:t xml:space="preserve">Wizja Lokalna na zadaniu 1 oraz 2 </w:t>
            </w:r>
            <w:r w:rsidR="00C503FF" w:rsidRPr="00B619F6">
              <w:rPr>
                <w:b/>
              </w:rPr>
              <w:t xml:space="preserve"> (PZDW Rzeszów  oraz RDW Mielec)</w:t>
            </w:r>
          </w:p>
          <w:p w14:paraId="11B3AFE3" w14:textId="77777777" w:rsidR="009E1376" w:rsidRPr="00A639C4" w:rsidRDefault="009E1376" w:rsidP="009E1376">
            <w:pPr>
              <w:spacing w:line="276" w:lineRule="auto"/>
              <w:jc w:val="both"/>
            </w:pPr>
          </w:p>
          <w:p w14:paraId="356F55CE" w14:textId="1BE757E0" w:rsidR="009E1376" w:rsidRPr="00551FC6" w:rsidRDefault="009E1376" w:rsidP="009E1376">
            <w:pPr>
              <w:jc w:val="both"/>
              <w:rPr>
                <w:bCs/>
              </w:rPr>
            </w:pPr>
            <w:r w:rsidRPr="00551FC6">
              <w:rPr>
                <w:bCs/>
              </w:rPr>
              <w:t xml:space="preserve">W przypadku kiedy wizja lokalna dotyczy budowli, budynków oraz terenów Baz Materiałowych, placów składowych, placów manewrowych, parkingów itp. administrowanych przez PZDW w Rzeszowie i poszczególne Rejony Dróg Wojewódzkich Zamawiający </w:t>
            </w:r>
            <w:r w:rsidRPr="00551FC6">
              <w:rPr>
                <w:b/>
                <w:bCs/>
              </w:rPr>
              <w:t xml:space="preserve">wymaga </w:t>
            </w:r>
            <w:r w:rsidRPr="00551FC6">
              <w:rPr>
                <w:bCs/>
              </w:rPr>
              <w:t xml:space="preserve">dokonania wizji lokalnej w obecności personelu Zamawiającego. </w:t>
            </w:r>
          </w:p>
          <w:p w14:paraId="42C267B5" w14:textId="77777777" w:rsidR="009E1376" w:rsidRPr="00551FC6" w:rsidRDefault="009E1376" w:rsidP="009E1376">
            <w:pPr>
              <w:jc w:val="both"/>
              <w:rPr>
                <w:bCs/>
              </w:rPr>
            </w:pPr>
          </w:p>
          <w:p w14:paraId="371170F5" w14:textId="7E3A844D" w:rsidR="009E1376" w:rsidRPr="00551FC6" w:rsidRDefault="009E1376" w:rsidP="00B74C3B">
            <w:pPr>
              <w:spacing w:line="276" w:lineRule="auto"/>
              <w:jc w:val="both"/>
            </w:pPr>
            <w:r w:rsidRPr="00551FC6">
              <w:rPr>
                <w:bCs/>
              </w:rPr>
              <w:t>W celu odbycia wizji lokalnej Wykonawca przekazuje</w:t>
            </w:r>
            <w:r w:rsidRPr="00551FC6">
              <w:t xml:space="preserve"> stosowny wniosek na adres e-mail: </w:t>
            </w:r>
            <w:hyperlink r:id="rId9" w:history="1">
              <w:r w:rsidRPr="00551FC6">
                <w:rPr>
                  <w:rStyle w:val="Hipercze"/>
                </w:rPr>
                <w:t>biuro@pzdw.pl</w:t>
              </w:r>
            </w:hyperlink>
            <w:r w:rsidRPr="00551FC6">
              <w:t xml:space="preserve"> wraz z podaniem danych osobowych, tj. imienia i nazwiska, nazwy i adresu Wykonawcy oraz nr telefonu kontaktowego w celu ustalenia terminu przeprowadzenia wizji </w:t>
            </w:r>
            <w:r w:rsidRPr="00551FC6">
              <w:rPr>
                <w:bCs/>
              </w:rPr>
              <w:t>i miejsca spotkania.</w:t>
            </w:r>
          </w:p>
          <w:p w14:paraId="3327378E" w14:textId="77777777" w:rsidR="009E1376" w:rsidRPr="00551FC6" w:rsidRDefault="009E1376" w:rsidP="009E1376">
            <w:pPr>
              <w:spacing w:line="276" w:lineRule="auto"/>
              <w:ind w:firstLine="173"/>
              <w:jc w:val="both"/>
            </w:pPr>
            <w:r w:rsidRPr="00551FC6">
              <w:t>Udział w wizji lokalnej zostanie potwierdzony protokołem, którego kopię Wykonawca dołącza do oferty.</w:t>
            </w:r>
          </w:p>
          <w:p w14:paraId="028B002E" w14:textId="4EF2662D" w:rsidR="009E1376" w:rsidRPr="00551FC6" w:rsidRDefault="009E1376" w:rsidP="009E1376">
            <w:pPr>
              <w:spacing w:line="276" w:lineRule="auto"/>
              <w:ind w:firstLine="173"/>
              <w:jc w:val="both"/>
            </w:pPr>
            <w:r w:rsidRPr="00551FC6">
              <w:t xml:space="preserve">Zamawiający informuje, że w trakcie wizji lokalnej nie będzie udzielał wyjaśnień treści SWZ w trybie art. 135 </w:t>
            </w:r>
            <w:proofErr w:type="spellStart"/>
            <w:r w:rsidRPr="00551FC6">
              <w:t>Pzp</w:t>
            </w:r>
            <w:proofErr w:type="spellEnd"/>
            <w:r w:rsidRPr="00551FC6">
              <w:t xml:space="preserve">. </w:t>
            </w:r>
          </w:p>
          <w:p w14:paraId="2992A407" w14:textId="77777777" w:rsidR="009E1376" w:rsidRPr="00551FC6" w:rsidRDefault="009E1376" w:rsidP="009E1376">
            <w:pPr>
              <w:spacing w:line="276" w:lineRule="auto"/>
              <w:ind w:firstLine="173"/>
              <w:jc w:val="both"/>
            </w:pPr>
            <w:r w:rsidRPr="00551FC6">
              <w:t xml:space="preserve">Zamawiający informuje, że oferta złożona bez odbycia wizji lokalnej podlega odrzuceniu zgodnie z art. 226 ust. 1 pkt 18 </w:t>
            </w:r>
            <w:proofErr w:type="spellStart"/>
            <w:r w:rsidRPr="00551FC6">
              <w:t>Pzp</w:t>
            </w:r>
            <w:proofErr w:type="spellEnd"/>
            <w:r w:rsidRPr="00551FC6">
              <w:t>.</w:t>
            </w:r>
          </w:p>
          <w:p w14:paraId="2070D744" w14:textId="77777777" w:rsidR="00B612FE" w:rsidRPr="00A639C4" w:rsidRDefault="00B612FE" w:rsidP="00B612FE">
            <w:pPr>
              <w:spacing w:line="276" w:lineRule="auto"/>
              <w:jc w:val="both"/>
              <w:rPr>
                <w:color w:val="FF0000"/>
                <w:u w:val="single"/>
              </w:rPr>
            </w:pPr>
          </w:p>
          <w:p w14:paraId="690BAD05" w14:textId="6A5B999B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7A594D2B" w14:textId="77777777" w:rsidR="009E1376" w:rsidRPr="00A639C4" w:rsidRDefault="009E1376" w:rsidP="009E1376">
            <w:pPr>
              <w:rPr>
                <w:b/>
              </w:rPr>
            </w:pPr>
          </w:p>
          <w:p w14:paraId="4E9E49F2" w14:textId="77777777" w:rsidR="009E1376" w:rsidRPr="00A639C4" w:rsidRDefault="009E1376" w:rsidP="00BE55DA">
            <w:pPr>
              <w:spacing w:line="276" w:lineRule="auto"/>
              <w:jc w:val="both"/>
            </w:pP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71F2971" w14:textId="3FA2CC1B" w:rsidR="00347D74" w:rsidRPr="00BE55DA" w:rsidRDefault="00347D74" w:rsidP="00347D74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BE55DA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BE55DA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BE55DA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BE55DA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BE55DA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1E436F" w:rsidRPr="00A639C4" w:rsidRDefault="001E436F" w:rsidP="00BE55DA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D9038F" w14:textId="77777777" w:rsidR="009E1376" w:rsidRPr="00A639C4" w:rsidRDefault="009E1376" w:rsidP="009E1376">
            <w:pPr>
              <w:jc w:val="both"/>
            </w:pPr>
          </w:p>
          <w:p w14:paraId="2978A6BB" w14:textId="66C6FB76" w:rsidR="009E1376" w:rsidRPr="00BE55DA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 xml:space="preserve">Termin wykonania zamówienia: </w:t>
            </w:r>
          </w:p>
          <w:p w14:paraId="123BC2D1" w14:textId="5E20CEE4" w:rsidR="00385D98" w:rsidRPr="00385D98" w:rsidRDefault="00A55802" w:rsidP="00A55802">
            <w:pPr>
              <w:tabs>
                <w:tab w:val="left" w:pos="4755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Maksymalny czas dostawy: do </w:t>
            </w:r>
            <w:r w:rsidR="000421C1">
              <w:rPr>
                <w:b/>
              </w:rPr>
              <w:t>30.11.2024</w:t>
            </w:r>
            <w:r w:rsidR="00C316AD">
              <w:rPr>
                <w:b/>
              </w:rPr>
              <w:t>r.</w:t>
            </w:r>
          </w:p>
          <w:p w14:paraId="19AD9655" w14:textId="77777777" w:rsidR="00385D98" w:rsidRPr="00A639C4" w:rsidRDefault="00385D98" w:rsidP="009E1376">
            <w:pPr>
              <w:rPr>
                <w:b/>
              </w:rPr>
            </w:pPr>
          </w:p>
          <w:p w14:paraId="7786730E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7BF8E647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w przepisach o zamówieniach publicznych. </w:t>
            </w:r>
          </w:p>
          <w:p w14:paraId="16A73E49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Podstawą gospodarki finansowej jednostki samorządu terytorialnego w danym roku budżetowym jest uchwała budżetowa. </w:t>
            </w:r>
          </w:p>
          <w:p w14:paraId="290D402D" w14:textId="0C534E10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Zamawiający ponosi wydatki </w:t>
            </w:r>
            <w:r w:rsidR="00B612FE" w:rsidRPr="00A639C4">
              <w:t>publiczne na</w:t>
            </w:r>
            <w:r w:rsidRPr="00A639C4">
              <w:t xml:space="preserve"> cele i w wysokościach ustalonych w:</w:t>
            </w:r>
          </w:p>
          <w:p w14:paraId="7C63C706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10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1AD738BA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4DA801AD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415515FA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7838E046" w14:textId="5354E8FA" w:rsidR="009E1376" w:rsidRPr="00A639C4" w:rsidRDefault="009E1376" w:rsidP="009E1376">
            <w:pPr>
              <w:spacing w:before="100" w:beforeAutospacing="1" w:after="100" w:afterAutospacing="1"/>
              <w:jc w:val="both"/>
            </w:pPr>
            <w:r w:rsidRPr="00A639C4">
              <w:t xml:space="preserve">Podstawowy plan rzeczowo - finansowy obejmuje jednoroczny okres realizacji zadań bieżących jak i </w:t>
            </w:r>
            <w:r w:rsidR="00B612FE" w:rsidRPr="00A639C4">
              <w:t>majątkowych,</w:t>
            </w:r>
            <w:r w:rsidRPr="00A639C4">
              <w:t xml:space="preserve"> dlatego niezbędne jest określenie zakończenia realizacji zadania maksymalnie do końca grudnia bieżącego roku. Termin ten pozwala na zwrot niewykorzystanych środków do Urzędu Marszałkowskiego oraz ewentualnie JST zaangażowanych w realizację przedmiotu umowy </w:t>
            </w:r>
            <w:r w:rsidR="00B612FE" w:rsidRPr="00A639C4">
              <w:t>czy rozliczenie</w:t>
            </w:r>
            <w:r w:rsidRPr="00A639C4">
              <w:t xml:space="preserve"> przyznanych dotacji.</w:t>
            </w:r>
          </w:p>
          <w:p w14:paraId="3900D012" w14:textId="18633160" w:rsidR="009E1376" w:rsidRPr="00A639C4" w:rsidRDefault="009E1376" w:rsidP="009E1376">
            <w:pPr>
              <w:spacing w:before="100" w:beforeAutospacing="1" w:after="100" w:afterAutospacing="1"/>
            </w:pPr>
            <w:r w:rsidRPr="00A639C4">
              <w:t xml:space="preserve">Sytuacja taka jest podyktowana min. </w:t>
            </w:r>
            <w:r w:rsidR="00B612FE" w:rsidRPr="00A639C4">
              <w:t>tym,</w:t>
            </w:r>
            <w:r w:rsidRPr="00A639C4">
              <w:t xml:space="preserve"> że Zamawiający prowadzi gospodarkę finansową w oparciu o zasady gospodarki budżetowej przyjętej dla jednostek samorządowych. Pomimo braku osobowości prawnej zasady te obowiązują, a podstawową zasadą jest jednoroczny budżet jednostki. </w:t>
            </w:r>
          </w:p>
          <w:p w14:paraId="6F3B1914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1CF1B5A6" w14:textId="75A5144E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realizuje gospodarkę finansową w oparciu o zasady budżetu rocznego które obligują Kierownika Jednostki do wydatkowania środków planu finansowego na zadania realizowane w oparciu o zamówienia publiczne do końca danego roku </w:t>
            </w:r>
            <w:r w:rsidR="00B612FE" w:rsidRPr="00A639C4">
              <w:t>budżetowego,</w:t>
            </w:r>
            <w:r w:rsidRPr="00A639C4">
              <w:t xml:space="preserve"> jeśli Kierownik Jednostki nie posiada dodatkowych upoważnień od Zarządu Województwa Podkarpackiego do zaciągania zobowiązań finansowych w danym roku budżetowym obciążającym lata przyszłe;</w:t>
            </w:r>
          </w:p>
          <w:p w14:paraId="493E0C9A" w14:textId="77777777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jako jednostka sektora finansów publicznych może zaciągać zobowiązania do sfinansowania w danym roku do wysokości wynikającej z planu wydatków, </w:t>
            </w:r>
          </w:p>
          <w:p w14:paraId="6C763EFE" w14:textId="041B2401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7E2FA530" w14:textId="551A8F11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14A11A98" w14:textId="6590C703" w:rsidR="009E1376" w:rsidRPr="00A639C4" w:rsidRDefault="009E1376" w:rsidP="009E1376">
            <w:pPr>
              <w:ind w:left="284"/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1EE5E3C9" w:rsidR="009E1376" w:rsidRPr="00A639C4" w:rsidRDefault="009E1376" w:rsidP="009E1376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zdolności do występowania w obrocie gospodarczym:</w:t>
            </w:r>
          </w:p>
          <w:p w14:paraId="7A34C4A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6901A0" w14:textId="77777777" w:rsidR="009E1376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62F8F3E6" w14:textId="77777777" w:rsidR="00BE55DA" w:rsidRPr="00A639C4" w:rsidRDefault="00BE55DA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57ABD9" w14:textId="262C7ED3" w:rsidR="00704746" w:rsidRPr="00BE55DA" w:rsidRDefault="009E1376" w:rsidP="00BE55D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  <w:r w:rsidR="00704746" w:rsidRPr="00BE55D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096AA0C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06644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3898199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DD20D" w14:textId="64ACE70A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7B0262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D7330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35C07B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25F738" w14:textId="58286956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4B89CC3A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E7B5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</w:t>
            </w:r>
            <w:r w:rsidRPr="00A639C4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48363A84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45747F" w14:textId="6794FC17" w:rsidR="009E1376" w:rsidRPr="00A639C4" w:rsidRDefault="009E1376" w:rsidP="00982C9A">
            <w:pPr>
              <w:widowControl/>
              <w:numPr>
                <w:ilvl w:val="0"/>
                <w:numId w:val="9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Doświadczenie wykonawcy </w:t>
            </w:r>
          </w:p>
          <w:p w14:paraId="4B932572" w14:textId="3314AC24" w:rsidR="009E1376" w:rsidRDefault="009E1376" w:rsidP="009E1376">
            <w:pPr>
              <w:contextualSpacing/>
              <w:jc w:val="both"/>
            </w:pPr>
            <w:r w:rsidRPr="00A639C4">
              <w:rPr>
                <w:color w:val="000000"/>
              </w:rPr>
              <w:t xml:space="preserve">Wykonawca spełni ten warunek udziału w postępowaniu, jeżeli wykaże, że </w:t>
            </w:r>
            <w:r w:rsidR="006E36FF" w:rsidRPr="006629CA">
              <w:rPr>
                <w:color w:val="000000"/>
              </w:rPr>
              <w:t xml:space="preserve">wykonał </w:t>
            </w:r>
            <w:r w:rsidR="006E36FF" w:rsidRPr="006629CA">
              <w:rPr>
                <w:b/>
                <w:bCs/>
                <w:color w:val="000000"/>
              </w:rPr>
              <w:t>w ciągu ostatnich 3 lat</w:t>
            </w:r>
            <w:r w:rsidR="006E36FF" w:rsidRPr="006629CA">
              <w:rPr>
                <w:color w:val="000000"/>
              </w:rPr>
              <w:t xml:space="preserve"> przed upływem terminu składania ofert (a jeżeli okres prowadzenia działalności jest krótszy – w tym okresie) -  </w:t>
            </w:r>
            <w:r w:rsidR="00C74B4A">
              <w:rPr>
                <w:b/>
                <w:bCs/>
                <w:color w:val="000000"/>
              </w:rPr>
              <w:t>min.</w:t>
            </w:r>
            <w:r w:rsidR="006E36FF" w:rsidRPr="006629CA">
              <w:rPr>
                <w:b/>
                <w:bCs/>
                <w:color w:val="000000"/>
              </w:rPr>
              <w:t xml:space="preserve"> 1 dostawę mebli </w:t>
            </w:r>
            <w:r w:rsidRPr="00A639C4">
              <w:rPr>
                <w:spacing w:val="-6"/>
              </w:rPr>
              <w:t>popart</w:t>
            </w:r>
            <w:r w:rsidR="006E36FF">
              <w:rPr>
                <w:spacing w:val="-6"/>
              </w:rPr>
              <w:t>ą</w:t>
            </w:r>
            <w:r w:rsidRPr="00A639C4">
              <w:rPr>
                <w:spacing w:val="-6"/>
              </w:rPr>
              <w:t xml:space="preserve"> dokumentami (dowodami) </w:t>
            </w:r>
            <w:r w:rsidRPr="00A639C4">
              <w:t xml:space="preserve">potwierdzającymi, że </w:t>
            </w:r>
            <w:r w:rsidR="006E36FF">
              <w:t>dostawy</w:t>
            </w:r>
            <w:r w:rsidRPr="00A639C4">
              <w:t xml:space="preserve"> zostały wykonane </w:t>
            </w:r>
            <w:r w:rsidR="006E36FF">
              <w:t>należycie</w:t>
            </w:r>
            <w:r w:rsidRPr="00A639C4">
              <w:t xml:space="preserve"> (np. referencje)</w:t>
            </w:r>
            <w:r w:rsidR="00C74B4A">
              <w:t xml:space="preserve"> o wartości</w:t>
            </w:r>
            <w:r w:rsidR="00492522">
              <w:t>:</w:t>
            </w:r>
          </w:p>
          <w:p w14:paraId="7C9F6027" w14:textId="491BCB1A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>Zadanie Nr 1</w:t>
            </w:r>
            <w:r>
              <w:t xml:space="preserve"> </w:t>
            </w:r>
            <w:r w:rsidR="00C74B4A">
              <w:t xml:space="preserve">– min. </w:t>
            </w:r>
            <w:r w:rsidRPr="00492522">
              <w:rPr>
                <w:b/>
                <w:bCs/>
              </w:rPr>
              <w:t>80 000,00 PLN zł netto</w:t>
            </w:r>
          </w:p>
          <w:p w14:paraId="14232555" w14:textId="475DED7D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 xml:space="preserve">Zadanie Nr </w:t>
            </w:r>
            <w:r>
              <w:rPr>
                <w:b/>
                <w:bCs/>
              </w:rPr>
              <w:t>2</w:t>
            </w:r>
            <w:r>
              <w:t xml:space="preserve"> </w:t>
            </w:r>
            <w:r w:rsidR="00C74B4A">
              <w:t xml:space="preserve">- </w:t>
            </w:r>
            <w:r>
              <w:t xml:space="preserve"> min. </w:t>
            </w:r>
            <w:r>
              <w:rPr>
                <w:b/>
                <w:bCs/>
              </w:rPr>
              <w:t>4</w:t>
            </w:r>
            <w:r w:rsidRPr="00492522">
              <w:rPr>
                <w:b/>
                <w:bCs/>
              </w:rPr>
              <w:t>0 000,00 PLN zł netto</w:t>
            </w:r>
          </w:p>
          <w:p w14:paraId="235BE314" w14:textId="62409D32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 xml:space="preserve">Zadanie Nr </w:t>
            </w:r>
            <w:r w:rsidR="00C74B4A">
              <w:rPr>
                <w:b/>
                <w:bCs/>
              </w:rPr>
              <w:t xml:space="preserve">3 - </w:t>
            </w:r>
            <w:r>
              <w:t xml:space="preserve"> min.   </w:t>
            </w:r>
            <w:r>
              <w:rPr>
                <w:b/>
                <w:bCs/>
              </w:rPr>
              <w:t>9</w:t>
            </w:r>
            <w:r w:rsidRPr="00492522">
              <w:rPr>
                <w:b/>
                <w:bCs/>
              </w:rPr>
              <w:t> 000,00 PLN zł netto</w:t>
            </w:r>
          </w:p>
          <w:p w14:paraId="17234EC2" w14:textId="3D5BFE69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 xml:space="preserve">Zadanie Nr </w:t>
            </w:r>
            <w:r>
              <w:rPr>
                <w:b/>
                <w:bCs/>
              </w:rPr>
              <w:t>4</w:t>
            </w:r>
            <w:r w:rsidR="00C74B4A">
              <w:t xml:space="preserve"> - </w:t>
            </w:r>
            <w:r>
              <w:t xml:space="preserve"> min. </w:t>
            </w:r>
            <w:r>
              <w:rPr>
                <w:b/>
                <w:bCs/>
              </w:rPr>
              <w:t>1</w:t>
            </w:r>
            <w:r w:rsidRPr="00492522">
              <w:rPr>
                <w:b/>
                <w:bCs/>
              </w:rPr>
              <w:t>0 000,00 PLN zł netto</w:t>
            </w:r>
          </w:p>
          <w:p w14:paraId="40912FCF" w14:textId="508D1987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 xml:space="preserve">Zadanie Nr </w:t>
            </w:r>
            <w:r>
              <w:rPr>
                <w:b/>
                <w:bCs/>
              </w:rPr>
              <w:t>5</w:t>
            </w:r>
            <w:r w:rsidR="00C74B4A">
              <w:t xml:space="preserve"> - </w:t>
            </w:r>
            <w:r>
              <w:t xml:space="preserve">min. </w:t>
            </w:r>
            <w:r>
              <w:rPr>
                <w:b/>
                <w:bCs/>
              </w:rPr>
              <w:t>2</w:t>
            </w:r>
            <w:r w:rsidRPr="00492522">
              <w:rPr>
                <w:b/>
                <w:bCs/>
              </w:rPr>
              <w:t>0 000,00 PLN zł netto</w:t>
            </w:r>
          </w:p>
          <w:p w14:paraId="1CE3EF0B" w14:textId="697169CF" w:rsidR="00492522" w:rsidRPr="00492522" w:rsidRDefault="00492522" w:rsidP="00492522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spacing w:val="-6"/>
              </w:rPr>
            </w:pPr>
            <w:r w:rsidRPr="00492522">
              <w:rPr>
                <w:b/>
                <w:bCs/>
              </w:rPr>
              <w:t xml:space="preserve">Zadanie Nr </w:t>
            </w:r>
            <w:r>
              <w:rPr>
                <w:b/>
                <w:bCs/>
              </w:rPr>
              <w:t>6</w:t>
            </w:r>
            <w:r w:rsidR="00C74B4A">
              <w:t xml:space="preserve"> - </w:t>
            </w:r>
            <w:r>
              <w:t xml:space="preserve">min. </w:t>
            </w:r>
            <w:r>
              <w:rPr>
                <w:b/>
                <w:bCs/>
              </w:rPr>
              <w:t>1</w:t>
            </w:r>
            <w:r w:rsidRPr="00492522">
              <w:rPr>
                <w:b/>
                <w:bCs/>
              </w:rPr>
              <w:t>0 000,00 PLN zł netto</w:t>
            </w:r>
          </w:p>
          <w:p w14:paraId="04B15B0B" w14:textId="77777777" w:rsidR="00492522" w:rsidRPr="00492522" w:rsidRDefault="00492522" w:rsidP="00492522">
            <w:pPr>
              <w:ind w:left="360"/>
              <w:contextualSpacing/>
              <w:jc w:val="both"/>
              <w:rPr>
                <w:spacing w:val="-6"/>
              </w:rPr>
            </w:pPr>
          </w:p>
          <w:p w14:paraId="5901E999" w14:textId="77777777" w:rsidR="009E1376" w:rsidRPr="00A639C4" w:rsidRDefault="009E1376" w:rsidP="00492522">
            <w:pPr>
              <w:jc w:val="both"/>
              <w:rPr>
                <w:color w:val="000000"/>
              </w:rPr>
            </w:pPr>
          </w:p>
          <w:p w14:paraId="06E51CC8" w14:textId="20C1884F" w:rsidR="009E1376" w:rsidRPr="00492522" w:rsidRDefault="009E1376" w:rsidP="00492522">
            <w:pPr>
              <w:jc w:val="both"/>
              <w:rPr>
                <w:color w:val="000000"/>
              </w:rPr>
            </w:pPr>
            <w:r w:rsidRPr="00492522">
              <w:rPr>
                <w:color w:val="000000"/>
              </w:rPr>
              <w:t>Zamawiający</w:t>
            </w:r>
            <w:r w:rsidRPr="00492522">
              <w:rPr>
                <w:b/>
                <w:color w:val="000000"/>
              </w:rPr>
              <w:t xml:space="preserve"> </w:t>
            </w:r>
            <w:r w:rsidRPr="00492522">
              <w:rPr>
                <w:b/>
                <w:color w:val="000000"/>
                <w:u w:val="single"/>
              </w:rPr>
              <w:t>wymaga</w:t>
            </w:r>
            <w:r w:rsidRPr="00492522">
              <w:rPr>
                <w:b/>
                <w:color w:val="000000"/>
              </w:rPr>
              <w:t>,</w:t>
            </w:r>
            <w:r w:rsidRPr="00492522">
              <w:rPr>
                <w:color w:val="000000"/>
              </w:rPr>
              <w:t xml:space="preserve"> aby </w:t>
            </w:r>
            <w:r w:rsidRPr="00492522">
              <w:rPr>
                <w:b/>
              </w:rPr>
              <w:t xml:space="preserve">ww. zakres </w:t>
            </w:r>
            <w:r w:rsidR="006526B9" w:rsidRPr="006526B9">
              <w:rPr>
                <w:bCs/>
              </w:rPr>
              <w:t>(dla każdego zadania)</w:t>
            </w:r>
            <w:r w:rsidR="006526B9">
              <w:rPr>
                <w:b/>
              </w:rPr>
              <w:t xml:space="preserve"> </w:t>
            </w:r>
            <w:r w:rsidRPr="00492522">
              <w:rPr>
                <w:color w:val="000000"/>
              </w:rPr>
              <w:t>był wykonany w ramach jednego zadania/ zlecenia/ zamówienia/inwestycji.</w:t>
            </w:r>
          </w:p>
          <w:p w14:paraId="6525AC59" w14:textId="77777777" w:rsidR="00385D98" w:rsidRPr="00BE55DA" w:rsidRDefault="00385D98" w:rsidP="00BE55DA">
            <w:pPr>
              <w:spacing w:line="276" w:lineRule="auto"/>
              <w:ind w:right="3"/>
              <w:jc w:val="both"/>
              <w:rPr>
                <w:color w:val="000000"/>
              </w:rPr>
            </w:pPr>
          </w:p>
          <w:p w14:paraId="374F4CCC" w14:textId="77777777" w:rsidR="009E1376" w:rsidRPr="00A639C4" w:rsidRDefault="009E1376" w:rsidP="009E1376">
            <w:pPr>
              <w:ind w:left="284"/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15DE801" w14:textId="77777777" w:rsidR="009E1376" w:rsidRPr="00A639C4" w:rsidRDefault="009E1376" w:rsidP="009E1376">
            <w:pPr>
              <w:jc w:val="both"/>
            </w:pPr>
          </w:p>
          <w:p w14:paraId="223CD280" w14:textId="79BF00FE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  <w:u w:val="single"/>
              </w:rPr>
              <w:t>żąda</w:t>
            </w:r>
            <w:r w:rsidRPr="00221279"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672EA235" w:rsidR="009E1376" w:rsidRPr="00A639C4" w:rsidRDefault="009E1376" w:rsidP="009E1376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w postępowaniu oraz o braku podstaw do wykluczenia 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0F93B3D6" w14:textId="77777777" w:rsidR="00BE55DA" w:rsidRDefault="00BE55DA" w:rsidP="009E1376">
            <w:pPr>
              <w:jc w:val="both"/>
            </w:pPr>
          </w:p>
          <w:p w14:paraId="5AEDD973" w14:textId="6A6BFC03" w:rsidR="009E1376" w:rsidRPr="00BE55DA" w:rsidRDefault="009E1376" w:rsidP="009E1376">
            <w:pPr>
              <w:jc w:val="both"/>
            </w:pPr>
            <w:r w:rsidRPr="00BE55DA">
              <w:t>Na podstawie art. 273 ust</w:t>
            </w:r>
            <w:r w:rsidR="00150222">
              <w:t>.</w:t>
            </w:r>
            <w:r w:rsidRPr="00BE55DA">
              <w:t xml:space="preserve"> 1</w:t>
            </w:r>
            <w:r w:rsidR="00150222">
              <w:t xml:space="preserve"> </w:t>
            </w:r>
            <w:r w:rsidRPr="00BE55DA">
              <w:t xml:space="preserve">pkt  2 </w:t>
            </w:r>
            <w:proofErr w:type="spellStart"/>
            <w:r w:rsidRPr="00BE55DA">
              <w:t>Pzp</w:t>
            </w:r>
            <w:proofErr w:type="spellEnd"/>
            <w:r w:rsidRPr="00BE55DA">
              <w:t xml:space="preserve"> Zamawiający w przedmiotowym postępowaniu o udzielenie zamówienia </w:t>
            </w:r>
            <w:r w:rsidRPr="00BE55DA">
              <w:rPr>
                <w:b/>
              </w:rPr>
              <w:t>żąda</w:t>
            </w:r>
            <w:r w:rsidRPr="00BE55DA">
              <w:t xml:space="preserve"> złożenia następujących podmiotowych środków dowodowych na </w:t>
            </w:r>
            <w:r w:rsidRPr="00BE55DA">
              <w:rPr>
                <w:u w:val="single"/>
              </w:rPr>
              <w:t>potwierdzenie spełniania warunków udziału w postępowaniu</w:t>
            </w:r>
          </w:p>
          <w:p w14:paraId="3F29E12B" w14:textId="3B185C73" w:rsidR="009E1376" w:rsidRPr="00BE55DA" w:rsidRDefault="009E1376" w:rsidP="00982C9A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BE55DA">
              <w:rPr>
                <w:b/>
              </w:rPr>
              <w:lastRenderedPageBreak/>
              <w:t>wykazu dostaw</w:t>
            </w:r>
            <w:r w:rsidRPr="00BE55DA">
              <w:t xml:space="preserve">, a w przypadku świadczeń powtarzających się lub ciągłych również wykonywanych, </w:t>
            </w:r>
            <w:r w:rsidRPr="00BE55DA">
              <w:rPr>
                <w:b/>
              </w:rPr>
              <w:t>w okresie ostatnich 3 lat,</w:t>
            </w:r>
            <w:r w:rsidRPr="00BE55DA">
              <w:t xml:space="preserve">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</w:t>
            </w:r>
          </w:p>
          <w:p w14:paraId="18ABE302" w14:textId="77777777" w:rsidR="009E1376" w:rsidRPr="00A639C4" w:rsidRDefault="009E1376" w:rsidP="009E1376">
            <w:pPr>
              <w:jc w:val="both"/>
            </w:pPr>
          </w:p>
          <w:p w14:paraId="08982AA0" w14:textId="196D7EF3" w:rsidR="009E1376" w:rsidRPr="00A639C4" w:rsidRDefault="009E1376" w:rsidP="009E1376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11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2CEBFF49" w14:textId="77777777" w:rsidR="009E1376" w:rsidRPr="00A639C4" w:rsidRDefault="009E1376" w:rsidP="009E1376">
            <w:pPr>
              <w:jc w:val="both"/>
            </w:pPr>
          </w:p>
          <w:p w14:paraId="5170CC52" w14:textId="77777777" w:rsidR="009E1376" w:rsidRPr="00A639C4" w:rsidRDefault="009E1376" w:rsidP="008F6691">
            <w:pPr>
              <w:jc w:val="both"/>
              <w:rPr>
                <w:b/>
              </w:rPr>
            </w:pP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413C035" w14:textId="51B952E8" w:rsidR="00B44348" w:rsidRPr="00B44348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B44348" w:rsidRPr="00A639C4" w:rsidRDefault="00B44348" w:rsidP="00BE55DA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5885510" w14:textId="77777777" w:rsidR="00706B12" w:rsidRPr="00A639C4" w:rsidRDefault="00706B12" w:rsidP="009E1376">
            <w:pPr>
              <w:jc w:val="both"/>
            </w:pPr>
          </w:p>
          <w:p w14:paraId="0A256C04" w14:textId="17DFAA3B" w:rsidR="009E1376" w:rsidRDefault="009E1376" w:rsidP="009E1376">
            <w:pPr>
              <w:jc w:val="both"/>
              <w:rPr>
                <w:b/>
              </w:rPr>
            </w:pPr>
            <w:r w:rsidRPr="000B4FCC">
              <w:t xml:space="preserve">Zamawiający </w:t>
            </w:r>
            <w:r w:rsidRPr="000B4FCC">
              <w:rPr>
                <w:b/>
                <w:u w:val="single"/>
              </w:rPr>
              <w:t>przewiduje</w:t>
            </w:r>
            <w:r w:rsidRPr="000B4FCC">
              <w:rPr>
                <w:b/>
              </w:rPr>
              <w:t xml:space="preserve"> wprowadzenie następujących przedmiotowych</w:t>
            </w:r>
            <w:r w:rsidR="00BE55DA">
              <w:rPr>
                <w:b/>
              </w:rPr>
              <w:t xml:space="preserve"> </w:t>
            </w:r>
            <w:r w:rsidRPr="000B4FCC">
              <w:rPr>
                <w:b/>
              </w:rPr>
              <w:t xml:space="preserve">środków dowodowych  </w:t>
            </w:r>
          </w:p>
          <w:p w14:paraId="53D24E1F" w14:textId="77777777" w:rsidR="000B4FCC" w:rsidRDefault="000B4FCC" w:rsidP="009E1376">
            <w:pPr>
              <w:jc w:val="both"/>
              <w:rPr>
                <w:b/>
              </w:rPr>
            </w:pPr>
          </w:p>
          <w:p w14:paraId="460BD5DA" w14:textId="5FD6DFD9" w:rsidR="000B4FCC" w:rsidRDefault="000B4FCC" w:rsidP="000B4FCC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nr 1 </w:t>
            </w:r>
            <w:r w:rsidR="00B81C7B">
              <w:rPr>
                <w:b/>
              </w:rPr>
              <w:t>- Rzeszów</w:t>
            </w:r>
          </w:p>
          <w:p w14:paraId="0F20F46F" w14:textId="77777777" w:rsidR="000B4FCC" w:rsidRDefault="000B4FCC" w:rsidP="000B4FCC">
            <w:pPr>
              <w:rPr>
                <w:b/>
              </w:rPr>
            </w:pPr>
          </w:p>
          <w:p w14:paraId="53E5C348" w14:textId="77777777" w:rsidR="00ED63A6" w:rsidRDefault="00ED63A6" w:rsidP="00ED63A6">
            <w:pPr>
              <w:pStyle w:val="Akapitzlist"/>
              <w:numPr>
                <w:ilvl w:val="0"/>
                <w:numId w:val="29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3081943F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76210EB9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6D3EC73D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1C6E6F11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53A7950C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5F0DDE33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3212397F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</w:t>
            </w:r>
            <w:r>
              <w:rPr>
                <w:rFonts w:cs="Calibri"/>
                <w:color w:val="000000"/>
              </w:rPr>
              <w:lastRenderedPageBreak/>
              <w:t xml:space="preserve">elementów wysuwanych </w:t>
            </w:r>
          </w:p>
          <w:p w14:paraId="0034975B" w14:textId="77777777" w:rsidR="00ED63A6" w:rsidRPr="003D0F3A" w:rsidRDefault="00ED63A6" w:rsidP="00ED63A6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317:2004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lub równoważne </w:t>
            </w:r>
            <w:r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7C9F25D8" w14:textId="77777777" w:rsidR="00ED63A6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007BBA9F" w14:textId="77777777" w:rsidR="00ED63A6" w:rsidRPr="00E109AB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wiórowej trójwarstwowej, pokrytej obustronnie melaminą o obniżonej emisyjności formaldehydu (max. 0,04 mg/m3)</w:t>
            </w:r>
          </w:p>
          <w:p w14:paraId="3E183D3A" w14:textId="25B31DE3" w:rsidR="00D85924" w:rsidRPr="00ED63A6" w:rsidRDefault="00672E8A" w:rsidP="00ED63A6">
            <w:pPr>
              <w:pStyle w:val="Default"/>
              <w:adjustRightInd/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A08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CCA6B6" w14:textId="77777777" w:rsidR="00D85924" w:rsidRDefault="00D85924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  <w:b/>
                <w:color w:val="000000"/>
              </w:rPr>
            </w:pPr>
            <w:r w:rsidRPr="00D85924">
              <w:rPr>
                <w:rFonts w:cs="Calibri"/>
                <w:b/>
                <w:color w:val="000000"/>
              </w:rPr>
              <w:t xml:space="preserve">KRZESŁO STACJONARNE </w:t>
            </w:r>
          </w:p>
          <w:p w14:paraId="62950701" w14:textId="77777777" w:rsidR="0031370C" w:rsidRDefault="00D85924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  <w:color w:val="000000"/>
              </w:rPr>
              <w:t xml:space="preserve"> </w:t>
            </w:r>
            <w:r w:rsidR="0031370C" w:rsidRPr="00D85924">
              <w:rPr>
                <w:rFonts w:cs="Calibri"/>
              </w:rPr>
              <w:t xml:space="preserve">- </w:t>
            </w:r>
            <w:r w:rsidR="0031370C">
              <w:rPr>
                <w:rFonts w:cs="Calibri"/>
              </w:rPr>
              <w:t>potwierdzenie zgodności z normami E</w:t>
            </w:r>
            <w:r w:rsidR="0031370C" w:rsidRPr="0031370C">
              <w:rPr>
                <w:rFonts w:cs="Calibri"/>
              </w:rPr>
              <w:t>N 16139:2013, EN 1729-1:2015, EN 1729-2:2015 lub normami równoważnymi.</w:t>
            </w:r>
          </w:p>
          <w:p w14:paraId="1818704B" w14:textId="6CCE9A26" w:rsidR="00D85924" w:rsidRDefault="0031370C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 w:rsidRPr="0031370C">
              <w:rPr>
                <w:rFonts w:cs="Calibri"/>
              </w:rPr>
              <w:t xml:space="preserve">oraz dokumenty potwierdzające użycie tkaniny o składzie 100% POLIESTER, gramaturze min. 364 g/m2, odporności na ścieranie min. 75 000 cykli </w:t>
            </w:r>
            <w:proofErr w:type="spellStart"/>
            <w:r w:rsidRPr="0031370C">
              <w:rPr>
                <w:rFonts w:cs="Calibri"/>
              </w:rPr>
              <w:t>Martindale`a</w:t>
            </w:r>
            <w:proofErr w:type="spellEnd"/>
            <w:r w:rsidRPr="0031370C">
              <w:rPr>
                <w:rFonts w:cs="Calibri"/>
              </w:rPr>
              <w:t xml:space="preserve">, </w:t>
            </w:r>
            <w:proofErr w:type="spellStart"/>
            <w:r w:rsidRPr="0031370C">
              <w:rPr>
                <w:rFonts w:cs="Calibri"/>
              </w:rPr>
              <w:t>pilling</w:t>
            </w:r>
            <w:proofErr w:type="spellEnd"/>
            <w:r w:rsidRPr="0031370C">
              <w:rPr>
                <w:rFonts w:cs="Calibri"/>
              </w:rPr>
              <w:t xml:space="preserve"> 4, </w:t>
            </w:r>
            <w:proofErr w:type="spellStart"/>
            <w:r w:rsidRPr="0031370C">
              <w:rPr>
                <w:rFonts w:cs="Calibri"/>
              </w:rPr>
              <w:t>trudnozapalność</w:t>
            </w:r>
            <w:proofErr w:type="spellEnd"/>
            <w:r w:rsidRPr="0031370C">
              <w:rPr>
                <w:rFonts w:cs="Calibri"/>
              </w:rPr>
              <w:t xml:space="preserve"> papieros (PN EN 1021-1 lub równoważna), zapałka (PN EN1021-2 lub równoważna), trudnopalność BS 5852, odporność na światło 5-7 (EN ISO105-B02 lub równoważna)</w:t>
            </w:r>
          </w:p>
          <w:p w14:paraId="60683079" w14:textId="4F1EC9B2" w:rsidR="00D85924" w:rsidRPr="00610E37" w:rsidRDefault="006721E0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  <w:r w:rsidRPr="006721E0">
              <w:rPr>
                <w:rFonts w:ascii="Arial" w:hAnsi="Arial" w:cs="Calibri"/>
                <w:b/>
                <w:sz w:val="20"/>
                <w:szCs w:val="20"/>
              </w:rPr>
              <w:t>FOTEL OBROTOWY</w:t>
            </w:r>
          </w:p>
          <w:p w14:paraId="58C15D71" w14:textId="5B2EFE33" w:rsidR="00D85924" w:rsidRPr="006721E0" w:rsidRDefault="006721E0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 w:rsidRPr="006721E0">
              <w:rPr>
                <w:rFonts w:cs="Calibri"/>
              </w:rPr>
              <w:t>- potwierdzenie zgodności z normami wytrzymałości PL-EN 1335</w:t>
            </w:r>
          </w:p>
          <w:p w14:paraId="52EDB29E" w14:textId="01BBAFED" w:rsidR="006721E0" w:rsidRPr="006721E0" w:rsidRDefault="006721E0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oraz dokumenty potwierdzające użycie tkaniny o składzie</w:t>
            </w:r>
            <w:r>
              <w:rPr>
                <w:rFonts w:ascii="Arial" w:hAnsi="Arial" w:cs="Calibri"/>
                <w:color w:val="auto"/>
                <w:sz w:val="20"/>
                <w:szCs w:val="20"/>
              </w:rPr>
              <w:t xml:space="preserve">: </w:t>
            </w: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100 % poliester</w:t>
            </w:r>
          </w:p>
          <w:p w14:paraId="03EA47DF" w14:textId="77777777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Gramatura: 100 % poliester</w:t>
            </w:r>
          </w:p>
          <w:p w14:paraId="4DD3DBC6" w14:textId="6BE92ED6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ścieranie: 155 000 ± 5000 cykli </w:t>
            </w:r>
            <w:proofErr w:type="spellStart"/>
            <w:r w:rsidRPr="006721E0">
              <w:rPr>
                <w:rFonts w:cs="Calibri"/>
              </w:rPr>
              <w:t>Martindale</w:t>
            </w:r>
            <w:r w:rsidR="006F16C0">
              <w:rPr>
                <w:rFonts w:cs="Calibri"/>
              </w:rPr>
              <w:t>’a</w:t>
            </w:r>
            <w:proofErr w:type="spellEnd"/>
          </w:p>
          <w:p w14:paraId="53A329BF" w14:textId="3D33331B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</w:t>
            </w:r>
            <w:proofErr w:type="spellStart"/>
            <w:r w:rsidRPr="006721E0">
              <w:rPr>
                <w:rFonts w:cs="Calibri"/>
              </w:rPr>
              <w:t>pilling</w:t>
            </w:r>
            <w:proofErr w:type="spellEnd"/>
            <w:r w:rsidRPr="006721E0">
              <w:rPr>
                <w:rFonts w:cs="Calibri"/>
              </w:rPr>
              <w:t>: EN ISO 12945 – 2 (4 – 5)</w:t>
            </w:r>
            <w:r>
              <w:rPr>
                <w:rFonts w:cs="Calibri"/>
              </w:rPr>
              <w:t xml:space="preserve"> lub równoważne </w:t>
            </w:r>
          </w:p>
          <w:p w14:paraId="35857707" w14:textId="4990D0D5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światło: EN ISO 12945 – 2 (4 – 5)</w:t>
            </w:r>
            <w:r>
              <w:rPr>
                <w:rFonts w:cs="Calibri"/>
              </w:rPr>
              <w:t xml:space="preserve"> lub równoważne</w:t>
            </w:r>
          </w:p>
          <w:p w14:paraId="5C341DEF" w14:textId="7E77D8E1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tarcie: EN ISO 105-B02 (3 – 4)</w:t>
            </w:r>
            <w:r>
              <w:rPr>
                <w:rFonts w:cs="Calibri"/>
              </w:rPr>
              <w:t xml:space="preserve"> lub równoważne</w:t>
            </w:r>
          </w:p>
          <w:p w14:paraId="566D4439" w14:textId="5477B2D4" w:rsidR="006721E0" w:rsidRPr="006721E0" w:rsidRDefault="006721E0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Certyfikat </w:t>
            </w:r>
            <w:proofErr w:type="spellStart"/>
            <w:r w:rsidRPr="006721E0">
              <w:rPr>
                <w:rFonts w:cs="Calibri"/>
              </w:rPr>
              <w:t>Oeko</w:t>
            </w:r>
            <w:proofErr w:type="spellEnd"/>
            <w:r w:rsidRPr="006721E0">
              <w:rPr>
                <w:rFonts w:cs="Calibri"/>
              </w:rPr>
              <w:t>-Tex Standard 100</w:t>
            </w:r>
            <w:r>
              <w:rPr>
                <w:rFonts w:cs="Calibri"/>
              </w:rPr>
              <w:t xml:space="preserve"> lub równoważny</w:t>
            </w:r>
          </w:p>
          <w:p w14:paraId="0469532B" w14:textId="77777777" w:rsidR="008C06BD" w:rsidRDefault="008C06BD" w:rsidP="00610E37">
            <w:pPr>
              <w:pStyle w:val="Default"/>
              <w:adjustRightInd/>
              <w:spacing w:line="276" w:lineRule="auto"/>
              <w:rPr>
                <w:rFonts w:ascii="Arial" w:hAnsi="Arial" w:cs="Calibri"/>
                <w:sz w:val="20"/>
                <w:szCs w:val="20"/>
              </w:rPr>
            </w:pPr>
          </w:p>
          <w:p w14:paraId="1C3C1722" w14:textId="30A5C114" w:rsidR="00042B84" w:rsidRDefault="006721E0" w:rsidP="00ED63A6">
            <w:pPr>
              <w:pStyle w:val="Default"/>
              <w:adjustRightInd/>
              <w:spacing w:line="276" w:lineRule="auto"/>
              <w:ind w:left="23"/>
              <w:rPr>
                <w:rFonts w:ascii="Arial" w:hAnsi="Arial" w:cs="Calibri"/>
                <w:b/>
                <w:sz w:val="20"/>
                <w:szCs w:val="20"/>
              </w:rPr>
            </w:pPr>
            <w:r>
              <w:rPr>
                <w:rFonts w:ascii="Arial" w:hAnsi="Arial" w:cs="Calibri"/>
                <w:b/>
                <w:sz w:val="20"/>
                <w:szCs w:val="20"/>
              </w:rPr>
              <w:t xml:space="preserve">KRZESŁO DOSTAWNE </w:t>
            </w:r>
          </w:p>
          <w:p w14:paraId="6D744DC3" w14:textId="1765A670" w:rsidR="006721E0" w:rsidRPr="006721E0" w:rsidRDefault="006721E0" w:rsidP="00ED63A6">
            <w:pPr>
              <w:pStyle w:val="Default"/>
              <w:adjustRightInd/>
              <w:spacing w:line="276" w:lineRule="auto"/>
              <w:ind w:left="23"/>
              <w:rPr>
                <w:rFonts w:ascii="Arial" w:hAnsi="Arial" w:cs="Calibri"/>
                <w:b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 xml:space="preserve">dokumenty potwierdzające użycie tkaniny wytrzymałość min. 150 tysięcy cykli </w:t>
            </w:r>
            <w:proofErr w:type="spellStart"/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Martindal</w:t>
            </w:r>
            <w:r w:rsidR="006F16C0">
              <w:rPr>
                <w:rFonts w:ascii="Arial" w:hAnsi="Arial" w:cs="Calibri"/>
                <w:color w:val="auto"/>
                <w:sz w:val="20"/>
                <w:szCs w:val="20"/>
              </w:rPr>
              <w:t>e’a</w:t>
            </w:r>
            <w:proofErr w:type="spellEnd"/>
          </w:p>
          <w:p w14:paraId="53706D6E" w14:textId="69A4CF24" w:rsidR="00610E37" w:rsidRDefault="00610E37" w:rsidP="00610E37">
            <w:pPr>
              <w:jc w:val="center"/>
              <w:rPr>
                <w:b/>
              </w:rPr>
            </w:pPr>
            <w:r>
              <w:rPr>
                <w:b/>
              </w:rPr>
              <w:t>ZADANIE nr 2</w:t>
            </w:r>
            <w:r w:rsidR="00B81C7B">
              <w:rPr>
                <w:b/>
              </w:rPr>
              <w:t xml:space="preserve"> - Mielec</w:t>
            </w:r>
          </w:p>
          <w:p w14:paraId="1B22F386" w14:textId="77777777" w:rsidR="00610E37" w:rsidRDefault="00610E37" w:rsidP="00610E37">
            <w:pPr>
              <w:rPr>
                <w:b/>
              </w:rPr>
            </w:pPr>
          </w:p>
          <w:p w14:paraId="63A6177D" w14:textId="77777777" w:rsidR="00ED63A6" w:rsidRDefault="00ED63A6" w:rsidP="00ED63A6">
            <w:pPr>
              <w:pStyle w:val="Akapitzlist"/>
              <w:numPr>
                <w:ilvl w:val="0"/>
                <w:numId w:val="36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75E00A8C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2F018B88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69529ED2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21A3C3E5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229EE75C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451E6C9E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lastRenderedPageBreak/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3B39CC14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elementów wysuwanych </w:t>
            </w:r>
          </w:p>
          <w:p w14:paraId="3356FD93" w14:textId="77777777" w:rsidR="00ED63A6" w:rsidRPr="003D0F3A" w:rsidRDefault="00ED63A6" w:rsidP="00ED63A6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317:2004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lub równoważne </w:t>
            </w:r>
            <w:r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2B4AAFDE" w14:textId="77777777" w:rsidR="00ED63A6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6B49ABB7" w14:textId="77777777" w:rsidR="00ED63A6" w:rsidRPr="00E109AB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wiórowej trójwarstwowej, pokrytej obustronnie melaminą o obniżonej emisyjności formaldehydu (max. 0,04 mg/m3)</w:t>
            </w:r>
          </w:p>
          <w:p w14:paraId="2FCAC3E0" w14:textId="638E42D0" w:rsidR="00610E37" w:rsidRPr="003A0829" w:rsidRDefault="00610E37" w:rsidP="00610E37">
            <w:pPr>
              <w:pStyle w:val="Default"/>
              <w:adjustRightInd/>
              <w:spacing w:line="276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A08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C85A47" w14:textId="77777777" w:rsidR="00042B84" w:rsidRDefault="00042B84" w:rsidP="00042B84">
            <w:pPr>
              <w:pStyle w:val="Default"/>
              <w:adjustRightInd/>
              <w:spacing w:line="276" w:lineRule="auto"/>
              <w:ind w:left="720"/>
              <w:rPr>
                <w:rFonts w:ascii="Arial" w:hAnsi="Arial" w:cs="Calibri"/>
                <w:sz w:val="20"/>
                <w:szCs w:val="20"/>
              </w:rPr>
            </w:pPr>
          </w:p>
          <w:p w14:paraId="0AA7D6CB" w14:textId="4F8397DF" w:rsidR="00A8090D" w:rsidRDefault="00A8090D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  <w:r>
              <w:rPr>
                <w:rFonts w:ascii="Arial" w:hAnsi="Arial" w:cs="Calibri"/>
                <w:b/>
                <w:sz w:val="20"/>
                <w:szCs w:val="20"/>
              </w:rPr>
              <w:t xml:space="preserve">KRZESŁO KONFERENENCYJNE </w:t>
            </w:r>
          </w:p>
          <w:p w14:paraId="4160511D" w14:textId="5AE31E8E" w:rsidR="00A8090D" w:rsidRPr="00A8090D" w:rsidRDefault="00A8090D" w:rsidP="00ED63A6">
            <w:p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>certyfikat ISO 9001 oraz ISO 14001 .</w:t>
            </w:r>
            <w:r>
              <w:rPr>
                <w:rFonts w:cs="Calibri"/>
              </w:rPr>
              <w:t xml:space="preserve">lub równoważne </w:t>
            </w:r>
          </w:p>
          <w:p w14:paraId="7A52464F" w14:textId="77777777" w:rsidR="00A8090D" w:rsidRDefault="00A8090D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</w:p>
          <w:p w14:paraId="06662D44" w14:textId="728C8277" w:rsidR="00A8090D" w:rsidRDefault="00A8090D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 xml:space="preserve">dokumenty potwierdzające użycie tkaniny </w:t>
            </w:r>
            <w:r>
              <w:rPr>
                <w:rFonts w:ascii="Arial" w:hAnsi="Arial" w:cs="Calibri"/>
                <w:color w:val="auto"/>
                <w:sz w:val="20"/>
                <w:szCs w:val="20"/>
              </w:rPr>
              <w:t>o składzie:</w:t>
            </w:r>
          </w:p>
          <w:p w14:paraId="33AB021A" w14:textId="1B0F30C8" w:rsidR="00A8090D" w:rsidRPr="00A8090D" w:rsidRDefault="00A8090D" w:rsidP="00ED63A6">
            <w:pPr>
              <w:numPr>
                <w:ilvl w:val="0"/>
                <w:numId w:val="28"/>
              </w:num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>100% poliester</w:t>
            </w:r>
          </w:p>
          <w:p w14:paraId="3D344C75" w14:textId="1D59F8C4" w:rsidR="00A8090D" w:rsidRPr="00A8090D" w:rsidRDefault="00A8090D" w:rsidP="00ED63A6">
            <w:pPr>
              <w:numPr>
                <w:ilvl w:val="0"/>
                <w:numId w:val="28"/>
              </w:num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 xml:space="preserve">Ścieralność : 90.000 cykli </w:t>
            </w:r>
            <w:r w:rsidR="006F16C0" w:rsidRPr="006721E0">
              <w:rPr>
                <w:rFonts w:cs="Calibri"/>
              </w:rPr>
              <w:t xml:space="preserve"> </w:t>
            </w:r>
            <w:proofErr w:type="spellStart"/>
            <w:r w:rsidR="006F16C0" w:rsidRPr="006721E0">
              <w:rPr>
                <w:rFonts w:cs="Calibri"/>
              </w:rPr>
              <w:t>Martindal</w:t>
            </w:r>
            <w:r w:rsidR="006F16C0">
              <w:rPr>
                <w:rFonts w:cs="Calibri"/>
              </w:rPr>
              <w:t>e’a</w:t>
            </w:r>
            <w:proofErr w:type="spellEnd"/>
          </w:p>
          <w:p w14:paraId="1A66011E" w14:textId="77777777" w:rsidR="00A8090D" w:rsidRPr="00A8090D" w:rsidRDefault="00A8090D" w:rsidP="00ED63A6">
            <w:pPr>
              <w:numPr>
                <w:ilvl w:val="0"/>
                <w:numId w:val="28"/>
              </w:num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 xml:space="preserve">Trudnopalność według normy DIN EN 1021-1 </w:t>
            </w:r>
          </w:p>
          <w:p w14:paraId="5645A2DB" w14:textId="77777777" w:rsidR="00A8090D" w:rsidRPr="00A8090D" w:rsidRDefault="00A8090D" w:rsidP="00ED63A6">
            <w:pPr>
              <w:numPr>
                <w:ilvl w:val="0"/>
                <w:numId w:val="28"/>
              </w:num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 xml:space="preserve">Odporność na światło 5 </w:t>
            </w:r>
          </w:p>
          <w:p w14:paraId="488585EC" w14:textId="77777777" w:rsidR="00A8090D" w:rsidRPr="00A8090D" w:rsidRDefault="00A8090D" w:rsidP="00ED63A6">
            <w:pPr>
              <w:numPr>
                <w:ilvl w:val="0"/>
                <w:numId w:val="28"/>
              </w:numPr>
              <w:suppressAutoHyphens/>
              <w:autoSpaceDE/>
              <w:adjustRightInd/>
              <w:ind w:left="709"/>
              <w:rPr>
                <w:rFonts w:cs="Calibri"/>
              </w:rPr>
            </w:pPr>
            <w:r w:rsidRPr="00A8090D">
              <w:rPr>
                <w:rFonts w:cs="Calibri"/>
              </w:rPr>
              <w:t xml:space="preserve">Odporność na </w:t>
            </w:r>
            <w:proofErr w:type="spellStart"/>
            <w:r w:rsidRPr="00A8090D">
              <w:rPr>
                <w:rFonts w:cs="Calibri"/>
              </w:rPr>
              <w:t>pilling</w:t>
            </w:r>
            <w:proofErr w:type="spellEnd"/>
            <w:r w:rsidRPr="00A8090D">
              <w:rPr>
                <w:rFonts w:cs="Calibri"/>
              </w:rPr>
              <w:t xml:space="preserve"> 4</w:t>
            </w:r>
          </w:p>
          <w:p w14:paraId="58B1EF87" w14:textId="77777777" w:rsidR="00042B84" w:rsidRPr="00042B84" w:rsidRDefault="00042B84" w:rsidP="00ED63A6">
            <w:pPr>
              <w:pStyle w:val="Akapitzlist"/>
              <w:spacing w:line="360" w:lineRule="auto"/>
              <w:ind w:left="0"/>
              <w:jc w:val="both"/>
              <w:rPr>
                <w:rFonts w:cs="Calibri"/>
                <w:color w:val="000000"/>
              </w:rPr>
            </w:pPr>
          </w:p>
          <w:p w14:paraId="38AF5F1B" w14:textId="77777777" w:rsidR="00C67BEC" w:rsidRPr="00610E37" w:rsidRDefault="00C67BEC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  <w:r w:rsidRPr="006721E0">
              <w:rPr>
                <w:rFonts w:ascii="Arial" w:hAnsi="Arial" w:cs="Calibri"/>
                <w:b/>
                <w:sz w:val="20"/>
                <w:szCs w:val="20"/>
              </w:rPr>
              <w:t>FOTEL OBROTOWY</w:t>
            </w:r>
          </w:p>
          <w:p w14:paraId="3AE071CA" w14:textId="77777777" w:rsidR="00C67BEC" w:rsidRPr="006721E0" w:rsidRDefault="00C67BEC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 w:rsidRPr="006721E0">
              <w:rPr>
                <w:rFonts w:cs="Calibri"/>
              </w:rPr>
              <w:t>- potwierdzenie zgodności z normami wytrzymałości PL-EN 1335</w:t>
            </w:r>
          </w:p>
          <w:p w14:paraId="4F7A2A33" w14:textId="77777777" w:rsidR="00C67BEC" w:rsidRPr="006721E0" w:rsidRDefault="00C67BEC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oraz dokumenty potwierdzające użycie tkaniny o składzie</w:t>
            </w:r>
            <w:r>
              <w:rPr>
                <w:rFonts w:ascii="Arial" w:hAnsi="Arial" w:cs="Calibri"/>
                <w:color w:val="auto"/>
                <w:sz w:val="20"/>
                <w:szCs w:val="20"/>
              </w:rPr>
              <w:t xml:space="preserve">: </w:t>
            </w: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100 % poliester</w:t>
            </w:r>
          </w:p>
          <w:p w14:paraId="1CB1BBE0" w14:textId="77777777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Gramatura: 100 % poliester</w:t>
            </w:r>
          </w:p>
          <w:p w14:paraId="69812F94" w14:textId="128DA686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ścieranie: 155 000 ± 5000 cykli </w:t>
            </w:r>
            <w:r w:rsidR="006F16C0" w:rsidRPr="006721E0">
              <w:rPr>
                <w:rFonts w:cs="Calibri"/>
              </w:rPr>
              <w:t xml:space="preserve"> </w:t>
            </w:r>
            <w:proofErr w:type="spellStart"/>
            <w:r w:rsidR="006F16C0" w:rsidRPr="006721E0">
              <w:rPr>
                <w:rFonts w:cs="Calibri"/>
              </w:rPr>
              <w:t>Martindal</w:t>
            </w:r>
            <w:r w:rsidR="006F16C0">
              <w:rPr>
                <w:rFonts w:cs="Calibri"/>
              </w:rPr>
              <w:t>e’a</w:t>
            </w:r>
            <w:proofErr w:type="spellEnd"/>
          </w:p>
          <w:p w14:paraId="1C0B2B3E" w14:textId="77777777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</w:t>
            </w:r>
            <w:proofErr w:type="spellStart"/>
            <w:r w:rsidRPr="006721E0">
              <w:rPr>
                <w:rFonts w:cs="Calibri"/>
              </w:rPr>
              <w:t>pilling</w:t>
            </w:r>
            <w:proofErr w:type="spellEnd"/>
            <w:r w:rsidRPr="006721E0">
              <w:rPr>
                <w:rFonts w:cs="Calibri"/>
              </w:rPr>
              <w:t>: EN ISO 12945 – 2 (4 – 5)</w:t>
            </w:r>
            <w:r>
              <w:rPr>
                <w:rFonts w:cs="Calibri"/>
              </w:rPr>
              <w:t xml:space="preserve"> lub równoważne </w:t>
            </w:r>
          </w:p>
          <w:p w14:paraId="7386A144" w14:textId="77777777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światło: EN ISO 12945 – 2 (4 – 5)</w:t>
            </w:r>
            <w:r>
              <w:rPr>
                <w:rFonts w:cs="Calibri"/>
              </w:rPr>
              <w:t xml:space="preserve"> lub równoważne</w:t>
            </w:r>
          </w:p>
          <w:p w14:paraId="0EE5B34E" w14:textId="77777777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tarcie: EN ISO 105-B02 (3 – 4)</w:t>
            </w:r>
            <w:r>
              <w:rPr>
                <w:rFonts w:cs="Calibri"/>
              </w:rPr>
              <w:t xml:space="preserve"> lub równoważne</w:t>
            </w:r>
          </w:p>
          <w:p w14:paraId="1D1C65B8" w14:textId="77777777" w:rsidR="00C67BEC" w:rsidRPr="006721E0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Certyfikat </w:t>
            </w:r>
            <w:proofErr w:type="spellStart"/>
            <w:r w:rsidRPr="006721E0">
              <w:rPr>
                <w:rFonts w:cs="Calibri"/>
              </w:rPr>
              <w:t>Oeko</w:t>
            </w:r>
            <w:proofErr w:type="spellEnd"/>
            <w:r w:rsidRPr="006721E0">
              <w:rPr>
                <w:rFonts w:cs="Calibri"/>
              </w:rPr>
              <w:t>-Tex Standard 100</w:t>
            </w:r>
            <w:r>
              <w:rPr>
                <w:rFonts w:cs="Calibri"/>
              </w:rPr>
              <w:t xml:space="preserve"> lub równoważny</w:t>
            </w:r>
          </w:p>
          <w:p w14:paraId="74DEF85A" w14:textId="77777777" w:rsidR="00042B84" w:rsidRDefault="00042B84" w:rsidP="00ED63A6">
            <w:pPr>
              <w:pStyle w:val="Akapitzlist"/>
              <w:spacing w:line="360" w:lineRule="auto"/>
              <w:ind w:left="0"/>
              <w:jc w:val="both"/>
              <w:rPr>
                <w:rFonts w:cs="Calibri"/>
                <w:color w:val="000000"/>
              </w:rPr>
            </w:pPr>
          </w:p>
          <w:p w14:paraId="7D9095B4" w14:textId="48CB3357" w:rsidR="00C67BEC" w:rsidRPr="00C67BEC" w:rsidRDefault="00C67BEC" w:rsidP="00ED63A6">
            <w:pPr>
              <w:pStyle w:val="Akapitzlist"/>
              <w:spacing w:line="360" w:lineRule="auto"/>
              <w:ind w:left="0"/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FOTEL DLA STRON</w:t>
            </w:r>
          </w:p>
          <w:p w14:paraId="79C92AF6" w14:textId="77777777" w:rsidR="00C67BEC" w:rsidRPr="00E2682E" w:rsidRDefault="00C67BEC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dokumenty potwierdzające użycie tkaniny </w:t>
            </w:r>
            <w:r>
              <w:rPr>
                <w:rFonts w:cs="Calibri"/>
              </w:rPr>
              <w:t>o składzie:</w:t>
            </w:r>
          </w:p>
          <w:p w14:paraId="65A1D373" w14:textId="16DF6040" w:rsidR="00C67BEC" w:rsidRPr="00E2682E" w:rsidRDefault="00C67BEC" w:rsidP="00ED63A6">
            <w:pPr>
              <w:ind w:left="23"/>
              <w:rPr>
                <w:rFonts w:cs="Calibri"/>
              </w:rPr>
            </w:pPr>
            <w:r w:rsidRPr="00E2682E">
              <w:rPr>
                <w:rFonts w:cs="Calibri"/>
              </w:rPr>
              <w:t>100% poliester</w:t>
            </w:r>
          </w:p>
          <w:p w14:paraId="0C39BDE5" w14:textId="77777777" w:rsidR="00C67BEC" w:rsidRPr="00E2682E" w:rsidRDefault="00C67BEC" w:rsidP="00ED63A6">
            <w:pPr>
              <w:ind w:left="23"/>
              <w:rPr>
                <w:rFonts w:cs="Calibri"/>
              </w:rPr>
            </w:pPr>
            <w:r w:rsidRPr="00E2682E">
              <w:rPr>
                <w:rFonts w:cs="Calibri"/>
              </w:rPr>
              <w:t xml:space="preserve">Ścieralność : 100 000 cykli  </w:t>
            </w:r>
          </w:p>
          <w:p w14:paraId="1E36A8E0" w14:textId="77777777" w:rsidR="00C67BEC" w:rsidRPr="00E2682E" w:rsidRDefault="00C67BEC" w:rsidP="00ED63A6">
            <w:pPr>
              <w:ind w:left="23"/>
              <w:rPr>
                <w:rFonts w:cs="Calibri"/>
              </w:rPr>
            </w:pPr>
            <w:r w:rsidRPr="00E2682E">
              <w:rPr>
                <w:rFonts w:cs="Calibri"/>
              </w:rPr>
              <w:t xml:space="preserve">Trudnopalność BS 5852 </w:t>
            </w:r>
            <w:proofErr w:type="spellStart"/>
            <w:r w:rsidRPr="00E2682E">
              <w:rPr>
                <w:rFonts w:cs="Calibri"/>
              </w:rPr>
              <w:t>Partt</w:t>
            </w:r>
            <w:proofErr w:type="spellEnd"/>
            <w:r w:rsidRPr="00E2682E">
              <w:rPr>
                <w:rFonts w:cs="Calibri"/>
              </w:rPr>
              <w:t xml:space="preserve"> 1:1979</w:t>
            </w:r>
          </w:p>
          <w:p w14:paraId="31F95312" w14:textId="77777777" w:rsidR="00C67BEC" w:rsidRPr="00E2682E" w:rsidRDefault="00C67BEC" w:rsidP="00ED63A6">
            <w:pPr>
              <w:ind w:left="23"/>
              <w:rPr>
                <w:rFonts w:cs="Calibri"/>
              </w:rPr>
            </w:pPr>
            <w:r w:rsidRPr="00E2682E">
              <w:rPr>
                <w:rFonts w:cs="Calibri"/>
              </w:rPr>
              <w:t>Odporność na światło minimum 5</w:t>
            </w:r>
          </w:p>
          <w:p w14:paraId="7B29FA69" w14:textId="77777777" w:rsidR="00C67BEC" w:rsidRDefault="00C67BEC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</w:p>
          <w:p w14:paraId="60993331" w14:textId="77777777" w:rsidR="000B4FCC" w:rsidRDefault="000B4FCC" w:rsidP="009E1376">
            <w:pPr>
              <w:jc w:val="both"/>
              <w:rPr>
                <w:b/>
              </w:rPr>
            </w:pPr>
          </w:p>
          <w:p w14:paraId="2FF6B3BF" w14:textId="65BD937F" w:rsidR="00EC67DF" w:rsidRDefault="00EC67DF" w:rsidP="00EC67DF">
            <w:pPr>
              <w:jc w:val="center"/>
              <w:rPr>
                <w:b/>
              </w:rPr>
            </w:pPr>
            <w:r>
              <w:rPr>
                <w:b/>
              </w:rPr>
              <w:t>ZADANIE nr 3</w:t>
            </w:r>
            <w:r w:rsidR="00B81C7B">
              <w:rPr>
                <w:b/>
              </w:rPr>
              <w:t xml:space="preserve"> - Ustrzyki</w:t>
            </w:r>
          </w:p>
          <w:p w14:paraId="265A6A59" w14:textId="77777777" w:rsidR="00EC67DF" w:rsidRDefault="00EC67DF" w:rsidP="00EC67DF">
            <w:pPr>
              <w:rPr>
                <w:b/>
              </w:rPr>
            </w:pPr>
          </w:p>
          <w:p w14:paraId="75AEA881" w14:textId="77777777" w:rsidR="00EC67DF" w:rsidRDefault="00EC67DF" w:rsidP="00ED63A6">
            <w:pPr>
              <w:pStyle w:val="Akapitzlist"/>
              <w:numPr>
                <w:ilvl w:val="0"/>
                <w:numId w:val="36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5554DE67" w14:textId="77777777" w:rsidR="00E109AB" w:rsidRDefault="00E109AB" w:rsidP="00E109AB">
            <w:pPr>
              <w:jc w:val="both"/>
              <w:rPr>
                <w:rFonts w:cs="Calibri"/>
                <w:color w:val="000000"/>
              </w:rPr>
            </w:pPr>
          </w:p>
          <w:p w14:paraId="11A7D299" w14:textId="77777777" w:rsidR="00E109AB" w:rsidRDefault="00E109AB" w:rsidP="00E109AB">
            <w:pPr>
              <w:jc w:val="both"/>
              <w:rPr>
                <w:rFonts w:cs="Calibri"/>
                <w:color w:val="000000"/>
              </w:rPr>
            </w:pPr>
          </w:p>
          <w:p w14:paraId="3DE65834" w14:textId="77777777" w:rsidR="00E109AB" w:rsidRDefault="00E109AB" w:rsidP="00C5716C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lastRenderedPageBreak/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48D291A4" w14:textId="77777777" w:rsidR="00E109AB" w:rsidRDefault="00E109AB" w:rsidP="00C5716C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512A16BF" w14:textId="77777777" w:rsidR="00E109AB" w:rsidRDefault="00E109AB" w:rsidP="00C5716C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56B772E1" w14:textId="77777777" w:rsidR="00E109AB" w:rsidRDefault="00E109AB" w:rsidP="00C5716C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56BF053E" w14:textId="77777777" w:rsidR="00E109AB" w:rsidRDefault="00E109AB" w:rsidP="00C5716C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elementów wysuwanych </w:t>
            </w:r>
          </w:p>
          <w:p w14:paraId="1A6BB3FA" w14:textId="7839C202" w:rsidR="00E109AB" w:rsidRPr="003D0F3A" w:rsidRDefault="00E109AB" w:rsidP="00C5716C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 xml:space="preserve">PN-EN </w:t>
            </w:r>
            <w:r w:rsidR="003D0F3A" w:rsidRPr="003D0F3A">
              <w:rPr>
                <w:rFonts w:cs="Calibri"/>
                <w:b/>
                <w:bCs/>
                <w:color w:val="000000"/>
              </w:rPr>
              <w:t>317</w:t>
            </w:r>
            <w:r w:rsidRPr="003D0F3A">
              <w:rPr>
                <w:rFonts w:cs="Calibri"/>
                <w:b/>
                <w:bCs/>
                <w:color w:val="000000"/>
              </w:rPr>
              <w:t>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>lub równoważne</w:t>
            </w:r>
            <w:r w:rsidR="003D0F3A">
              <w:rPr>
                <w:rFonts w:cs="Calibri"/>
                <w:b/>
                <w:color w:val="000000"/>
              </w:rPr>
              <w:t xml:space="preserve"> </w:t>
            </w:r>
            <w:r w:rsidR="003D0F3A"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351B68F0" w14:textId="308000E6" w:rsidR="00E109AB" w:rsidRDefault="003D0F3A" w:rsidP="00C5716C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7C4F4179" w14:textId="39AF4EFF" w:rsidR="003D0F3A" w:rsidRPr="00E109AB" w:rsidRDefault="003D0F3A" w:rsidP="00C5716C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wiórowej trójwarstwowej, pokrytej obustronnie melaminą o obniżonej emisyjności formaldehydu (max. 0,04 mg/m3)</w:t>
            </w:r>
          </w:p>
          <w:p w14:paraId="36F7BB22" w14:textId="77777777" w:rsidR="00221279" w:rsidRDefault="00221279" w:rsidP="00221279">
            <w:pPr>
              <w:pStyle w:val="Akapitzlist"/>
              <w:ind w:left="720"/>
              <w:jc w:val="both"/>
              <w:rPr>
                <w:rFonts w:cs="Calibri"/>
                <w:color w:val="000000"/>
              </w:rPr>
            </w:pPr>
          </w:p>
          <w:p w14:paraId="4846798B" w14:textId="4EBD6665" w:rsidR="000E52EE" w:rsidRDefault="000E52EE" w:rsidP="000E52EE">
            <w:pPr>
              <w:jc w:val="center"/>
              <w:rPr>
                <w:b/>
              </w:rPr>
            </w:pPr>
            <w:r>
              <w:rPr>
                <w:b/>
              </w:rPr>
              <w:t>ZADANIE nr 4</w:t>
            </w:r>
            <w:r w:rsidR="00B81C7B">
              <w:rPr>
                <w:b/>
              </w:rPr>
              <w:t xml:space="preserve"> - Jasło</w:t>
            </w:r>
          </w:p>
          <w:p w14:paraId="52B191E0" w14:textId="77777777" w:rsidR="000E52EE" w:rsidRDefault="000E52EE" w:rsidP="000E52EE">
            <w:pPr>
              <w:rPr>
                <w:b/>
              </w:rPr>
            </w:pPr>
          </w:p>
          <w:p w14:paraId="19FC8C31" w14:textId="77777777" w:rsidR="00ED63A6" w:rsidRDefault="00ED63A6" w:rsidP="00ED63A6">
            <w:pPr>
              <w:pStyle w:val="Akapitzlist"/>
              <w:numPr>
                <w:ilvl w:val="0"/>
                <w:numId w:val="37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089AEA21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3A149B8D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43A04677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76BC1FB0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2A18A8B0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0F0C2442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5FD7B3EB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elementów wysuwanych </w:t>
            </w:r>
          </w:p>
          <w:p w14:paraId="711E2432" w14:textId="77777777" w:rsidR="00ED63A6" w:rsidRPr="003D0F3A" w:rsidRDefault="00ED63A6" w:rsidP="00ED63A6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317:2004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lub równoważne </w:t>
            </w:r>
            <w:r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2C5F8C99" w14:textId="77777777" w:rsidR="00ED63A6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68A19BED" w14:textId="77777777" w:rsidR="00ED63A6" w:rsidRPr="00E109AB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</w:t>
            </w:r>
            <w:r>
              <w:rPr>
                <w:rFonts w:cs="Calibri"/>
                <w:color w:val="000000"/>
              </w:rPr>
              <w:lastRenderedPageBreak/>
              <w:t>wiórowej trójwarstwowej, pokrytej obustronnie melaminą o obniżonej emisyjności formaldehydu (max. 0,04 mg/m3)</w:t>
            </w:r>
          </w:p>
          <w:p w14:paraId="5C8FFD8D" w14:textId="34AADD67" w:rsidR="000E52EE" w:rsidRPr="000E52EE" w:rsidRDefault="000E52EE" w:rsidP="000E52EE">
            <w:pPr>
              <w:pStyle w:val="Default"/>
              <w:adjustRightInd/>
              <w:spacing w:line="276" w:lineRule="auto"/>
              <w:ind w:left="720"/>
              <w:rPr>
                <w:rFonts w:ascii="Arial" w:hAnsi="Arial" w:cs="Calibri"/>
                <w:sz w:val="20"/>
                <w:szCs w:val="20"/>
              </w:rPr>
            </w:pPr>
          </w:p>
          <w:p w14:paraId="4819126C" w14:textId="77777777" w:rsidR="000E52EE" w:rsidRDefault="000E52EE" w:rsidP="000E52EE">
            <w:pPr>
              <w:pStyle w:val="Default"/>
              <w:adjustRightInd/>
              <w:spacing w:line="276" w:lineRule="auto"/>
              <w:ind w:left="720"/>
              <w:rPr>
                <w:rFonts w:ascii="Arial" w:hAnsi="Arial" w:cs="Calibri"/>
                <w:sz w:val="20"/>
                <w:szCs w:val="20"/>
              </w:rPr>
            </w:pPr>
          </w:p>
          <w:p w14:paraId="2BB9AF04" w14:textId="77777777" w:rsidR="000E52EE" w:rsidRPr="00610E37" w:rsidRDefault="000E52EE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  <w:r w:rsidRPr="006721E0">
              <w:rPr>
                <w:rFonts w:ascii="Arial" w:hAnsi="Arial" w:cs="Calibri"/>
                <w:b/>
                <w:sz w:val="20"/>
                <w:szCs w:val="20"/>
              </w:rPr>
              <w:t>FOTEL OBROTOWY</w:t>
            </w:r>
          </w:p>
          <w:p w14:paraId="0D7BEE18" w14:textId="77777777" w:rsidR="000E52EE" w:rsidRPr="006721E0" w:rsidRDefault="000E52EE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 w:rsidRPr="006721E0">
              <w:rPr>
                <w:rFonts w:cs="Calibri"/>
              </w:rPr>
              <w:t>- potwierdzenie zgodności z normami wytrzymałości PL-EN 1335</w:t>
            </w:r>
          </w:p>
          <w:p w14:paraId="6669C6B0" w14:textId="77777777" w:rsidR="000E52EE" w:rsidRPr="006721E0" w:rsidRDefault="000E52EE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oraz dokumenty potwierdzające użycie tkaniny o składzie</w:t>
            </w:r>
            <w:r>
              <w:rPr>
                <w:rFonts w:ascii="Arial" w:hAnsi="Arial" w:cs="Calibri"/>
                <w:color w:val="auto"/>
                <w:sz w:val="20"/>
                <w:szCs w:val="20"/>
              </w:rPr>
              <w:t xml:space="preserve">: </w:t>
            </w: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100 % poliester</w:t>
            </w:r>
          </w:p>
          <w:p w14:paraId="02F84215" w14:textId="77777777" w:rsidR="000E52EE" w:rsidRPr="006721E0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Gramatura: 100 % poliester</w:t>
            </w:r>
          </w:p>
          <w:p w14:paraId="090BC193" w14:textId="7979FDB5" w:rsidR="000E52EE" w:rsidRPr="006721E0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ścieranie: 155 000 ± 5000 cykli </w:t>
            </w:r>
            <w:r w:rsidR="006F16C0" w:rsidRPr="006721E0">
              <w:rPr>
                <w:rFonts w:cs="Calibri"/>
              </w:rPr>
              <w:t xml:space="preserve"> </w:t>
            </w:r>
            <w:proofErr w:type="spellStart"/>
            <w:r w:rsidR="006F16C0" w:rsidRPr="006721E0">
              <w:rPr>
                <w:rFonts w:cs="Calibri"/>
              </w:rPr>
              <w:t>Martindal</w:t>
            </w:r>
            <w:r w:rsidR="006F16C0">
              <w:rPr>
                <w:rFonts w:cs="Calibri"/>
              </w:rPr>
              <w:t>e’a</w:t>
            </w:r>
            <w:proofErr w:type="spellEnd"/>
          </w:p>
          <w:p w14:paraId="230DE2BF" w14:textId="77777777" w:rsidR="000E52EE" w:rsidRPr="006721E0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</w:t>
            </w:r>
            <w:proofErr w:type="spellStart"/>
            <w:r w:rsidRPr="006721E0">
              <w:rPr>
                <w:rFonts w:cs="Calibri"/>
              </w:rPr>
              <w:t>pilling</w:t>
            </w:r>
            <w:proofErr w:type="spellEnd"/>
            <w:r w:rsidRPr="006721E0">
              <w:rPr>
                <w:rFonts w:cs="Calibri"/>
              </w:rPr>
              <w:t>: EN ISO 12945 – 2 (4 – 5)</w:t>
            </w:r>
            <w:r>
              <w:rPr>
                <w:rFonts w:cs="Calibri"/>
              </w:rPr>
              <w:t xml:space="preserve"> lub równoważne </w:t>
            </w:r>
          </w:p>
          <w:p w14:paraId="66C088A6" w14:textId="77777777" w:rsidR="000E52EE" w:rsidRPr="006721E0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światło: EN ISO 12945 – 2 (4 – 5)</w:t>
            </w:r>
            <w:r>
              <w:rPr>
                <w:rFonts w:cs="Calibri"/>
              </w:rPr>
              <w:t xml:space="preserve"> lub równoważne</w:t>
            </w:r>
          </w:p>
          <w:p w14:paraId="03474002" w14:textId="77777777" w:rsidR="000E52EE" w:rsidRPr="006721E0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tarcie: EN ISO 105-B02 (3 – 4)</w:t>
            </w:r>
            <w:r>
              <w:rPr>
                <w:rFonts w:cs="Calibri"/>
              </w:rPr>
              <w:t xml:space="preserve"> lub równoważne</w:t>
            </w:r>
          </w:p>
          <w:p w14:paraId="5F6F338A" w14:textId="77777777" w:rsidR="000E52EE" w:rsidRDefault="000E52EE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Certyfikat </w:t>
            </w:r>
            <w:proofErr w:type="spellStart"/>
            <w:r w:rsidRPr="006721E0">
              <w:rPr>
                <w:rFonts w:cs="Calibri"/>
              </w:rPr>
              <w:t>Oeko</w:t>
            </w:r>
            <w:proofErr w:type="spellEnd"/>
            <w:r w:rsidRPr="006721E0">
              <w:rPr>
                <w:rFonts w:cs="Calibri"/>
              </w:rPr>
              <w:t>-Tex Standard 100</w:t>
            </w:r>
            <w:r>
              <w:rPr>
                <w:rFonts w:cs="Calibri"/>
              </w:rPr>
              <w:t xml:space="preserve"> lub równoważny</w:t>
            </w:r>
          </w:p>
          <w:p w14:paraId="78BDB71D" w14:textId="77777777" w:rsidR="000E52EE" w:rsidRDefault="000E52EE" w:rsidP="00ED63A6">
            <w:pPr>
              <w:ind w:left="23"/>
              <w:rPr>
                <w:rFonts w:cs="Calibri"/>
              </w:rPr>
            </w:pPr>
          </w:p>
          <w:p w14:paraId="2126CDE5" w14:textId="68B5957E" w:rsidR="000E52EE" w:rsidRDefault="000E52EE" w:rsidP="00ED63A6">
            <w:pPr>
              <w:ind w:left="23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SZAFA METALOWA KLASA A </w:t>
            </w:r>
          </w:p>
          <w:p w14:paraId="5CA2E86B" w14:textId="77777777" w:rsidR="000E52EE" w:rsidRPr="006A2272" w:rsidRDefault="000E52EE" w:rsidP="00ED63A6">
            <w:pPr>
              <w:ind w:left="23"/>
              <w:rPr>
                <w:rFonts w:cs="Calibri"/>
              </w:rPr>
            </w:pPr>
            <w:r>
              <w:rPr>
                <w:rFonts w:cs="Calibri"/>
              </w:rPr>
              <w:t xml:space="preserve">Szafa metalowa </w:t>
            </w:r>
            <w:r w:rsidRPr="000E52EE">
              <w:rPr>
                <w:rFonts w:cs="Calibri"/>
              </w:rPr>
              <w:t>musi posiadać certyfikaty do przechowywania: </w:t>
            </w:r>
          </w:p>
          <w:p w14:paraId="70BB3BA4" w14:textId="21ADB6EE" w:rsidR="000E52EE" w:rsidRPr="006A2272" w:rsidRDefault="000E52EE" w:rsidP="00ED63A6">
            <w:pPr>
              <w:ind w:left="23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0E52EE">
              <w:rPr>
                <w:rFonts w:cs="Calibri"/>
              </w:rPr>
              <w:t>dokumentów poufnych, klasa A, zgodnie z zarządzeniem NR57/MON Ministra Obrony Narodowej z dnia 16 grudnia 2011 r. oraz NR46/MON Ministra Obrony Narodowej z dnia 24 grudnia 2013 r.</w:t>
            </w:r>
          </w:p>
          <w:p w14:paraId="59EBFC8F" w14:textId="55FB385A" w:rsidR="000E52EE" w:rsidRPr="006A2272" w:rsidRDefault="000E52EE" w:rsidP="00ED63A6">
            <w:pPr>
              <w:ind w:left="23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0E52EE">
              <w:rPr>
                <w:rFonts w:cs="Calibri"/>
              </w:rPr>
              <w:t>dokumentów poufnych, zastrzeżonych, Typ 1, wg Rozporządzenia Rady Ministrów z dnia 29 maja 2012 r.</w:t>
            </w:r>
          </w:p>
          <w:p w14:paraId="1934F1AC" w14:textId="77777777" w:rsidR="000E52EE" w:rsidRPr="000E52EE" w:rsidRDefault="000E52EE" w:rsidP="000E52EE">
            <w:pPr>
              <w:ind w:left="743"/>
              <w:rPr>
                <w:rFonts w:cs="Calibri"/>
                <w:b/>
              </w:rPr>
            </w:pPr>
          </w:p>
          <w:p w14:paraId="4E4CFA4D" w14:textId="530EC958" w:rsidR="00395456" w:rsidRDefault="00395456" w:rsidP="00395456">
            <w:pPr>
              <w:jc w:val="center"/>
              <w:rPr>
                <w:b/>
              </w:rPr>
            </w:pPr>
            <w:r>
              <w:rPr>
                <w:b/>
              </w:rPr>
              <w:t>ZADANIE nr 5</w:t>
            </w:r>
            <w:r w:rsidR="00B81C7B">
              <w:rPr>
                <w:b/>
              </w:rPr>
              <w:t xml:space="preserve"> - Rymanów</w:t>
            </w:r>
          </w:p>
          <w:p w14:paraId="7A2B3A87" w14:textId="77777777" w:rsidR="00395456" w:rsidRDefault="00395456" w:rsidP="00395456">
            <w:pPr>
              <w:rPr>
                <w:b/>
              </w:rPr>
            </w:pPr>
          </w:p>
          <w:p w14:paraId="26C6C003" w14:textId="77777777" w:rsidR="00ED63A6" w:rsidRDefault="00ED63A6" w:rsidP="00ED63A6">
            <w:pPr>
              <w:pStyle w:val="Akapitzlist"/>
              <w:numPr>
                <w:ilvl w:val="0"/>
                <w:numId w:val="38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31C0FC12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5393153B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4CA25857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0B23EEA1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7C8654FA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4876E764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1497C8D0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elementów wysuwanych </w:t>
            </w:r>
          </w:p>
          <w:p w14:paraId="1DFF931B" w14:textId="77777777" w:rsidR="00ED63A6" w:rsidRPr="003D0F3A" w:rsidRDefault="00ED63A6" w:rsidP="00ED63A6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317:2004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lub równoważne </w:t>
            </w:r>
            <w:r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70BB277B" w14:textId="77777777" w:rsidR="00ED63A6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56E68E1F" w14:textId="77777777" w:rsidR="00ED63A6" w:rsidRPr="00E109AB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wiórowej trójwarstwowej, pokrytej obustronnie melaminą o obniżonej emisyjności </w:t>
            </w:r>
            <w:r>
              <w:rPr>
                <w:rFonts w:cs="Calibri"/>
                <w:color w:val="000000"/>
              </w:rPr>
              <w:lastRenderedPageBreak/>
              <w:t>formaldehydu (max. 0,04 mg/m3)</w:t>
            </w:r>
          </w:p>
          <w:p w14:paraId="5D26581D" w14:textId="0032526B" w:rsidR="00B81C7B" w:rsidRPr="00ED63A6" w:rsidRDefault="00395456" w:rsidP="00ED63A6">
            <w:pPr>
              <w:pStyle w:val="Default"/>
              <w:adjustRightInd/>
              <w:spacing w:line="276" w:lineRule="auto"/>
              <w:ind w:left="720"/>
              <w:rPr>
                <w:rFonts w:ascii="Arial" w:hAnsi="Arial" w:cs="Calibri"/>
                <w:sz w:val="20"/>
                <w:szCs w:val="20"/>
              </w:rPr>
            </w:pPr>
            <w:r w:rsidRPr="000E52EE">
              <w:rPr>
                <w:rFonts w:ascii="Arial" w:hAnsi="Arial" w:cs="Calibri"/>
                <w:sz w:val="20"/>
                <w:szCs w:val="20"/>
              </w:rPr>
              <w:t xml:space="preserve"> </w:t>
            </w:r>
          </w:p>
          <w:p w14:paraId="607EEFD0" w14:textId="3D744189" w:rsidR="00B81C7B" w:rsidRDefault="00B81C7B" w:rsidP="00B81C7B">
            <w:pPr>
              <w:jc w:val="center"/>
              <w:rPr>
                <w:b/>
              </w:rPr>
            </w:pPr>
            <w:r w:rsidRPr="00F80247">
              <w:rPr>
                <w:b/>
              </w:rPr>
              <w:t xml:space="preserve">ZADANIE nr 6 </w:t>
            </w:r>
            <w:r w:rsidR="00ED63A6" w:rsidRPr="00F80247">
              <w:rPr>
                <w:b/>
              </w:rPr>
              <w:t>–</w:t>
            </w:r>
            <w:r w:rsidRPr="00F80247">
              <w:rPr>
                <w:b/>
              </w:rPr>
              <w:t xml:space="preserve"> Łańcut</w:t>
            </w:r>
          </w:p>
          <w:p w14:paraId="7AF4BA9D" w14:textId="77777777" w:rsidR="00ED63A6" w:rsidRDefault="00ED63A6" w:rsidP="00C316AD">
            <w:pPr>
              <w:rPr>
                <w:b/>
              </w:rPr>
            </w:pPr>
          </w:p>
          <w:p w14:paraId="6C37FF45" w14:textId="77777777" w:rsidR="00ED63A6" w:rsidRDefault="00ED63A6" w:rsidP="00ED63A6">
            <w:pPr>
              <w:pStyle w:val="Akapitzlist"/>
              <w:numPr>
                <w:ilvl w:val="0"/>
                <w:numId w:val="39"/>
              </w:num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Wszystkie m</w:t>
            </w:r>
            <w:r w:rsidRPr="00884DEB">
              <w:rPr>
                <w:rFonts w:cs="Calibri"/>
                <w:color w:val="000000"/>
              </w:rPr>
              <w:t>eble zaproponowane w ofe</w:t>
            </w:r>
            <w:r>
              <w:rPr>
                <w:rFonts w:cs="Calibri"/>
                <w:color w:val="000000"/>
              </w:rPr>
              <w:t>rcie muszą być zgodne z normami potwierdzonymi świadectwem badań:</w:t>
            </w:r>
          </w:p>
          <w:p w14:paraId="798DBC9F" w14:textId="77777777" w:rsidR="00ED63A6" w:rsidRDefault="00ED63A6" w:rsidP="00ED63A6">
            <w:pPr>
              <w:jc w:val="both"/>
              <w:rPr>
                <w:rFonts w:cs="Calibri"/>
                <w:color w:val="000000"/>
              </w:rPr>
            </w:pPr>
          </w:p>
          <w:p w14:paraId="4D8A1373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14073-2:2006 lub równoważne</w:t>
            </w:r>
            <w:r>
              <w:rPr>
                <w:rFonts w:cs="Calibri"/>
                <w:color w:val="000000"/>
              </w:rPr>
              <w:t xml:space="preserve"> / wymagania bezpieczeństwa dot. użytkowania krawędzi i narożników, szuflad, wytrzymałości półek oraz ich podpór, wytrzymałości powierzchni wieńca górnego, wytrzymałości elementów wysuwanych oraz ich dynamiki, wytrzymałości przy dynamicznym zamykaniu i otwieraniu drzwi przesuwnych</w:t>
            </w:r>
          </w:p>
          <w:p w14:paraId="45190E00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14073-3:2006 lub równoważne</w:t>
            </w:r>
            <w:r>
              <w:rPr>
                <w:rFonts w:cs="Calibri"/>
                <w:color w:val="000000"/>
              </w:rPr>
              <w:t xml:space="preserve"> / wymagania bezpieczeństwa dot. oderwania się szafek i półek wiszących, części ruchomych, wytrzymałości urządzeń mocujących, stateczności mebli stojących przymocowanych do ścian budynku</w:t>
            </w:r>
          </w:p>
          <w:p w14:paraId="6D3AED10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527-2:2004 lub równoważne /</w:t>
            </w:r>
            <w:r>
              <w:rPr>
                <w:rFonts w:cs="Calibri"/>
                <w:color w:val="000000"/>
              </w:rPr>
              <w:t xml:space="preserve"> dot. mechanicznych wymagań bezpieczeństwa </w:t>
            </w:r>
          </w:p>
          <w:p w14:paraId="08A58191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527-3:2004 lub równoważne /</w:t>
            </w:r>
            <w:r>
              <w:rPr>
                <w:rFonts w:cs="Calibri"/>
                <w:color w:val="000000"/>
              </w:rPr>
              <w:t xml:space="preserve"> dot. stateczności i wytrzymałości mechanicznych konstrukcji stołów i biurek </w:t>
            </w:r>
          </w:p>
          <w:p w14:paraId="506849CD" w14:textId="77777777" w:rsidR="00ED63A6" w:rsidRDefault="00ED63A6" w:rsidP="00ED63A6">
            <w:pPr>
              <w:spacing w:line="276" w:lineRule="auto"/>
            </w:pPr>
            <w:r>
              <w:rPr>
                <w:rFonts w:cs="Calibri"/>
                <w:b/>
                <w:color w:val="000000"/>
              </w:rPr>
              <w:t>PN-EN 14074:2006 lub równoważne /</w:t>
            </w:r>
            <w:r>
              <w:rPr>
                <w:rFonts w:cs="Calibri"/>
                <w:color w:val="000000"/>
              </w:rPr>
              <w:t xml:space="preserve"> dot. trwałości drzwi o pionowej osi obrotu, elementów wysuwanych </w:t>
            </w:r>
          </w:p>
          <w:p w14:paraId="4BE42B2B" w14:textId="77777777" w:rsidR="00ED63A6" w:rsidRPr="003D0F3A" w:rsidRDefault="00ED63A6" w:rsidP="00ED63A6">
            <w:pPr>
              <w:spacing w:line="276" w:lineRule="auto"/>
              <w:rPr>
                <w:rFonts w:cs="Calibri"/>
                <w:bCs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317:2004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lub równoważne </w:t>
            </w:r>
            <w:r w:rsidRPr="003D0F3A">
              <w:rPr>
                <w:rFonts w:cs="Calibri"/>
                <w:bCs/>
                <w:color w:val="000000"/>
              </w:rPr>
              <w:t>/ wymagania dotyczące odporności na 24-ro godzinne działanie wody (sprężystość i nasiąkliwość)</w:t>
            </w:r>
          </w:p>
          <w:p w14:paraId="0B58E777" w14:textId="77777777" w:rsidR="00ED63A6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319:1999</w:t>
            </w:r>
            <w:r>
              <w:rPr>
                <w:rFonts w:cs="Calibri"/>
                <w:color w:val="000000"/>
              </w:rPr>
              <w:t xml:space="preserve"> oraz </w:t>
            </w:r>
            <w:r w:rsidRPr="003D0F3A">
              <w:rPr>
                <w:rFonts w:cs="Calibri"/>
                <w:b/>
                <w:bCs/>
                <w:color w:val="000000"/>
              </w:rPr>
              <w:t>PN-EN 311:20</w:t>
            </w:r>
            <w:r>
              <w:rPr>
                <w:rFonts w:cs="Calibri"/>
                <w:b/>
                <w:bCs/>
                <w:color w:val="000000"/>
              </w:rPr>
              <w:t>0</w:t>
            </w:r>
            <w:r w:rsidRPr="003D0F3A">
              <w:rPr>
                <w:rFonts w:cs="Calibri"/>
                <w:b/>
                <w:bCs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 xml:space="preserve"> lub równoważne / wymagania w zakresie odporności na odrywanie doklejki</w:t>
            </w:r>
          </w:p>
          <w:p w14:paraId="6CB487B6" w14:textId="77777777" w:rsidR="00ED63A6" w:rsidRPr="00E109AB" w:rsidRDefault="00ED63A6" w:rsidP="00ED63A6">
            <w:pPr>
              <w:spacing w:line="276" w:lineRule="auto"/>
              <w:rPr>
                <w:rFonts w:cs="Calibri"/>
                <w:color w:val="000000"/>
              </w:rPr>
            </w:pPr>
            <w:r w:rsidRPr="003D0F3A">
              <w:rPr>
                <w:rFonts w:cs="Calibri"/>
                <w:b/>
                <w:bCs/>
                <w:color w:val="000000"/>
              </w:rPr>
              <w:t>PN-EN 717-1:2006</w:t>
            </w:r>
            <w:r>
              <w:rPr>
                <w:rFonts w:cs="Calibri"/>
                <w:color w:val="000000"/>
              </w:rPr>
              <w:t xml:space="preserve"> lub równoważne / wymagania w zakresie wykonania płyty wiórowej trójwarstwowej, pokrytej obustronnie melaminą o obniżonej emisyjności formaldehydu (max. 0,04 mg/m3)</w:t>
            </w:r>
          </w:p>
          <w:p w14:paraId="504DD95A" w14:textId="77777777" w:rsidR="008E343D" w:rsidRDefault="008E343D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</w:p>
          <w:p w14:paraId="1F2393A9" w14:textId="3C7ADBC5" w:rsidR="00B81C7B" w:rsidRPr="00610E37" w:rsidRDefault="00B81C7B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b/>
                <w:sz w:val="20"/>
                <w:szCs w:val="20"/>
              </w:rPr>
            </w:pPr>
            <w:r w:rsidRPr="006721E0">
              <w:rPr>
                <w:rFonts w:ascii="Arial" w:hAnsi="Arial" w:cs="Calibri"/>
                <w:b/>
                <w:sz w:val="20"/>
                <w:szCs w:val="20"/>
              </w:rPr>
              <w:t>FOTEL OBROTOWY</w:t>
            </w:r>
          </w:p>
          <w:p w14:paraId="32E477C3" w14:textId="77777777" w:rsidR="00B81C7B" w:rsidRPr="006721E0" w:rsidRDefault="00B81C7B" w:rsidP="00ED63A6">
            <w:pPr>
              <w:pStyle w:val="Akapitzlist"/>
              <w:widowControl/>
              <w:autoSpaceDE/>
              <w:adjustRightInd/>
              <w:spacing w:after="160" w:line="249" w:lineRule="auto"/>
              <w:ind w:left="0"/>
              <w:jc w:val="both"/>
              <w:rPr>
                <w:rFonts w:cs="Calibri"/>
              </w:rPr>
            </w:pPr>
            <w:r w:rsidRPr="006721E0">
              <w:rPr>
                <w:rFonts w:cs="Calibri"/>
              </w:rPr>
              <w:t>- potwierdzenie zgodności z normami wytrzymałości PL-EN 1335</w:t>
            </w:r>
          </w:p>
          <w:p w14:paraId="01D3449E" w14:textId="77777777" w:rsidR="00B81C7B" w:rsidRPr="006721E0" w:rsidRDefault="00B81C7B" w:rsidP="00ED63A6">
            <w:pPr>
              <w:pStyle w:val="Default"/>
              <w:adjustRightInd/>
              <w:spacing w:line="276" w:lineRule="auto"/>
              <w:rPr>
                <w:rFonts w:ascii="Arial" w:hAnsi="Arial" w:cs="Calibri"/>
                <w:color w:val="auto"/>
                <w:sz w:val="20"/>
                <w:szCs w:val="20"/>
              </w:rPr>
            </w:pP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oraz dokumenty potwierdzające użycie tkaniny o składzie</w:t>
            </w:r>
            <w:r>
              <w:rPr>
                <w:rFonts w:ascii="Arial" w:hAnsi="Arial" w:cs="Calibri"/>
                <w:color w:val="auto"/>
                <w:sz w:val="20"/>
                <w:szCs w:val="20"/>
              </w:rPr>
              <w:t xml:space="preserve">: </w:t>
            </w:r>
            <w:r w:rsidRPr="006721E0">
              <w:rPr>
                <w:rFonts w:ascii="Arial" w:hAnsi="Arial" w:cs="Calibri"/>
                <w:color w:val="auto"/>
                <w:sz w:val="20"/>
                <w:szCs w:val="20"/>
              </w:rPr>
              <w:t>100 % poliester</w:t>
            </w:r>
          </w:p>
          <w:p w14:paraId="20FC0D89" w14:textId="77777777" w:rsidR="00B81C7B" w:rsidRPr="006721E0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Gramatura: 100 % poliester</w:t>
            </w:r>
          </w:p>
          <w:p w14:paraId="009FF3BA" w14:textId="4DE28048" w:rsidR="00B81C7B" w:rsidRPr="006721E0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ścieranie: 155 000 ± 5000 cykli </w:t>
            </w:r>
            <w:proofErr w:type="spellStart"/>
            <w:r w:rsidRPr="006721E0">
              <w:rPr>
                <w:rFonts w:cs="Calibri"/>
              </w:rPr>
              <w:t>Martindale</w:t>
            </w:r>
            <w:r w:rsidR="006F16C0">
              <w:rPr>
                <w:rFonts w:cs="Calibri"/>
              </w:rPr>
              <w:t>’a</w:t>
            </w:r>
            <w:proofErr w:type="spellEnd"/>
          </w:p>
          <w:p w14:paraId="1355DE78" w14:textId="77777777" w:rsidR="00B81C7B" w:rsidRPr="006721E0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Odporność na </w:t>
            </w:r>
            <w:proofErr w:type="spellStart"/>
            <w:r w:rsidRPr="006721E0">
              <w:rPr>
                <w:rFonts w:cs="Calibri"/>
              </w:rPr>
              <w:t>pilling</w:t>
            </w:r>
            <w:proofErr w:type="spellEnd"/>
            <w:r w:rsidRPr="006721E0">
              <w:rPr>
                <w:rFonts w:cs="Calibri"/>
              </w:rPr>
              <w:t>: EN ISO 12945 – 2 (4 – 5)</w:t>
            </w:r>
            <w:r>
              <w:rPr>
                <w:rFonts w:cs="Calibri"/>
              </w:rPr>
              <w:t xml:space="preserve"> lub równoważne </w:t>
            </w:r>
          </w:p>
          <w:p w14:paraId="60446867" w14:textId="77777777" w:rsidR="00B81C7B" w:rsidRPr="006721E0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światło: EN ISO 12945 – 2 (4 – 5)</w:t>
            </w:r>
            <w:r>
              <w:rPr>
                <w:rFonts w:cs="Calibri"/>
              </w:rPr>
              <w:t xml:space="preserve"> lub równoważne</w:t>
            </w:r>
          </w:p>
          <w:p w14:paraId="3B660F59" w14:textId="77777777" w:rsidR="00B81C7B" w:rsidRPr="006721E0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>Odporność barwy na tarcie: EN ISO 105-B02 (3 – 4)</w:t>
            </w:r>
            <w:r>
              <w:rPr>
                <w:rFonts w:cs="Calibri"/>
              </w:rPr>
              <w:t xml:space="preserve"> lub równoważne</w:t>
            </w:r>
          </w:p>
          <w:p w14:paraId="556795E8" w14:textId="77777777" w:rsidR="00B81C7B" w:rsidRDefault="00B81C7B" w:rsidP="00ED63A6">
            <w:pPr>
              <w:ind w:left="23"/>
              <w:rPr>
                <w:rFonts w:cs="Calibri"/>
              </w:rPr>
            </w:pPr>
            <w:r w:rsidRPr="006721E0">
              <w:rPr>
                <w:rFonts w:cs="Calibri"/>
              </w:rPr>
              <w:t xml:space="preserve">Certyfikat </w:t>
            </w:r>
            <w:proofErr w:type="spellStart"/>
            <w:r w:rsidRPr="006721E0">
              <w:rPr>
                <w:rFonts w:cs="Calibri"/>
              </w:rPr>
              <w:t>Oeko</w:t>
            </w:r>
            <w:proofErr w:type="spellEnd"/>
            <w:r w:rsidRPr="006721E0">
              <w:rPr>
                <w:rFonts w:cs="Calibri"/>
              </w:rPr>
              <w:t>-Tex Standard 100</w:t>
            </w:r>
            <w:r>
              <w:rPr>
                <w:rFonts w:cs="Calibri"/>
              </w:rPr>
              <w:t xml:space="preserve"> lub równoważny</w:t>
            </w:r>
          </w:p>
          <w:p w14:paraId="530B293F" w14:textId="77777777" w:rsidR="009E1376" w:rsidRPr="009F6533" w:rsidRDefault="009E1376" w:rsidP="00037087">
            <w:pPr>
              <w:jc w:val="both"/>
              <w:rPr>
                <w:strike/>
              </w:rPr>
            </w:pPr>
          </w:p>
          <w:p w14:paraId="5BAB8E42" w14:textId="77777777" w:rsidR="009E1376" w:rsidRDefault="009E1376" w:rsidP="009E254D">
            <w:pPr>
              <w:spacing w:after="200" w:line="276" w:lineRule="auto"/>
              <w:contextualSpacing/>
              <w:jc w:val="both"/>
            </w:pPr>
            <w:r w:rsidRPr="00037087">
              <w:t xml:space="preserve">Przedmiotowe środki dowodowe </w:t>
            </w:r>
            <w:r w:rsidR="009E254D" w:rsidRPr="00037087">
              <w:t>Wykonawca składa wraz z ofertą.</w:t>
            </w:r>
          </w:p>
          <w:p w14:paraId="4CE78AA9" w14:textId="77777777" w:rsidR="0038126C" w:rsidRPr="0038126C" w:rsidRDefault="0038126C" w:rsidP="0038126C">
            <w:pPr>
              <w:spacing w:after="200" w:line="276" w:lineRule="auto"/>
              <w:contextualSpacing/>
              <w:jc w:val="both"/>
            </w:pPr>
            <w:r w:rsidRPr="0038126C">
              <w:t>Zamawiający przewiduje uzupełnienie przedmiotowych środków dowodowych.</w:t>
            </w:r>
          </w:p>
          <w:p w14:paraId="0244DC21" w14:textId="1A3DF7BE" w:rsidR="00037087" w:rsidRPr="00037087" w:rsidRDefault="00037087" w:rsidP="009E254D">
            <w:pPr>
              <w:spacing w:after="200" w:line="276" w:lineRule="auto"/>
              <w:contextualSpacing/>
              <w:jc w:val="both"/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1F28005E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6A0F0A4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C7323CA" w14:textId="77777777" w:rsidR="009E1376" w:rsidRPr="00A639C4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2830DC85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75888F83" w14:textId="3BA11918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12F69372" w14:textId="17879ED0" w:rsidR="009E1376" w:rsidRPr="00037087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37087">
              <w:rPr>
                <w:color w:val="000000"/>
              </w:rPr>
              <w:lastRenderedPageBreak/>
              <w:t xml:space="preserve">oświadczenie o spełnianiu warunków udziału w postępowaniu (o którym mowa w art. 125 ust. 1 </w:t>
            </w:r>
            <w:proofErr w:type="spellStart"/>
            <w:r w:rsidRPr="00037087">
              <w:rPr>
                <w:color w:val="000000"/>
              </w:rPr>
              <w:t>Pzp</w:t>
            </w:r>
            <w:proofErr w:type="spellEnd"/>
            <w:r w:rsidRPr="00037087">
              <w:rPr>
                <w:color w:val="000000"/>
              </w:rPr>
              <w:t>);</w:t>
            </w:r>
          </w:p>
          <w:p w14:paraId="188343D3" w14:textId="1FE26BD1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formularz cenowy, </w:t>
            </w:r>
          </w:p>
          <w:p w14:paraId="337681CF" w14:textId="77777777" w:rsidR="009E1376" w:rsidRPr="00037087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37087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1D55CBDD" w14:textId="77777777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  <w:p w14:paraId="571E7A7A" w14:textId="686FE171" w:rsidR="009E1376" w:rsidRPr="00037087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37087">
              <w:rPr>
                <w:color w:val="000000"/>
              </w:rPr>
              <w:t>przedmiotowe środki dowodowe zgodnie z SWZ.</w:t>
            </w:r>
          </w:p>
          <w:p w14:paraId="591FDC67" w14:textId="4100444E" w:rsidR="009E1376" w:rsidRPr="00037087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37087">
              <w:rPr>
                <w:color w:val="000000"/>
              </w:rPr>
              <w:t xml:space="preserve">protokół z wizji lokalnej </w:t>
            </w:r>
            <w:r w:rsidR="007444A2">
              <w:t xml:space="preserve"> </w:t>
            </w:r>
            <w:r w:rsidR="007444A2" w:rsidRPr="007444A2">
              <w:rPr>
                <w:color w:val="000000"/>
              </w:rPr>
              <w:t>(Zadanie Nr 1, Zadanie Nr 2)</w:t>
            </w:r>
          </w:p>
          <w:p w14:paraId="7F7AAA15" w14:textId="77777777" w:rsidR="009E1376" w:rsidRPr="00A639C4" w:rsidRDefault="009E1376" w:rsidP="009E1376">
            <w:pPr>
              <w:tabs>
                <w:tab w:val="left" w:pos="408"/>
              </w:tabs>
              <w:ind w:left="360"/>
              <w:rPr>
                <w:b/>
              </w:rPr>
            </w:pP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8DC8A69" w14:textId="1A3432B6" w:rsidR="009E1376" w:rsidRPr="00037087" w:rsidRDefault="009E1376" w:rsidP="009E1376">
            <w:pPr>
              <w:jc w:val="both"/>
            </w:pPr>
            <w:r w:rsidRPr="00037087">
              <w:t xml:space="preserve">Zamawiający </w:t>
            </w:r>
            <w:r w:rsidRPr="00037087">
              <w:rPr>
                <w:b/>
                <w:u w:val="single"/>
              </w:rPr>
              <w:t>nie przewiduje</w:t>
            </w:r>
            <w:r w:rsidRPr="00037087">
              <w:t xml:space="preserve"> obowiązku wniesienia wadium.</w:t>
            </w:r>
          </w:p>
          <w:p w14:paraId="1FB6BEBB" w14:textId="77777777" w:rsidR="009E1376" w:rsidRPr="00A639C4" w:rsidRDefault="009E1376" w:rsidP="009E1376">
            <w:pPr>
              <w:ind w:left="720"/>
              <w:jc w:val="both"/>
            </w:pPr>
          </w:p>
          <w:p w14:paraId="1675E3B7" w14:textId="57D8D01C" w:rsidR="009E1376" w:rsidRPr="009E254D" w:rsidRDefault="009E1376" w:rsidP="009E254D">
            <w:pPr>
              <w:ind w:left="720"/>
              <w:jc w:val="both"/>
              <w:rPr>
                <w:strike/>
              </w:rPr>
            </w:pPr>
          </w:p>
        </w:tc>
      </w:tr>
      <w:tr w:rsidR="009E1376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9E1376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098F1931" w:rsidR="009E1376" w:rsidRPr="00A639C4" w:rsidRDefault="009E1376" w:rsidP="009E1376">
            <w:pPr>
              <w:tabs>
                <w:tab w:val="left" w:pos="408"/>
              </w:tabs>
              <w:spacing w:before="120" w:after="120"/>
            </w:pPr>
            <w:r w:rsidRPr="00A639C4">
              <w:t>Termin związania ofertą</w:t>
            </w:r>
            <w:r w:rsidR="007F7418">
              <w:t xml:space="preserve">: </w:t>
            </w:r>
            <w:r w:rsidR="007F7418" w:rsidRPr="007F7418">
              <w:rPr>
                <w:b/>
                <w:bCs/>
              </w:rPr>
              <w:t>0</w:t>
            </w:r>
            <w:r w:rsidR="00E93E30">
              <w:rPr>
                <w:b/>
                <w:bCs/>
              </w:rPr>
              <w:t>9</w:t>
            </w:r>
            <w:r w:rsidR="007F7418" w:rsidRPr="007F7418">
              <w:rPr>
                <w:b/>
                <w:bCs/>
              </w:rPr>
              <w:t>.11.2024r.</w:t>
            </w:r>
          </w:p>
        </w:tc>
      </w:tr>
      <w:tr w:rsidR="009E1376" w:rsidRPr="00A639C4" w14:paraId="1330D9F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71D84C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227AFFA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20525FC5" w14:textId="0076AB11" w:rsidR="009E1376" w:rsidRPr="00A639C4" w:rsidRDefault="009E1376" w:rsidP="009E1376">
            <w:pPr>
              <w:spacing w:before="100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9E1376" w:rsidRPr="00A639C4" w14:paraId="6F7292B0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425B011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E0B80B7" w14:textId="42A2DF85" w:rsidR="009E1376" w:rsidRPr="00A639C4" w:rsidRDefault="009E1376" w:rsidP="009E137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C316AD">
              <w:rPr>
                <w:b/>
              </w:rPr>
              <w:t>11</w:t>
            </w:r>
            <w:r w:rsidR="007F7418">
              <w:rPr>
                <w:b/>
              </w:rPr>
              <w:t>.10.2024r.</w:t>
            </w:r>
            <w:r w:rsidRPr="00A639C4">
              <w:rPr>
                <w:b/>
              </w:rPr>
              <w:t xml:space="preserve"> do godziny </w:t>
            </w:r>
            <w:r w:rsidR="007F7418">
              <w:rPr>
                <w:b/>
                <w:bCs/>
                <w:caps/>
              </w:rPr>
              <w:t>09:00</w:t>
            </w:r>
            <w:r w:rsidRPr="00A639C4">
              <w:t>.</w:t>
            </w:r>
          </w:p>
          <w:p w14:paraId="4A55ECE8" w14:textId="01563079" w:rsidR="009E1376" w:rsidRPr="00A639C4" w:rsidRDefault="009E1376" w:rsidP="009E1376">
            <w:pPr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C316AD">
              <w:rPr>
                <w:b/>
              </w:rPr>
              <w:t>11</w:t>
            </w:r>
            <w:r w:rsidR="007F7418">
              <w:rPr>
                <w:b/>
              </w:rPr>
              <w:t>.10.2024r.</w:t>
            </w:r>
            <w:r w:rsidRPr="00A639C4">
              <w:rPr>
                <w:b/>
              </w:rPr>
              <w:t xml:space="preserve"> godzina </w:t>
            </w:r>
            <w:r w:rsidR="007F7418">
              <w:rPr>
                <w:b/>
                <w:bCs/>
                <w:caps/>
              </w:rPr>
              <w:t>09:15</w:t>
            </w:r>
          </w:p>
          <w:p w14:paraId="5D6E6702" w14:textId="1ED78278" w:rsidR="009E1376" w:rsidRPr="00A639C4" w:rsidRDefault="009E1376" w:rsidP="009E137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</w:tc>
      </w:tr>
      <w:tr w:rsidR="009E1376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9E1376" w:rsidRPr="00A639C4" w:rsidRDefault="009E1376" w:rsidP="009E1376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9E1376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3E0E1A3" w14:textId="78660852" w:rsidR="00122A43" w:rsidRPr="00037087" w:rsidRDefault="00122A43" w:rsidP="00037087">
            <w:pPr>
              <w:widowControl/>
              <w:autoSpaceDE/>
              <w:autoSpaceDN/>
              <w:adjustRightInd/>
              <w:spacing w:before="240"/>
              <w:jc w:val="center"/>
              <w:rPr>
                <w:b/>
              </w:rPr>
            </w:pPr>
            <w:r w:rsidRPr="00037087">
              <w:rPr>
                <w:b/>
              </w:rPr>
              <w:t>ZADANIA 1 – 6</w:t>
            </w:r>
          </w:p>
          <w:p w14:paraId="7E507124" w14:textId="77777777" w:rsidR="005E3BF5" w:rsidRPr="000E368E" w:rsidRDefault="005E3BF5" w:rsidP="00982C9A">
            <w:pPr>
              <w:pStyle w:val="Akapitzlist"/>
              <w:widowControl/>
              <w:numPr>
                <w:ilvl w:val="0"/>
                <w:numId w:val="3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0E368E">
              <w:t>Przy wyborze najkorzystniejszej oferty Zamawiający będzie się kierował następującymi kryteriami oceny ofert:</w:t>
            </w:r>
          </w:p>
          <w:p w14:paraId="6F116C22" w14:textId="35D5FA8C" w:rsidR="005E3BF5" w:rsidRDefault="005E3BF5" w:rsidP="008A4685">
            <w:pPr>
              <w:pStyle w:val="Akapitzlist"/>
              <w:widowControl/>
              <w:numPr>
                <w:ilvl w:val="1"/>
                <w:numId w:val="7"/>
              </w:numPr>
              <w:autoSpaceDE/>
              <w:autoSpaceDN/>
              <w:adjustRightInd/>
            </w:pPr>
            <w:r w:rsidRPr="0034485C">
              <w:rPr>
                <w:b/>
              </w:rPr>
              <w:t>Cena (C)</w:t>
            </w:r>
            <w:r w:rsidRPr="000E368E">
              <w:t xml:space="preserve"> – waga kryterium </w:t>
            </w:r>
            <w:r>
              <w:t xml:space="preserve">60 </w:t>
            </w:r>
            <w:r w:rsidRPr="000E368E">
              <w:t>%;</w:t>
            </w:r>
          </w:p>
          <w:p w14:paraId="7B71837D" w14:textId="0FBC86B5" w:rsidR="001866AA" w:rsidRDefault="00551FC6" w:rsidP="008A4685">
            <w:pPr>
              <w:pStyle w:val="Akapitzlist"/>
              <w:widowControl/>
              <w:numPr>
                <w:ilvl w:val="1"/>
                <w:numId w:val="7"/>
              </w:numPr>
              <w:autoSpaceDE/>
              <w:autoSpaceDN/>
              <w:adjustRightInd/>
            </w:pPr>
            <w:r>
              <w:rPr>
                <w:b/>
              </w:rPr>
              <w:t>Czas dostawy (CD)</w:t>
            </w:r>
            <w:r w:rsidR="001866AA" w:rsidRPr="00A639C4">
              <w:rPr>
                <w:b/>
              </w:rPr>
              <w:t xml:space="preserve"> – </w:t>
            </w:r>
            <w:r>
              <w:rPr>
                <w:b/>
              </w:rPr>
              <w:t>Czas dostawy przedmiotu zamówienia</w:t>
            </w:r>
            <w:r w:rsidR="001866AA" w:rsidRPr="00A639C4">
              <w:t xml:space="preserve">  </w:t>
            </w:r>
            <w:r w:rsidR="001866AA" w:rsidRPr="00A639C4">
              <w:rPr>
                <w:caps/>
              </w:rPr>
              <w:t xml:space="preserve"> </w:t>
            </w:r>
            <w:r>
              <w:t>– waga kryterium 4</w:t>
            </w:r>
            <w:r w:rsidR="001866AA" w:rsidRPr="00A639C4">
              <w:t>0 %.</w:t>
            </w:r>
          </w:p>
          <w:p w14:paraId="2FFC3324" w14:textId="7A087BA0" w:rsidR="009D7F01" w:rsidRDefault="009D7F01" w:rsidP="00CB70BB">
            <w:pPr>
              <w:widowControl/>
              <w:autoSpaceDE/>
              <w:autoSpaceDN/>
              <w:adjustRightInd/>
              <w:rPr>
                <w:b/>
              </w:rPr>
            </w:pPr>
          </w:p>
          <w:p w14:paraId="4CCE566F" w14:textId="77777777" w:rsidR="001866AA" w:rsidRPr="00CB70BB" w:rsidRDefault="001866AA" w:rsidP="00CB70BB">
            <w:pPr>
              <w:widowControl/>
              <w:autoSpaceDE/>
              <w:autoSpaceDN/>
              <w:adjustRightInd/>
              <w:rPr>
                <w:b/>
              </w:rPr>
            </w:pPr>
          </w:p>
          <w:p w14:paraId="13FC5025" w14:textId="580AC389" w:rsidR="005E3BF5" w:rsidRDefault="005E3BF5" w:rsidP="009D7F01">
            <w:pPr>
              <w:pStyle w:val="Akapitzlist"/>
              <w:widowControl/>
              <w:autoSpaceDE/>
              <w:autoSpaceDN/>
              <w:adjustRightInd/>
              <w:ind w:left="1800"/>
            </w:pPr>
            <w:r w:rsidRPr="000E368E">
              <w:t>Zasady oceny ofert w poszczególnych kryteriach:</w:t>
            </w:r>
          </w:p>
          <w:p w14:paraId="41D842C6" w14:textId="77777777" w:rsidR="00E92FCA" w:rsidRPr="000E368E" w:rsidRDefault="00E92FCA" w:rsidP="009D7F01">
            <w:pPr>
              <w:pStyle w:val="Akapitzlist"/>
              <w:widowControl/>
              <w:autoSpaceDE/>
              <w:autoSpaceDN/>
              <w:adjustRightInd/>
              <w:ind w:left="1800"/>
            </w:pPr>
          </w:p>
          <w:p w14:paraId="519B5150" w14:textId="384DA237" w:rsidR="005E3BF5" w:rsidRDefault="005E3BF5" w:rsidP="008A4685">
            <w:pPr>
              <w:pStyle w:val="Akapitzlist"/>
              <w:widowControl/>
              <w:numPr>
                <w:ilvl w:val="1"/>
                <w:numId w:val="34"/>
              </w:numPr>
              <w:autoSpaceDE/>
              <w:autoSpaceDN/>
              <w:adjustRightInd/>
              <w:spacing w:before="240"/>
              <w:contextualSpacing/>
              <w:jc w:val="both"/>
              <w:rPr>
                <w:b/>
              </w:rPr>
            </w:pPr>
            <w:r w:rsidRPr="00994554">
              <w:rPr>
                <w:b/>
              </w:rPr>
              <w:t>Cena (C) – waga kryterium 60 %</w:t>
            </w:r>
          </w:p>
          <w:p w14:paraId="76B73030" w14:textId="77777777" w:rsidR="00DE45E4" w:rsidRDefault="00DE45E4" w:rsidP="00DE45E4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</w:p>
          <w:p w14:paraId="5480961E" w14:textId="6D5F2910" w:rsidR="00DE45E4" w:rsidRPr="00DE45E4" w:rsidRDefault="00DE45E4" w:rsidP="00DE45E4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14:paraId="4E8B5AE7" w14:textId="77777777" w:rsidR="005E3BF5" w:rsidRPr="000E368E" w:rsidRDefault="005E3BF5" w:rsidP="005E3BF5">
            <w:pPr>
              <w:pStyle w:val="Akapitzlist"/>
              <w:spacing w:before="240"/>
              <w:ind w:left="1452"/>
              <w:rPr>
                <w:b/>
              </w:rPr>
            </w:pPr>
            <w:r w:rsidRPr="000E368E">
              <w:rPr>
                <w:b/>
              </w:rPr>
              <w:t xml:space="preserve">cena najniższa brutto </w:t>
            </w:r>
            <w:r>
              <w:rPr>
                <w:b/>
              </w:rPr>
              <w:br/>
            </w:r>
            <w:r w:rsidRPr="000E368E">
              <w:rPr>
                <w:b/>
              </w:rPr>
              <w:t xml:space="preserve">spośród wszystkich złożonych ofert </w:t>
            </w:r>
            <w:r>
              <w:rPr>
                <w:b/>
              </w:rPr>
              <w:br/>
            </w:r>
            <w:r w:rsidRPr="000E368E">
              <w:rPr>
                <w:b/>
              </w:rPr>
              <w:lastRenderedPageBreak/>
              <w:t>niepodlegających odrzuceniu</w:t>
            </w:r>
          </w:p>
          <w:p w14:paraId="532B3EE3" w14:textId="77777777" w:rsidR="005E3BF5" w:rsidRPr="000E368E" w:rsidRDefault="005E3BF5" w:rsidP="005E3BF5">
            <w:pPr>
              <w:pStyle w:val="Akapitzlist"/>
              <w:ind w:left="1080"/>
              <w:jc w:val="both"/>
            </w:pPr>
            <w:r w:rsidRPr="000E368E">
              <w:rPr>
                <w:b/>
              </w:rPr>
              <w:t>C =</w:t>
            </w:r>
            <w:r w:rsidRPr="000E368E">
              <w:t xml:space="preserve"> </w:t>
            </w:r>
            <w:r w:rsidRPr="000E368E">
              <w:rPr>
                <w:strike/>
              </w:rPr>
              <w:t xml:space="preserve">------------------------------------------------ </w:t>
            </w:r>
            <w:r w:rsidRPr="000E368E">
              <w:t xml:space="preserve">  </w:t>
            </w:r>
            <w:r w:rsidRPr="000E368E">
              <w:rPr>
                <w:b/>
              </w:rPr>
              <w:t xml:space="preserve">x 100 </w:t>
            </w:r>
            <w:r w:rsidRPr="003061D7">
              <w:rPr>
                <w:b/>
              </w:rPr>
              <w:t>pkt x 60 %</w:t>
            </w:r>
          </w:p>
          <w:p w14:paraId="79F22758" w14:textId="63FB0875" w:rsidR="00625095" w:rsidRDefault="005E3BF5" w:rsidP="00DE45E4">
            <w:pPr>
              <w:pStyle w:val="Akapitzlist"/>
              <w:ind w:left="1452"/>
              <w:jc w:val="both"/>
              <w:rPr>
                <w:b/>
              </w:rPr>
            </w:pPr>
            <w:r w:rsidRPr="000E368E">
              <w:rPr>
                <w:b/>
              </w:rPr>
              <w:t>cena oferty ocenianej brutto</w:t>
            </w:r>
          </w:p>
          <w:p w14:paraId="4A3FC3A0" w14:textId="77777777" w:rsidR="00DE45E4" w:rsidRDefault="00DE45E4" w:rsidP="00DE45E4">
            <w:pPr>
              <w:pStyle w:val="Akapitzlist"/>
              <w:ind w:left="1452"/>
              <w:jc w:val="both"/>
              <w:rPr>
                <w:b/>
              </w:rPr>
            </w:pPr>
          </w:p>
          <w:p w14:paraId="0EDA2768" w14:textId="1403770E" w:rsidR="00DE45E4" w:rsidRPr="00994554" w:rsidRDefault="00625095" w:rsidP="00DE45E4">
            <w:pPr>
              <w:pStyle w:val="Akapitzlist"/>
              <w:widowControl/>
              <w:numPr>
                <w:ilvl w:val="1"/>
                <w:numId w:val="34"/>
              </w:numPr>
              <w:autoSpaceDE/>
              <w:autoSpaceDN/>
              <w:adjustRightInd/>
              <w:spacing w:before="240"/>
              <w:contextualSpacing/>
              <w:jc w:val="both"/>
              <w:rPr>
                <w:b/>
              </w:rPr>
            </w:pPr>
            <w:r w:rsidRPr="00CB28A6">
              <w:rPr>
                <w:b/>
                <w:u w:val="single"/>
              </w:rPr>
              <w:t>Czas dostawy (CD)</w:t>
            </w:r>
            <w:r>
              <w:rPr>
                <w:b/>
                <w:u w:val="single"/>
              </w:rPr>
              <w:t xml:space="preserve"> </w:t>
            </w:r>
            <w:r w:rsidR="00DE45E4" w:rsidRPr="00994554">
              <w:rPr>
                <w:b/>
              </w:rPr>
              <w:t xml:space="preserve">– waga kryterium </w:t>
            </w:r>
            <w:r w:rsidR="00DE45E4">
              <w:rPr>
                <w:b/>
              </w:rPr>
              <w:t>4</w:t>
            </w:r>
            <w:r w:rsidR="00DE45E4" w:rsidRPr="00994554">
              <w:rPr>
                <w:b/>
              </w:rPr>
              <w:t>0 %</w:t>
            </w:r>
          </w:p>
          <w:p w14:paraId="33A7321B" w14:textId="77777777" w:rsidR="00DE45E4" w:rsidRDefault="00DE45E4" w:rsidP="00DE45E4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</w:p>
          <w:p w14:paraId="643A8C81" w14:textId="6CC0987F" w:rsidR="00DE45E4" w:rsidRPr="00A639C4" w:rsidRDefault="00DE45E4" w:rsidP="00DE45E4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14:paraId="0EF19054" w14:textId="49AC1BB1" w:rsidR="00DE45E4" w:rsidRPr="00EB7F8F" w:rsidRDefault="00DE45E4" w:rsidP="00DE45E4">
            <w:pPr>
              <w:jc w:val="both"/>
            </w:pPr>
            <w:r w:rsidRPr="00A639C4">
              <w:t>W tym kryterium zostanie przyznana następująca liczba punktów:</w:t>
            </w:r>
          </w:p>
          <w:p w14:paraId="141139DF" w14:textId="04AA9826" w:rsidR="00625095" w:rsidRPr="00EB7F8F" w:rsidRDefault="00122A43" w:rsidP="00625095">
            <w:pPr>
              <w:pStyle w:val="Akapitzlist"/>
              <w:widowControl/>
              <w:numPr>
                <w:ilvl w:val="0"/>
                <w:numId w:val="23"/>
              </w:numPr>
              <w:contextualSpacing/>
            </w:pPr>
            <w:r>
              <w:t>czas dostawy do 21</w:t>
            </w:r>
            <w:r w:rsidR="00625095" w:rsidRPr="00EB7F8F">
              <w:t xml:space="preserve"> dni</w:t>
            </w:r>
            <w:r w:rsidR="00625095">
              <w:t xml:space="preserve"> od dnia podpisania umowy</w:t>
            </w:r>
            <w:r w:rsidR="00625095" w:rsidRPr="00EB7F8F">
              <w:t xml:space="preserve"> </w:t>
            </w:r>
            <w:r w:rsidR="00625095">
              <w:t>– 4</w:t>
            </w:r>
            <w:r w:rsidR="00625095" w:rsidRPr="00EB7F8F">
              <w:t>0 pkt</w:t>
            </w:r>
          </w:p>
          <w:p w14:paraId="523CFC19" w14:textId="059B83D2" w:rsidR="00625095" w:rsidRPr="00EB7F8F" w:rsidRDefault="00625095" w:rsidP="00625095">
            <w:pPr>
              <w:pStyle w:val="Akapitzlist"/>
              <w:widowControl/>
              <w:numPr>
                <w:ilvl w:val="0"/>
                <w:numId w:val="23"/>
              </w:numPr>
              <w:contextualSpacing/>
            </w:pPr>
            <w:r>
              <w:t xml:space="preserve">czas dostawy do </w:t>
            </w:r>
            <w:r w:rsidR="00122A43">
              <w:t>30.11.2024r.</w:t>
            </w:r>
            <w:r>
              <w:t>– 0</w:t>
            </w:r>
            <w:r w:rsidRPr="00EB7F8F">
              <w:t xml:space="preserve"> pkt</w:t>
            </w:r>
          </w:p>
          <w:p w14:paraId="023919E0" w14:textId="77777777" w:rsidR="00625095" w:rsidRDefault="00625095" w:rsidP="001866AA">
            <w:pPr>
              <w:pStyle w:val="Akapitzlist"/>
              <w:ind w:left="0"/>
            </w:pPr>
          </w:p>
          <w:p w14:paraId="4DA5126B" w14:textId="56C0B337" w:rsidR="001866AA" w:rsidRPr="005C3E2A" w:rsidRDefault="001866AA" w:rsidP="001866AA">
            <w:pPr>
              <w:pStyle w:val="Akapitzlist"/>
              <w:ind w:left="0"/>
            </w:pPr>
            <w:r w:rsidRPr="005C3E2A">
              <w:t xml:space="preserve">Jeżeli Wykonawca nie wypełni w druku oferty oświadczenia, o którym mowa powyżej Zamawiający uzna, </w:t>
            </w:r>
            <w:r w:rsidR="00343BAA">
              <w:t xml:space="preserve">że Wykonawca oferuje </w:t>
            </w:r>
            <w:r w:rsidR="00625095">
              <w:t>czas dostawy do 30.11.2024r.</w:t>
            </w:r>
          </w:p>
          <w:p w14:paraId="0945EEA9" w14:textId="77777777" w:rsidR="00343BAA" w:rsidRDefault="00343BAA" w:rsidP="001866AA">
            <w:pPr>
              <w:spacing w:line="276" w:lineRule="auto"/>
              <w:jc w:val="both"/>
            </w:pPr>
          </w:p>
          <w:p w14:paraId="6E3C6306" w14:textId="2A8346F5" w:rsidR="00EF57CA" w:rsidRPr="005C3E2A" w:rsidRDefault="001866AA" w:rsidP="001866AA">
            <w:pPr>
              <w:spacing w:line="276" w:lineRule="auto"/>
              <w:jc w:val="both"/>
            </w:pPr>
            <w:r w:rsidRPr="005C3E2A">
              <w:t xml:space="preserve">Zamawiający udzieli zamówienia Wykonawcy, który spełni wszystkie postawione w SIWZ warunki oraz otrzyma największą liczbę punktów wyliczoną zgodnie ze wzorem: </w:t>
            </w:r>
          </w:p>
          <w:p w14:paraId="7FBB836F" w14:textId="567ECC35" w:rsidR="001866AA" w:rsidRPr="005C3E2A" w:rsidRDefault="001866AA" w:rsidP="001866A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Pkt = C + </w:t>
            </w:r>
            <w:r w:rsidR="00D82FFF">
              <w:rPr>
                <w:b/>
              </w:rPr>
              <w:t>CD</w:t>
            </w:r>
          </w:p>
          <w:p w14:paraId="57AE3900" w14:textId="006E6DDB" w:rsidR="001866AA" w:rsidRDefault="001866AA" w:rsidP="001866AA">
            <w:pPr>
              <w:jc w:val="both"/>
            </w:pPr>
            <w:r w:rsidRPr="005C3E2A">
              <w:t xml:space="preserve">gdzie </w:t>
            </w:r>
            <w:r w:rsidR="00D82FFF">
              <w:t>CD</w:t>
            </w:r>
            <w:r w:rsidRPr="005C3E2A">
              <w:t xml:space="preserve"> = suma punktów przyznanych w kryterium c</w:t>
            </w:r>
            <w:r w:rsidR="00D82FFF">
              <w:t>zas dostawy</w:t>
            </w:r>
            <w:r w:rsidRPr="005C3E2A">
              <w:t>.</w:t>
            </w:r>
          </w:p>
          <w:p w14:paraId="6E791A4F" w14:textId="77777777" w:rsidR="00D82FFF" w:rsidRPr="005C3E2A" w:rsidRDefault="00D82FFF" w:rsidP="001866AA">
            <w:pPr>
              <w:jc w:val="both"/>
            </w:pPr>
          </w:p>
          <w:p w14:paraId="51CDA29F" w14:textId="77777777" w:rsidR="001866AA" w:rsidRPr="005C3E2A" w:rsidRDefault="001866AA" w:rsidP="001866AA">
            <w:pPr>
              <w:jc w:val="both"/>
            </w:pPr>
            <w:r w:rsidRPr="005C3E2A">
              <w:t>Jeżeli nie będzie można dokonać wyboru oferty najkorzystniejszej ze względu na to, że dwie lub więcej ofert przedstawiać będzie taki sam bilans ceny i innych kryteriów oceny ofert, Zamawiający spośród tych ofert wybierze ofertę z najniższą ceną a jeżeli zostały złożone oferty o takiej samej cenie, Zamawiający wzywa Wykonawców, którzy złożyli te oferty, do złożenia w terminie określonym przez Zamawiającego ofert dodatkowych.</w:t>
            </w:r>
          </w:p>
          <w:p w14:paraId="74DB43E9" w14:textId="77777777" w:rsidR="00CB70BB" w:rsidRPr="00550B9F" w:rsidRDefault="00CB70BB" w:rsidP="00CB70BB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</w:rPr>
            </w:pPr>
          </w:p>
          <w:p w14:paraId="0F700259" w14:textId="77777777" w:rsidR="009E1376" w:rsidRPr="00A639C4" w:rsidRDefault="009E1376" w:rsidP="009C62E9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9E1376" w:rsidRPr="00A639C4" w:rsidRDefault="009E1376" w:rsidP="009E1376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9E1376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DDFDF0A" w14:textId="77777777" w:rsidR="00706B12" w:rsidRPr="00A639C4" w:rsidRDefault="00706B12" w:rsidP="009E1376">
            <w:pPr>
              <w:jc w:val="both"/>
              <w:rPr>
                <w:color w:val="FF0000"/>
                <w:u w:val="single"/>
              </w:rPr>
            </w:pPr>
          </w:p>
          <w:p w14:paraId="6FEBA61A" w14:textId="1401ED66" w:rsidR="009E1376" w:rsidRPr="00D82FFF" w:rsidRDefault="009E1376" w:rsidP="00D82FFF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 obowiązku wniesienia zabezpieczenia</w:t>
            </w:r>
            <w:r w:rsidRPr="00A639C4">
              <w:t xml:space="preserve"> należytego wykonania umowy</w:t>
            </w:r>
            <w:r w:rsidR="00D82FFF">
              <w:t>.</w:t>
            </w:r>
          </w:p>
        </w:tc>
      </w:tr>
      <w:tr w:rsidR="009E1376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9E1376" w:rsidRPr="00A639C4" w:rsidRDefault="009E1376" w:rsidP="009E1376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9E1376" w:rsidRPr="00A639C4" w:rsidRDefault="009E1376" w:rsidP="009E1376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9E1376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F0DE236" w14:textId="075106A5" w:rsidR="009E1376" w:rsidRPr="00A639C4" w:rsidRDefault="009E1376" w:rsidP="0070256A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</w:t>
            </w:r>
            <w:r w:rsidR="0070256A" w:rsidRPr="00A639C4">
              <w:t>wykonawcy,</w:t>
            </w:r>
            <w:r w:rsidRPr="00A639C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 w:rsidR="00B74C3B"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</w:t>
            </w:r>
            <w:r w:rsidR="0070256A" w:rsidRPr="00A639C4">
              <w:t>Projektowanych postanowieniach</w:t>
            </w:r>
            <w:r w:rsidRPr="00A639C4">
              <w:t xml:space="preserve"> umowy w sprawie zamówienia publicznego </w:t>
            </w:r>
            <w:r w:rsidR="0070256A" w:rsidRPr="00A639C4">
              <w:t>- ROZDZIAŁ</w:t>
            </w:r>
            <w:r w:rsidRPr="00A639C4">
              <w:t xml:space="preserve"> V SWZ umieszcza jasne, precyzyjne i jednoznaczne postanowienia umowne, które obejmują postanowienia dotyczące zasad wprowadzania zmian.</w:t>
            </w:r>
          </w:p>
          <w:p w14:paraId="786EEB18" w14:textId="593C6AFC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9E1376" w:rsidRPr="00A639C4" w:rsidRDefault="009E1376" w:rsidP="0070256A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9E1376" w:rsidRPr="00A639C4" w:rsidRDefault="009E1376" w:rsidP="009E1376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9E1376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13872F4" w14:textId="77777777" w:rsidR="009E1376" w:rsidRPr="00A639C4" w:rsidRDefault="009E1376" w:rsidP="009E1376">
            <w:pPr>
              <w:jc w:val="both"/>
            </w:pPr>
            <w:r w:rsidRPr="00A639C4">
              <w:t>Do komunikowania się z wykonawcami uprawnione są następujące osoby:</w:t>
            </w:r>
          </w:p>
          <w:p w14:paraId="6D9EB30F" w14:textId="77777777" w:rsidR="009E1376" w:rsidRPr="00A639C4" w:rsidRDefault="009E1376" w:rsidP="009E1376">
            <w:pPr>
              <w:jc w:val="both"/>
            </w:pPr>
          </w:p>
          <w:p w14:paraId="7C483E08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7A80C0BF" w14:textId="77777777" w:rsidR="009E1376" w:rsidRPr="00A639C4" w:rsidRDefault="009E1376" w:rsidP="00982C9A">
            <w:pPr>
              <w:pStyle w:val="Akapitzlist"/>
              <w:numPr>
                <w:ilvl w:val="0"/>
                <w:numId w:val="12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46C42168" w:rsidR="009E1376" w:rsidRPr="00A639C4" w:rsidRDefault="00D82FFF" w:rsidP="00982C9A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 xml:space="preserve">Magdalena Stanowska </w:t>
            </w:r>
            <w:r w:rsidR="009E1376" w:rsidRPr="00A639C4">
              <w:t>- Sekretarz Komisji Przetargowej</w:t>
            </w:r>
          </w:p>
          <w:p w14:paraId="13DDE609" w14:textId="4F90BA66" w:rsidR="009E1376" w:rsidRPr="00A639C4" w:rsidRDefault="009E1376" w:rsidP="009E1376">
            <w:pPr>
              <w:tabs>
                <w:tab w:val="left" w:pos="408"/>
              </w:tabs>
            </w:pPr>
          </w:p>
        </w:tc>
      </w:tr>
      <w:tr w:rsidR="00B74C3B" w:rsidRPr="00A639C4" w14:paraId="011CBCE6" w14:textId="77777777" w:rsidTr="00A9534C">
        <w:tc>
          <w:tcPr>
            <w:tcW w:w="9180" w:type="dxa"/>
            <w:gridSpan w:val="2"/>
            <w:shd w:val="clear" w:color="auto" w:fill="auto"/>
          </w:tcPr>
          <w:p w14:paraId="65BF90A3" w14:textId="068FA3EF" w:rsidR="00B74C3B" w:rsidRPr="00A639C4" w:rsidRDefault="00B74C3B" w:rsidP="00B74C3B">
            <w:pPr>
              <w:jc w:val="center"/>
            </w:pPr>
            <w:bookmarkStart w:id="3" w:name="_Hlk155339952"/>
            <w:r>
              <w:t>Koniec PIDP</w:t>
            </w:r>
          </w:p>
        </w:tc>
      </w:tr>
      <w:bookmarkEnd w:id="3"/>
    </w:tbl>
    <w:p w14:paraId="1D7F26FD" w14:textId="6192075A" w:rsidR="00304FB8" w:rsidRPr="000E368E" w:rsidRDefault="00304FB8" w:rsidP="00B74C3B"/>
    <w:sectPr w:rsidR="00304FB8" w:rsidRPr="000E368E" w:rsidSect="00A639C4">
      <w:headerReference w:type="default" r:id="rId12"/>
      <w:footerReference w:type="default" r:id="rId13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3DF93" w14:textId="77777777" w:rsidR="00610B25" w:rsidRDefault="00610B25" w:rsidP="00235CCF">
      <w:r>
        <w:separator/>
      </w:r>
    </w:p>
  </w:endnote>
  <w:endnote w:type="continuationSeparator" w:id="0">
    <w:p w14:paraId="2F0E1370" w14:textId="77777777" w:rsidR="00610B25" w:rsidRDefault="00610B25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01E2" w14:textId="57F43D30" w:rsidR="000B4FCC" w:rsidRPr="0022552B" w:rsidRDefault="000B4FCC">
    <w:pPr>
      <w:pStyle w:val="Stopka"/>
      <w:jc w:val="right"/>
    </w:pPr>
    <w:r>
      <w:t>(w</w:t>
    </w:r>
    <w:r w:rsidRPr="0022552B">
      <w:t>ersja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10B217" w14:textId="42B7A711" w:rsidR="000B4FCC" w:rsidRPr="0022552B" w:rsidRDefault="000B4FCC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C503FF">
              <w:rPr>
                <w:b/>
                <w:bCs/>
                <w:noProof/>
              </w:rPr>
              <w:t>12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C503FF">
              <w:rPr>
                <w:b/>
                <w:bCs/>
                <w:noProof/>
              </w:rPr>
              <w:t>24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0B4FCC" w:rsidRDefault="000B4FCC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502DD" w14:textId="77777777" w:rsidR="00610B25" w:rsidRDefault="00610B25" w:rsidP="00235CCF">
      <w:r>
        <w:separator/>
      </w:r>
    </w:p>
  </w:footnote>
  <w:footnote w:type="continuationSeparator" w:id="0">
    <w:p w14:paraId="33849722" w14:textId="77777777" w:rsidR="00610B25" w:rsidRDefault="00610B25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535"/>
    </w:tblGrid>
    <w:tr w:rsidR="000B4FCC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52AEA7C2" w:rsidR="000B4FCC" w:rsidRPr="00B74C3B" w:rsidRDefault="000B4FCC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4" w:name="_Hlk125444948"/>
          <w:r>
            <w:rPr>
              <w:b/>
            </w:rPr>
            <w:t xml:space="preserve"> </w:t>
          </w:r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27D6BCCA" w:rsidR="000B4FCC" w:rsidRPr="00EA37E4" w:rsidRDefault="000B4FC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 w:rsidR="00512FFE">
            <w:rPr>
              <w:b/>
              <w:color w:val="000000"/>
              <w:spacing w:val="-12"/>
              <w:lang w:val="x-none" w:eastAsia="x-none"/>
            </w:rPr>
            <w:t>Z MOŻLIWOŚCIĄ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NEGOCJACJI</w:t>
          </w:r>
          <w:r w:rsidR="00512FFE">
            <w:rPr>
              <w:b/>
              <w:color w:val="000000"/>
              <w:spacing w:val="-12"/>
              <w:lang w:val="x-none"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54A3B4C9" w:rsidR="000B4FCC" w:rsidRPr="00B74C3B" w:rsidRDefault="000B4FCC" w:rsidP="009E1376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0C7E50">
            <w:rPr>
              <w:b/>
              <w:bCs/>
            </w:rPr>
            <w:t>WA/77/2024</w:t>
          </w:r>
        </w:p>
      </w:tc>
    </w:tr>
    <w:tr w:rsidR="000B4FCC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0B4FCC" w:rsidRPr="00EA37E4" w:rsidRDefault="000B4FC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0B4FCC" w:rsidRPr="00EA37E4" w:rsidRDefault="000B4FC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0B4FCC" w:rsidRPr="00B74C3B" w:rsidRDefault="000B4FC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4"/>
  </w:tbl>
  <w:p w14:paraId="76352D6B" w14:textId="77777777" w:rsidR="000B4FCC" w:rsidRPr="00B74C3B" w:rsidRDefault="000B4FCC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6AFB"/>
    <w:multiLevelType w:val="hybridMultilevel"/>
    <w:tmpl w:val="FC2A627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9126B"/>
    <w:multiLevelType w:val="hybridMultilevel"/>
    <w:tmpl w:val="BE100F6E"/>
    <w:lvl w:ilvl="0" w:tplc="8556CAB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D2FCC"/>
    <w:multiLevelType w:val="hybridMultilevel"/>
    <w:tmpl w:val="BE100F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37162"/>
    <w:multiLevelType w:val="hybridMultilevel"/>
    <w:tmpl w:val="B9601538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F53D46"/>
    <w:multiLevelType w:val="hybridMultilevel"/>
    <w:tmpl w:val="BE100F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F68FA"/>
    <w:multiLevelType w:val="multilevel"/>
    <w:tmpl w:val="3E28FC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1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800"/>
      </w:pPr>
      <w:rPr>
        <w:rFonts w:hint="default"/>
      </w:rPr>
    </w:lvl>
  </w:abstractNum>
  <w:abstractNum w:abstractNumId="8" w15:restartNumberingAfterBreak="0">
    <w:nsid w:val="1AFE3FAA"/>
    <w:multiLevelType w:val="hybridMultilevel"/>
    <w:tmpl w:val="BE100F6E"/>
    <w:lvl w:ilvl="0" w:tplc="8556CAB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B6DB7"/>
    <w:multiLevelType w:val="hybridMultilevel"/>
    <w:tmpl w:val="BE100F6E"/>
    <w:lvl w:ilvl="0" w:tplc="8556CAB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C28B0"/>
    <w:multiLevelType w:val="multilevel"/>
    <w:tmpl w:val="53AC416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806219D"/>
    <w:multiLevelType w:val="hybridMultilevel"/>
    <w:tmpl w:val="BE100F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8378D"/>
    <w:multiLevelType w:val="hybridMultilevel"/>
    <w:tmpl w:val="831644C4"/>
    <w:lvl w:ilvl="0" w:tplc="D292C400">
      <w:start w:val="1"/>
      <w:numFmt w:val="decimal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6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C13E6"/>
    <w:multiLevelType w:val="multilevel"/>
    <w:tmpl w:val="2FB476F8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30670D21"/>
    <w:multiLevelType w:val="hybridMultilevel"/>
    <w:tmpl w:val="BE100F6E"/>
    <w:lvl w:ilvl="0" w:tplc="8556CAB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86D4D"/>
    <w:multiLevelType w:val="hybridMultilevel"/>
    <w:tmpl w:val="CD6C343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083E0F"/>
    <w:multiLevelType w:val="hybridMultilevel"/>
    <w:tmpl w:val="BE100F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66309"/>
    <w:multiLevelType w:val="hybridMultilevel"/>
    <w:tmpl w:val="D6D429E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9231DA"/>
    <w:multiLevelType w:val="hybridMultilevel"/>
    <w:tmpl w:val="BE100F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1D7C50"/>
    <w:multiLevelType w:val="hybridMultilevel"/>
    <w:tmpl w:val="2C8415AE"/>
    <w:lvl w:ilvl="0" w:tplc="04150011">
      <w:start w:val="1"/>
      <w:numFmt w:val="decimal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7" w15:restartNumberingAfterBreak="0">
    <w:nsid w:val="4E6B2768"/>
    <w:multiLevelType w:val="multilevel"/>
    <w:tmpl w:val="CCA69466"/>
    <w:lvl w:ilvl="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131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9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7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6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32" w:hanging="1800"/>
      </w:pPr>
      <w:rPr>
        <w:rFonts w:hint="default"/>
        <w:b/>
      </w:rPr>
    </w:lvl>
  </w:abstractNum>
  <w:abstractNum w:abstractNumId="2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 w15:restartNumberingAfterBreak="0">
    <w:nsid w:val="53C039CD"/>
    <w:multiLevelType w:val="multilevel"/>
    <w:tmpl w:val="63947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4033B"/>
    <w:multiLevelType w:val="hybridMultilevel"/>
    <w:tmpl w:val="D6D429EA"/>
    <w:lvl w:ilvl="0" w:tplc="CEF63322">
      <w:start w:val="1"/>
      <w:numFmt w:val="decimal"/>
      <w:lvlText w:val="%1."/>
      <w:lvlJc w:val="left"/>
      <w:pPr>
        <w:tabs>
          <w:tab w:val="num" w:pos="955"/>
        </w:tabs>
        <w:ind w:left="955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595"/>
        </w:tabs>
        <w:ind w:left="5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35"/>
        </w:tabs>
        <w:ind w:left="20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55"/>
        </w:tabs>
        <w:ind w:left="27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75"/>
        </w:tabs>
        <w:ind w:left="34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95"/>
        </w:tabs>
        <w:ind w:left="41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15"/>
        </w:tabs>
        <w:ind w:left="49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35"/>
        </w:tabs>
        <w:ind w:left="5635" w:hanging="180"/>
      </w:pPr>
      <w:rPr>
        <w:rFonts w:cs="Times New Roman"/>
      </w:rPr>
    </w:lvl>
  </w:abstractNum>
  <w:abstractNum w:abstractNumId="31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2937FB7"/>
    <w:multiLevelType w:val="hybridMultilevel"/>
    <w:tmpl w:val="E9D6549E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3" w15:restartNumberingAfterBreak="0">
    <w:nsid w:val="63406CB1"/>
    <w:multiLevelType w:val="hybridMultilevel"/>
    <w:tmpl w:val="B9601538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2A657D"/>
    <w:multiLevelType w:val="hybridMultilevel"/>
    <w:tmpl w:val="07D8495C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101FD"/>
    <w:multiLevelType w:val="multilevel"/>
    <w:tmpl w:val="D5CC6D3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76893"/>
    <w:multiLevelType w:val="hybridMultilevel"/>
    <w:tmpl w:val="2F7CF238"/>
    <w:lvl w:ilvl="0" w:tplc="8556CABA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C5779DC"/>
    <w:multiLevelType w:val="hybridMultilevel"/>
    <w:tmpl w:val="BE100F6E"/>
    <w:lvl w:ilvl="0" w:tplc="8556CAB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040855">
    <w:abstractNumId w:val="10"/>
  </w:num>
  <w:num w:numId="2" w16cid:durableId="1043989122">
    <w:abstractNumId w:val="28"/>
  </w:num>
  <w:num w:numId="3" w16cid:durableId="49693452">
    <w:abstractNumId w:val="20"/>
  </w:num>
  <w:num w:numId="4" w16cid:durableId="63992086">
    <w:abstractNumId w:val="31"/>
  </w:num>
  <w:num w:numId="5" w16cid:durableId="1079013450">
    <w:abstractNumId w:val="9"/>
  </w:num>
  <w:num w:numId="6" w16cid:durableId="1734347831">
    <w:abstractNumId w:val="11"/>
  </w:num>
  <w:num w:numId="7" w16cid:durableId="1412775656">
    <w:abstractNumId w:val="27"/>
  </w:num>
  <w:num w:numId="8" w16cid:durableId="645161839">
    <w:abstractNumId w:val="14"/>
  </w:num>
  <w:num w:numId="9" w16cid:durableId="1577089020">
    <w:abstractNumId w:val="1"/>
  </w:num>
  <w:num w:numId="10" w16cid:durableId="2126078845">
    <w:abstractNumId w:val="16"/>
  </w:num>
  <w:num w:numId="11" w16cid:durableId="1803034415">
    <w:abstractNumId w:val="30"/>
  </w:num>
  <w:num w:numId="12" w16cid:durableId="733553125">
    <w:abstractNumId w:val="6"/>
  </w:num>
  <w:num w:numId="13" w16cid:durableId="959145210">
    <w:abstractNumId w:val="35"/>
  </w:num>
  <w:num w:numId="14" w16cid:durableId="2101482047">
    <w:abstractNumId w:val="25"/>
  </w:num>
  <w:num w:numId="15" w16cid:durableId="1219047983">
    <w:abstractNumId w:val="24"/>
  </w:num>
  <w:num w:numId="16" w16cid:durableId="1330792878">
    <w:abstractNumId w:val="32"/>
  </w:num>
  <w:num w:numId="17" w16cid:durableId="378551950">
    <w:abstractNumId w:val="33"/>
  </w:num>
  <w:num w:numId="18" w16cid:durableId="182011380">
    <w:abstractNumId w:val="19"/>
  </w:num>
  <w:num w:numId="19" w16cid:durableId="1070270826">
    <w:abstractNumId w:val="15"/>
  </w:num>
  <w:num w:numId="20" w16cid:durableId="168184076">
    <w:abstractNumId w:val="22"/>
  </w:num>
  <w:num w:numId="21" w16cid:durableId="1842810155">
    <w:abstractNumId w:val="4"/>
  </w:num>
  <w:num w:numId="22" w16cid:durableId="244612066">
    <w:abstractNumId w:val="26"/>
  </w:num>
  <w:num w:numId="23" w16cid:durableId="861744104">
    <w:abstractNumId w:val="0"/>
  </w:num>
  <w:num w:numId="24" w16cid:durableId="109862217">
    <w:abstractNumId w:val="36"/>
  </w:num>
  <w:num w:numId="25" w16cid:durableId="1098064910">
    <w:abstractNumId w:val="29"/>
  </w:num>
  <w:num w:numId="26" w16cid:durableId="1177034238">
    <w:abstractNumId w:val="37"/>
  </w:num>
  <w:num w:numId="27" w16cid:durableId="608201980">
    <w:abstractNumId w:val="2"/>
  </w:num>
  <w:num w:numId="28" w16cid:durableId="601032225">
    <w:abstractNumId w:val="17"/>
  </w:num>
  <w:num w:numId="29" w16cid:durableId="1454783665">
    <w:abstractNumId w:val="18"/>
  </w:num>
  <w:num w:numId="30" w16cid:durableId="906188914">
    <w:abstractNumId w:val="8"/>
  </w:num>
  <w:num w:numId="31" w16cid:durableId="1064331544">
    <w:abstractNumId w:val="12"/>
  </w:num>
  <w:num w:numId="32" w16cid:durableId="819421432">
    <w:abstractNumId w:val="38"/>
  </w:num>
  <w:num w:numId="33" w16cid:durableId="1883252216">
    <w:abstractNumId w:val="34"/>
  </w:num>
  <w:num w:numId="34" w16cid:durableId="1798526140">
    <w:abstractNumId w:val="7"/>
  </w:num>
  <w:num w:numId="35" w16cid:durableId="1557160349">
    <w:abstractNumId w:val="3"/>
  </w:num>
  <w:num w:numId="36" w16cid:durableId="285546354">
    <w:abstractNumId w:val="21"/>
  </w:num>
  <w:num w:numId="37" w16cid:durableId="999113971">
    <w:abstractNumId w:val="13"/>
  </w:num>
  <w:num w:numId="38" w16cid:durableId="1655602443">
    <w:abstractNumId w:val="5"/>
  </w:num>
  <w:num w:numId="39" w16cid:durableId="953559476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34973"/>
    <w:rsid w:val="00037087"/>
    <w:rsid w:val="000421C1"/>
    <w:rsid w:val="00042B84"/>
    <w:rsid w:val="00045E74"/>
    <w:rsid w:val="0006539D"/>
    <w:rsid w:val="00065F58"/>
    <w:rsid w:val="00071195"/>
    <w:rsid w:val="00072D2C"/>
    <w:rsid w:val="000816BE"/>
    <w:rsid w:val="00084922"/>
    <w:rsid w:val="0008508B"/>
    <w:rsid w:val="000B4C05"/>
    <w:rsid w:val="000B4F9D"/>
    <w:rsid w:val="000B4FCC"/>
    <w:rsid w:val="000C4078"/>
    <w:rsid w:val="000C7735"/>
    <w:rsid w:val="000C7E50"/>
    <w:rsid w:val="000D1ED7"/>
    <w:rsid w:val="000D206E"/>
    <w:rsid w:val="000D26AD"/>
    <w:rsid w:val="000D2BE1"/>
    <w:rsid w:val="000D4DDC"/>
    <w:rsid w:val="000D5B40"/>
    <w:rsid w:val="000D7441"/>
    <w:rsid w:val="000D7EA9"/>
    <w:rsid w:val="000E368E"/>
    <w:rsid w:val="000E52EE"/>
    <w:rsid w:val="000E530E"/>
    <w:rsid w:val="000E53B4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22A43"/>
    <w:rsid w:val="00123087"/>
    <w:rsid w:val="001309B2"/>
    <w:rsid w:val="00136766"/>
    <w:rsid w:val="00143B08"/>
    <w:rsid w:val="00144954"/>
    <w:rsid w:val="00144D03"/>
    <w:rsid w:val="00146563"/>
    <w:rsid w:val="00146E98"/>
    <w:rsid w:val="00150222"/>
    <w:rsid w:val="00150796"/>
    <w:rsid w:val="001552AA"/>
    <w:rsid w:val="00155987"/>
    <w:rsid w:val="001579D9"/>
    <w:rsid w:val="00157D9E"/>
    <w:rsid w:val="001655FA"/>
    <w:rsid w:val="0016738F"/>
    <w:rsid w:val="00174600"/>
    <w:rsid w:val="00182F94"/>
    <w:rsid w:val="0018419A"/>
    <w:rsid w:val="001844C7"/>
    <w:rsid w:val="001866AA"/>
    <w:rsid w:val="00187645"/>
    <w:rsid w:val="00190335"/>
    <w:rsid w:val="001958AE"/>
    <w:rsid w:val="0019648C"/>
    <w:rsid w:val="001A1707"/>
    <w:rsid w:val="001A523E"/>
    <w:rsid w:val="001A6986"/>
    <w:rsid w:val="001A7B19"/>
    <w:rsid w:val="001A7BAA"/>
    <w:rsid w:val="001B0BC7"/>
    <w:rsid w:val="001B4E66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F3677"/>
    <w:rsid w:val="00210932"/>
    <w:rsid w:val="00213EB6"/>
    <w:rsid w:val="00214F88"/>
    <w:rsid w:val="0021572C"/>
    <w:rsid w:val="00221279"/>
    <w:rsid w:val="002219CB"/>
    <w:rsid w:val="0022361E"/>
    <w:rsid w:val="0022552B"/>
    <w:rsid w:val="00225807"/>
    <w:rsid w:val="00226FE5"/>
    <w:rsid w:val="002275C7"/>
    <w:rsid w:val="002324FD"/>
    <w:rsid w:val="00235716"/>
    <w:rsid w:val="00235CCF"/>
    <w:rsid w:val="00242D36"/>
    <w:rsid w:val="00244510"/>
    <w:rsid w:val="00250C58"/>
    <w:rsid w:val="00255583"/>
    <w:rsid w:val="0026125D"/>
    <w:rsid w:val="00265C7D"/>
    <w:rsid w:val="002709B0"/>
    <w:rsid w:val="0027230C"/>
    <w:rsid w:val="002731E2"/>
    <w:rsid w:val="00274B1B"/>
    <w:rsid w:val="0028200F"/>
    <w:rsid w:val="00282383"/>
    <w:rsid w:val="0028430E"/>
    <w:rsid w:val="0028668E"/>
    <w:rsid w:val="002878F2"/>
    <w:rsid w:val="002A31E4"/>
    <w:rsid w:val="002B2BD8"/>
    <w:rsid w:val="002B4478"/>
    <w:rsid w:val="002B7221"/>
    <w:rsid w:val="002C2C0D"/>
    <w:rsid w:val="002D3583"/>
    <w:rsid w:val="002D47AC"/>
    <w:rsid w:val="002D5360"/>
    <w:rsid w:val="002D6127"/>
    <w:rsid w:val="002D7EE8"/>
    <w:rsid w:val="002E0079"/>
    <w:rsid w:val="002E0E10"/>
    <w:rsid w:val="00304FB8"/>
    <w:rsid w:val="003061D7"/>
    <w:rsid w:val="0031102F"/>
    <w:rsid w:val="0031370C"/>
    <w:rsid w:val="003172A9"/>
    <w:rsid w:val="00322BF1"/>
    <w:rsid w:val="00325CB4"/>
    <w:rsid w:val="00336A07"/>
    <w:rsid w:val="00337503"/>
    <w:rsid w:val="00341A82"/>
    <w:rsid w:val="00343BAA"/>
    <w:rsid w:val="0034485C"/>
    <w:rsid w:val="00345F4E"/>
    <w:rsid w:val="00347D74"/>
    <w:rsid w:val="00351738"/>
    <w:rsid w:val="003532A1"/>
    <w:rsid w:val="003544E6"/>
    <w:rsid w:val="00357737"/>
    <w:rsid w:val="003672FC"/>
    <w:rsid w:val="00374EDA"/>
    <w:rsid w:val="0038126C"/>
    <w:rsid w:val="003847B5"/>
    <w:rsid w:val="00385D98"/>
    <w:rsid w:val="00387614"/>
    <w:rsid w:val="00393CBA"/>
    <w:rsid w:val="00394375"/>
    <w:rsid w:val="003953F4"/>
    <w:rsid w:val="00395456"/>
    <w:rsid w:val="003A0829"/>
    <w:rsid w:val="003A273F"/>
    <w:rsid w:val="003A3BB8"/>
    <w:rsid w:val="003A6CA4"/>
    <w:rsid w:val="003A7019"/>
    <w:rsid w:val="003B447D"/>
    <w:rsid w:val="003C0F1E"/>
    <w:rsid w:val="003C2AEE"/>
    <w:rsid w:val="003C56BD"/>
    <w:rsid w:val="003C6953"/>
    <w:rsid w:val="003D020A"/>
    <w:rsid w:val="003D0F3A"/>
    <w:rsid w:val="003D1D50"/>
    <w:rsid w:val="003D3132"/>
    <w:rsid w:val="003D525F"/>
    <w:rsid w:val="003E38AA"/>
    <w:rsid w:val="003E3C90"/>
    <w:rsid w:val="003E5CE7"/>
    <w:rsid w:val="003E6D42"/>
    <w:rsid w:val="003F0E4F"/>
    <w:rsid w:val="003F1745"/>
    <w:rsid w:val="003F38EA"/>
    <w:rsid w:val="003F5A3A"/>
    <w:rsid w:val="003F6CD3"/>
    <w:rsid w:val="00415327"/>
    <w:rsid w:val="004169D9"/>
    <w:rsid w:val="00430759"/>
    <w:rsid w:val="0043294F"/>
    <w:rsid w:val="00435575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67508"/>
    <w:rsid w:val="004808FC"/>
    <w:rsid w:val="004919B6"/>
    <w:rsid w:val="00492522"/>
    <w:rsid w:val="00493B97"/>
    <w:rsid w:val="00495ACA"/>
    <w:rsid w:val="00495B15"/>
    <w:rsid w:val="004A440C"/>
    <w:rsid w:val="004A6BC6"/>
    <w:rsid w:val="004A7A77"/>
    <w:rsid w:val="004B205A"/>
    <w:rsid w:val="004B4104"/>
    <w:rsid w:val="004C13DA"/>
    <w:rsid w:val="004C255A"/>
    <w:rsid w:val="004C6385"/>
    <w:rsid w:val="004D2272"/>
    <w:rsid w:val="004D402B"/>
    <w:rsid w:val="004E4A14"/>
    <w:rsid w:val="004E631D"/>
    <w:rsid w:val="004F679B"/>
    <w:rsid w:val="00500E86"/>
    <w:rsid w:val="00505683"/>
    <w:rsid w:val="00510BFD"/>
    <w:rsid w:val="00512FFE"/>
    <w:rsid w:val="00514C2C"/>
    <w:rsid w:val="00532309"/>
    <w:rsid w:val="00537E30"/>
    <w:rsid w:val="005411B1"/>
    <w:rsid w:val="00546118"/>
    <w:rsid w:val="00550B9F"/>
    <w:rsid w:val="00551FC6"/>
    <w:rsid w:val="0055496E"/>
    <w:rsid w:val="005762DB"/>
    <w:rsid w:val="00586363"/>
    <w:rsid w:val="005926B6"/>
    <w:rsid w:val="005A1D7F"/>
    <w:rsid w:val="005B231D"/>
    <w:rsid w:val="005D0F64"/>
    <w:rsid w:val="005D18BA"/>
    <w:rsid w:val="005D6002"/>
    <w:rsid w:val="005D698C"/>
    <w:rsid w:val="005E3BF5"/>
    <w:rsid w:val="005E4530"/>
    <w:rsid w:val="005E58F2"/>
    <w:rsid w:val="005E7210"/>
    <w:rsid w:val="005F0726"/>
    <w:rsid w:val="005F18BF"/>
    <w:rsid w:val="005F3B4B"/>
    <w:rsid w:val="005F5680"/>
    <w:rsid w:val="005F6497"/>
    <w:rsid w:val="00601A19"/>
    <w:rsid w:val="006020D6"/>
    <w:rsid w:val="00610B25"/>
    <w:rsid w:val="00610E37"/>
    <w:rsid w:val="0061385E"/>
    <w:rsid w:val="0061673C"/>
    <w:rsid w:val="00622270"/>
    <w:rsid w:val="00625095"/>
    <w:rsid w:val="0062767B"/>
    <w:rsid w:val="00630025"/>
    <w:rsid w:val="00630FB6"/>
    <w:rsid w:val="00633019"/>
    <w:rsid w:val="00642302"/>
    <w:rsid w:val="00643475"/>
    <w:rsid w:val="00647472"/>
    <w:rsid w:val="006526B9"/>
    <w:rsid w:val="00655FAE"/>
    <w:rsid w:val="00660E1B"/>
    <w:rsid w:val="0066585A"/>
    <w:rsid w:val="006721E0"/>
    <w:rsid w:val="00672E8A"/>
    <w:rsid w:val="00687D2D"/>
    <w:rsid w:val="00691CEC"/>
    <w:rsid w:val="00692728"/>
    <w:rsid w:val="00695ECC"/>
    <w:rsid w:val="006A586A"/>
    <w:rsid w:val="006B1DF3"/>
    <w:rsid w:val="006B796E"/>
    <w:rsid w:val="006C2AC7"/>
    <w:rsid w:val="006C3181"/>
    <w:rsid w:val="006C451B"/>
    <w:rsid w:val="006C5773"/>
    <w:rsid w:val="006D0499"/>
    <w:rsid w:val="006D112A"/>
    <w:rsid w:val="006D4580"/>
    <w:rsid w:val="006D73AC"/>
    <w:rsid w:val="006E2D53"/>
    <w:rsid w:val="006E2E75"/>
    <w:rsid w:val="006E36FF"/>
    <w:rsid w:val="006E4B8D"/>
    <w:rsid w:val="006F16C0"/>
    <w:rsid w:val="006F26E0"/>
    <w:rsid w:val="006F276B"/>
    <w:rsid w:val="006F3BCE"/>
    <w:rsid w:val="006F6586"/>
    <w:rsid w:val="0070256A"/>
    <w:rsid w:val="00704746"/>
    <w:rsid w:val="00706B12"/>
    <w:rsid w:val="00710546"/>
    <w:rsid w:val="00711EA9"/>
    <w:rsid w:val="007137B3"/>
    <w:rsid w:val="00715C52"/>
    <w:rsid w:val="00724EDB"/>
    <w:rsid w:val="00725114"/>
    <w:rsid w:val="00725DA5"/>
    <w:rsid w:val="00727219"/>
    <w:rsid w:val="00731C88"/>
    <w:rsid w:val="00741189"/>
    <w:rsid w:val="007444A2"/>
    <w:rsid w:val="00746F06"/>
    <w:rsid w:val="007505EA"/>
    <w:rsid w:val="00750BE5"/>
    <w:rsid w:val="00752C87"/>
    <w:rsid w:val="00753D3B"/>
    <w:rsid w:val="00756FEC"/>
    <w:rsid w:val="00761644"/>
    <w:rsid w:val="00764E22"/>
    <w:rsid w:val="00770862"/>
    <w:rsid w:val="007720E9"/>
    <w:rsid w:val="00776E02"/>
    <w:rsid w:val="00781724"/>
    <w:rsid w:val="007847A4"/>
    <w:rsid w:val="00791570"/>
    <w:rsid w:val="0079311F"/>
    <w:rsid w:val="00797B6F"/>
    <w:rsid w:val="007A0143"/>
    <w:rsid w:val="007A30C6"/>
    <w:rsid w:val="007A3225"/>
    <w:rsid w:val="007A419A"/>
    <w:rsid w:val="007B5970"/>
    <w:rsid w:val="007B6D41"/>
    <w:rsid w:val="007B7294"/>
    <w:rsid w:val="007B7325"/>
    <w:rsid w:val="007B75D4"/>
    <w:rsid w:val="007D0FA9"/>
    <w:rsid w:val="007D12B3"/>
    <w:rsid w:val="007E0508"/>
    <w:rsid w:val="007E1A08"/>
    <w:rsid w:val="007E61D1"/>
    <w:rsid w:val="007F18D9"/>
    <w:rsid w:val="007F6F4E"/>
    <w:rsid w:val="007F7418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67CF"/>
    <w:rsid w:val="008501B7"/>
    <w:rsid w:val="00851055"/>
    <w:rsid w:val="00851676"/>
    <w:rsid w:val="008517C7"/>
    <w:rsid w:val="008537C3"/>
    <w:rsid w:val="00856088"/>
    <w:rsid w:val="0085674E"/>
    <w:rsid w:val="00864869"/>
    <w:rsid w:val="0087222F"/>
    <w:rsid w:val="00882E7B"/>
    <w:rsid w:val="00890C36"/>
    <w:rsid w:val="0089722D"/>
    <w:rsid w:val="008A4685"/>
    <w:rsid w:val="008A62FE"/>
    <w:rsid w:val="008B11D8"/>
    <w:rsid w:val="008C06BD"/>
    <w:rsid w:val="008D17A1"/>
    <w:rsid w:val="008D64CB"/>
    <w:rsid w:val="008D7044"/>
    <w:rsid w:val="008E0C69"/>
    <w:rsid w:val="008E343D"/>
    <w:rsid w:val="008E65F2"/>
    <w:rsid w:val="008F0F72"/>
    <w:rsid w:val="008F6691"/>
    <w:rsid w:val="008F7888"/>
    <w:rsid w:val="009008C0"/>
    <w:rsid w:val="009021D4"/>
    <w:rsid w:val="009040BF"/>
    <w:rsid w:val="00917D67"/>
    <w:rsid w:val="00920050"/>
    <w:rsid w:val="0093019C"/>
    <w:rsid w:val="00931EBD"/>
    <w:rsid w:val="00936769"/>
    <w:rsid w:val="009367F5"/>
    <w:rsid w:val="0094133F"/>
    <w:rsid w:val="009619B4"/>
    <w:rsid w:val="00963CA8"/>
    <w:rsid w:val="0096598F"/>
    <w:rsid w:val="00967B64"/>
    <w:rsid w:val="00967E45"/>
    <w:rsid w:val="00982C9A"/>
    <w:rsid w:val="00987E31"/>
    <w:rsid w:val="0099406A"/>
    <w:rsid w:val="009A2D45"/>
    <w:rsid w:val="009B3CC8"/>
    <w:rsid w:val="009B4E76"/>
    <w:rsid w:val="009C520F"/>
    <w:rsid w:val="009C62E9"/>
    <w:rsid w:val="009C6825"/>
    <w:rsid w:val="009D7F01"/>
    <w:rsid w:val="009E1376"/>
    <w:rsid w:val="009E254D"/>
    <w:rsid w:val="009E2DF6"/>
    <w:rsid w:val="009E7B3F"/>
    <w:rsid w:val="009F5B33"/>
    <w:rsid w:val="009F6533"/>
    <w:rsid w:val="00A00B2C"/>
    <w:rsid w:val="00A13178"/>
    <w:rsid w:val="00A14FF0"/>
    <w:rsid w:val="00A20555"/>
    <w:rsid w:val="00A312CD"/>
    <w:rsid w:val="00A3373E"/>
    <w:rsid w:val="00A3636A"/>
    <w:rsid w:val="00A37420"/>
    <w:rsid w:val="00A42AA6"/>
    <w:rsid w:val="00A464F6"/>
    <w:rsid w:val="00A47CCE"/>
    <w:rsid w:val="00A55802"/>
    <w:rsid w:val="00A56D35"/>
    <w:rsid w:val="00A639C4"/>
    <w:rsid w:val="00A6454D"/>
    <w:rsid w:val="00A7088C"/>
    <w:rsid w:val="00A8090D"/>
    <w:rsid w:val="00A87DA7"/>
    <w:rsid w:val="00A91EB5"/>
    <w:rsid w:val="00A91F26"/>
    <w:rsid w:val="00A926DE"/>
    <w:rsid w:val="00A94552"/>
    <w:rsid w:val="00A9534C"/>
    <w:rsid w:val="00A9568F"/>
    <w:rsid w:val="00A9741D"/>
    <w:rsid w:val="00AA0169"/>
    <w:rsid w:val="00AA1BAD"/>
    <w:rsid w:val="00AA26F0"/>
    <w:rsid w:val="00AA30C3"/>
    <w:rsid w:val="00AA39A4"/>
    <w:rsid w:val="00AA5048"/>
    <w:rsid w:val="00AA6102"/>
    <w:rsid w:val="00AB016C"/>
    <w:rsid w:val="00AB436A"/>
    <w:rsid w:val="00AB5590"/>
    <w:rsid w:val="00AC1981"/>
    <w:rsid w:val="00AC6605"/>
    <w:rsid w:val="00AC79C6"/>
    <w:rsid w:val="00AD141F"/>
    <w:rsid w:val="00AE5642"/>
    <w:rsid w:val="00AF0167"/>
    <w:rsid w:val="00B02DEE"/>
    <w:rsid w:val="00B03D3D"/>
    <w:rsid w:val="00B10C20"/>
    <w:rsid w:val="00B1334C"/>
    <w:rsid w:val="00B13A24"/>
    <w:rsid w:val="00B269D6"/>
    <w:rsid w:val="00B32CA0"/>
    <w:rsid w:val="00B33C77"/>
    <w:rsid w:val="00B352AD"/>
    <w:rsid w:val="00B44041"/>
    <w:rsid w:val="00B44348"/>
    <w:rsid w:val="00B47DCB"/>
    <w:rsid w:val="00B612FE"/>
    <w:rsid w:val="00B619F6"/>
    <w:rsid w:val="00B64B7F"/>
    <w:rsid w:val="00B65B7A"/>
    <w:rsid w:val="00B67FD1"/>
    <w:rsid w:val="00B71C90"/>
    <w:rsid w:val="00B72965"/>
    <w:rsid w:val="00B74C3B"/>
    <w:rsid w:val="00B7708D"/>
    <w:rsid w:val="00B8075C"/>
    <w:rsid w:val="00B80D33"/>
    <w:rsid w:val="00B81C7B"/>
    <w:rsid w:val="00B81F62"/>
    <w:rsid w:val="00B83680"/>
    <w:rsid w:val="00B8507F"/>
    <w:rsid w:val="00BA4922"/>
    <w:rsid w:val="00BA4DD4"/>
    <w:rsid w:val="00BA7B93"/>
    <w:rsid w:val="00BB13EA"/>
    <w:rsid w:val="00BB39FE"/>
    <w:rsid w:val="00BC2677"/>
    <w:rsid w:val="00BD2AE4"/>
    <w:rsid w:val="00BD2B22"/>
    <w:rsid w:val="00BE50F4"/>
    <w:rsid w:val="00BE55DA"/>
    <w:rsid w:val="00BE7884"/>
    <w:rsid w:val="00C11DC2"/>
    <w:rsid w:val="00C12399"/>
    <w:rsid w:val="00C152B8"/>
    <w:rsid w:val="00C15AB7"/>
    <w:rsid w:val="00C16536"/>
    <w:rsid w:val="00C178B9"/>
    <w:rsid w:val="00C17CFA"/>
    <w:rsid w:val="00C30CF6"/>
    <w:rsid w:val="00C316AD"/>
    <w:rsid w:val="00C368B6"/>
    <w:rsid w:val="00C47FE9"/>
    <w:rsid w:val="00C503FF"/>
    <w:rsid w:val="00C5504B"/>
    <w:rsid w:val="00C5716C"/>
    <w:rsid w:val="00C623D0"/>
    <w:rsid w:val="00C67BEC"/>
    <w:rsid w:val="00C72982"/>
    <w:rsid w:val="00C74B4A"/>
    <w:rsid w:val="00C75712"/>
    <w:rsid w:val="00C87D25"/>
    <w:rsid w:val="00CA5F17"/>
    <w:rsid w:val="00CB1FEE"/>
    <w:rsid w:val="00CB44F6"/>
    <w:rsid w:val="00CB5219"/>
    <w:rsid w:val="00CB52EB"/>
    <w:rsid w:val="00CB6F73"/>
    <w:rsid w:val="00CB70BB"/>
    <w:rsid w:val="00CB72EF"/>
    <w:rsid w:val="00CD12EF"/>
    <w:rsid w:val="00CD2200"/>
    <w:rsid w:val="00CD53E2"/>
    <w:rsid w:val="00CD55EA"/>
    <w:rsid w:val="00CE34B4"/>
    <w:rsid w:val="00CF1A44"/>
    <w:rsid w:val="00CF1E83"/>
    <w:rsid w:val="00CF3C0C"/>
    <w:rsid w:val="00CF5590"/>
    <w:rsid w:val="00CF579B"/>
    <w:rsid w:val="00D02A71"/>
    <w:rsid w:val="00D101E2"/>
    <w:rsid w:val="00D13E8D"/>
    <w:rsid w:val="00D2244E"/>
    <w:rsid w:val="00D262FC"/>
    <w:rsid w:val="00D2734F"/>
    <w:rsid w:val="00D32FC9"/>
    <w:rsid w:val="00D33DFF"/>
    <w:rsid w:val="00D34BD4"/>
    <w:rsid w:val="00D44056"/>
    <w:rsid w:val="00D45B6A"/>
    <w:rsid w:val="00D4706C"/>
    <w:rsid w:val="00D664EC"/>
    <w:rsid w:val="00D74B4E"/>
    <w:rsid w:val="00D82FFF"/>
    <w:rsid w:val="00D836FF"/>
    <w:rsid w:val="00D85924"/>
    <w:rsid w:val="00D9147C"/>
    <w:rsid w:val="00D92581"/>
    <w:rsid w:val="00DA2BA0"/>
    <w:rsid w:val="00DA3A45"/>
    <w:rsid w:val="00DB4B29"/>
    <w:rsid w:val="00DC04AB"/>
    <w:rsid w:val="00DC3B64"/>
    <w:rsid w:val="00DC6A53"/>
    <w:rsid w:val="00DD0FE7"/>
    <w:rsid w:val="00DD2CDF"/>
    <w:rsid w:val="00DD3C2E"/>
    <w:rsid w:val="00DD4849"/>
    <w:rsid w:val="00DD5ADF"/>
    <w:rsid w:val="00DE23D4"/>
    <w:rsid w:val="00DE45E4"/>
    <w:rsid w:val="00DE660A"/>
    <w:rsid w:val="00DF2F32"/>
    <w:rsid w:val="00E109AB"/>
    <w:rsid w:val="00E13462"/>
    <w:rsid w:val="00E14E37"/>
    <w:rsid w:val="00E15A75"/>
    <w:rsid w:val="00E21E0F"/>
    <w:rsid w:val="00E220AB"/>
    <w:rsid w:val="00E22DAE"/>
    <w:rsid w:val="00E246FD"/>
    <w:rsid w:val="00E261AA"/>
    <w:rsid w:val="00E2682E"/>
    <w:rsid w:val="00E30967"/>
    <w:rsid w:val="00E3598B"/>
    <w:rsid w:val="00E36E12"/>
    <w:rsid w:val="00E37622"/>
    <w:rsid w:val="00E51FB6"/>
    <w:rsid w:val="00E64F31"/>
    <w:rsid w:val="00E7136F"/>
    <w:rsid w:val="00E7249E"/>
    <w:rsid w:val="00E75174"/>
    <w:rsid w:val="00E82CD6"/>
    <w:rsid w:val="00E84C75"/>
    <w:rsid w:val="00E85F06"/>
    <w:rsid w:val="00E92FCA"/>
    <w:rsid w:val="00E93E30"/>
    <w:rsid w:val="00E93F87"/>
    <w:rsid w:val="00EA37E4"/>
    <w:rsid w:val="00EB0EBC"/>
    <w:rsid w:val="00EB6695"/>
    <w:rsid w:val="00EC5274"/>
    <w:rsid w:val="00EC67DF"/>
    <w:rsid w:val="00ED48C8"/>
    <w:rsid w:val="00ED4C77"/>
    <w:rsid w:val="00ED63A6"/>
    <w:rsid w:val="00EE6B70"/>
    <w:rsid w:val="00EF4C34"/>
    <w:rsid w:val="00EF57CA"/>
    <w:rsid w:val="00F04755"/>
    <w:rsid w:val="00F0644D"/>
    <w:rsid w:val="00F06819"/>
    <w:rsid w:val="00F176B7"/>
    <w:rsid w:val="00F21635"/>
    <w:rsid w:val="00F34662"/>
    <w:rsid w:val="00F36E9D"/>
    <w:rsid w:val="00F403CE"/>
    <w:rsid w:val="00F4236A"/>
    <w:rsid w:val="00F45AA7"/>
    <w:rsid w:val="00F45F54"/>
    <w:rsid w:val="00F50499"/>
    <w:rsid w:val="00F5199E"/>
    <w:rsid w:val="00F53556"/>
    <w:rsid w:val="00F6231D"/>
    <w:rsid w:val="00F626BE"/>
    <w:rsid w:val="00F7793D"/>
    <w:rsid w:val="00F80247"/>
    <w:rsid w:val="00F8218A"/>
    <w:rsid w:val="00FA18C3"/>
    <w:rsid w:val="00FA49C7"/>
    <w:rsid w:val="00FA5E35"/>
    <w:rsid w:val="00FB0387"/>
    <w:rsid w:val="00FB183B"/>
    <w:rsid w:val="00FB19A9"/>
    <w:rsid w:val="00FB5DE5"/>
    <w:rsid w:val="00FC549A"/>
    <w:rsid w:val="00FC5EB1"/>
    <w:rsid w:val="00FC60BC"/>
    <w:rsid w:val="00FD5E2F"/>
    <w:rsid w:val="00FD6C27"/>
    <w:rsid w:val="00FE0510"/>
    <w:rsid w:val="00FE43F5"/>
    <w:rsid w:val="00FE70F4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210932"/>
  </w:style>
  <w:style w:type="paragraph" w:customStyle="1" w:styleId="Grundausstatt">
    <w:name w:val="Grundausstatt."/>
    <w:basedOn w:val="Normalny"/>
    <w:rsid w:val="00982C9A"/>
    <w:pPr>
      <w:suppressAutoHyphens/>
      <w:autoSpaceDE/>
      <w:adjustRightInd/>
      <w:ind w:left="1701" w:hanging="1701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6C577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eble-wlacznie-z-biurowymi-wyposazenie-urzadzenia-domowe-z-wylaczeniem-oswietlenia-i-srodki-czyszczace-465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zdw.pl/zamowienia-publiczne/inne-informac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pzd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8D139-797F-46EF-9215-0B46A199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1</Pages>
  <Words>4435</Words>
  <Characters>26615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358</cp:revision>
  <cp:lastPrinted>2024-09-25T05:54:00Z</cp:lastPrinted>
  <dcterms:created xsi:type="dcterms:W3CDTF">2020-04-06T11:17:00Z</dcterms:created>
  <dcterms:modified xsi:type="dcterms:W3CDTF">2024-09-27T13:19:00Z</dcterms:modified>
</cp:coreProperties>
</file>