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A639C4">
        <w:trPr>
          <w:trHeight w:val="838"/>
        </w:trPr>
        <w:tc>
          <w:tcPr>
            <w:tcW w:w="9214" w:type="dxa"/>
          </w:tcPr>
          <w:p w14:paraId="53DB72CD" w14:textId="77777777" w:rsidR="000F6CE6" w:rsidRPr="000F6CE6" w:rsidRDefault="000F6CE6" w:rsidP="00740CF4">
            <w:pPr>
              <w:tabs>
                <w:tab w:val="left" w:pos="408"/>
              </w:tabs>
              <w:ind w:left="360"/>
              <w:jc w:val="center"/>
              <w:rPr>
                <w:b/>
                <w:sz w:val="6"/>
                <w:szCs w:val="6"/>
              </w:rPr>
            </w:pPr>
          </w:p>
          <w:p w14:paraId="668B8C98" w14:textId="1135B132" w:rsidR="00CF579B" w:rsidRPr="009C6825" w:rsidRDefault="00CF579B" w:rsidP="00740CF4">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740CF4">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384"/>
        <w:gridCol w:w="7796"/>
      </w:tblGrid>
      <w:tr w:rsidR="00E261AA" w:rsidRPr="00A639C4" w14:paraId="6B45B2AB" w14:textId="77777777" w:rsidTr="00A639C4">
        <w:trPr>
          <w:trHeight w:val="693"/>
        </w:trPr>
        <w:tc>
          <w:tcPr>
            <w:tcW w:w="1384" w:type="dxa"/>
            <w:tcBorders>
              <w:bottom w:val="single" w:sz="4" w:space="0" w:color="auto"/>
            </w:tcBorders>
            <w:shd w:val="clear" w:color="auto" w:fill="auto"/>
            <w:vAlign w:val="center"/>
          </w:tcPr>
          <w:p w14:paraId="260A9B4E" w14:textId="7DFA41A6" w:rsidR="0070256A" w:rsidRPr="00A639C4" w:rsidRDefault="00E261AA" w:rsidP="00740CF4">
            <w:pPr>
              <w:tabs>
                <w:tab w:val="left" w:pos="408"/>
              </w:tabs>
              <w:jc w:val="center"/>
              <w:rPr>
                <w:b/>
                <w:sz w:val="16"/>
                <w:szCs w:val="16"/>
              </w:rPr>
            </w:pPr>
            <w:r w:rsidRPr="00A639C4">
              <w:rPr>
                <w:b/>
                <w:sz w:val="16"/>
                <w:szCs w:val="16"/>
              </w:rPr>
              <w:t>Punkt (IDW) którego dotyczą informacje</w:t>
            </w:r>
          </w:p>
        </w:tc>
        <w:tc>
          <w:tcPr>
            <w:tcW w:w="7796" w:type="dxa"/>
            <w:tcBorders>
              <w:bottom w:val="single" w:sz="4" w:space="0" w:color="auto"/>
            </w:tcBorders>
            <w:shd w:val="clear" w:color="auto" w:fill="auto"/>
            <w:vAlign w:val="center"/>
          </w:tcPr>
          <w:p w14:paraId="7FF4BEB9" w14:textId="77777777" w:rsidR="00E261AA" w:rsidRPr="009C6825" w:rsidRDefault="00E261AA" w:rsidP="00740CF4">
            <w:pPr>
              <w:tabs>
                <w:tab w:val="left" w:pos="408"/>
              </w:tabs>
              <w:jc w:val="center"/>
              <w:rPr>
                <w:b/>
              </w:rPr>
            </w:pPr>
            <w:r w:rsidRPr="009C6825">
              <w:rPr>
                <w:b/>
              </w:rPr>
              <w:t>Treść informacji</w:t>
            </w:r>
          </w:p>
        </w:tc>
      </w:tr>
      <w:tr w:rsidR="009E1376" w:rsidRPr="00A639C4" w14:paraId="4B0B30A6" w14:textId="77777777" w:rsidTr="00A639C4">
        <w:tc>
          <w:tcPr>
            <w:tcW w:w="1384" w:type="dxa"/>
            <w:shd w:val="clear" w:color="auto" w:fill="BFBFBF" w:themeFill="background1" w:themeFillShade="BF"/>
          </w:tcPr>
          <w:p w14:paraId="7430E121" w14:textId="70170ABD" w:rsidR="009E1376" w:rsidRPr="00A639C4" w:rsidRDefault="009E1376" w:rsidP="00740CF4">
            <w:pPr>
              <w:tabs>
                <w:tab w:val="left" w:pos="408"/>
              </w:tabs>
              <w:jc w:val="center"/>
              <w:rPr>
                <w:b/>
              </w:rPr>
            </w:pPr>
            <w:r w:rsidRPr="00A639C4">
              <w:rPr>
                <w:b/>
              </w:rPr>
              <w:t>Pkt 4.1 IDW</w:t>
            </w:r>
          </w:p>
        </w:tc>
        <w:tc>
          <w:tcPr>
            <w:tcW w:w="7796" w:type="dxa"/>
            <w:shd w:val="clear" w:color="auto" w:fill="BFBFBF" w:themeFill="background1" w:themeFillShade="BF"/>
          </w:tcPr>
          <w:p w14:paraId="1239B616" w14:textId="5A079DE3" w:rsidR="0070256A" w:rsidRPr="00A639C4" w:rsidRDefault="009E1376" w:rsidP="00740CF4">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A639C4">
        <w:tc>
          <w:tcPr>
            <w:tcW w:w="1384" w:type="dxa"/>
            <w:vMerge w:val="restart"/>
            <w:shd w:val="clear" w:color="auto" w:fill="auto"/>
          </w:tcPr>
          <w:p w14:paraId="05438F84" w14:textId="77777777" w:rsidR="009E1376" w:rsidRPr="00A639C4" w:rsidRDefault="009E1376" w:rsidP="00740CF4">
            <w:pPr>
              <w:tabs>
                <w:tab w:val="left" w:pos="408"/>
              </w:tabs>
              <w:jc w:val="center"/>
              <w:rPr>
                <w:b/>
              </w:rPr>
            </w:pPr>
          </w:p>
        </w:tc>
        <w:tc>
          <w:tcPr>
            <w:tcW w:w="7796" w:type="dxa"/>
            <w:shd w:val="clear" w:color="auto" w:fill="auto"/>
          </w:tcPr>
          <w:p w14:paraId="665BC52A" w14:textId="77777777" w:rsidR="006F3CC9" w:rsidRDefault="006F3CC9" w:rsidP="00740CF4">
            <w:pPr>
              <w:jc w:val="both"/>
              <w:rPr>
                <w:rStyle w:val="Pogrubienie"/>
              </w:rPr>
            </w:pPr>
          </w:p>
          <w:p w14:paraId="452DDC70" w14:textId="77777777" w:rsidR="006F3CC9" w:rsidRPr="00BF0687" w:rsidRDefault="006F3CC9" w:rsidP="00740CF4">
            <w:pPr>
              <w:ind w:left="300" w:hanging="300"/>
              <w:jc w:val="both"/>
              <w:rPr>
                <w:b/>
              </w:rPr>
            </w:pPr>
            <w:r w:rsidRPr="00BF0687">
              <w:rPr>
                <w:b/>
              </w:rPr>
              <w:t>Pełna nazwa zamówienia:</w:t>
            </w:r>
          </w:p>
          <w:p w14:paraId="0B6E992B" w14:textId="77777777" w:rsidR="006F3CC9" w:rsidRPr="00BF0687" w:rsidRDefault="006F3CC9" w:rsidP="00740CF4">
            <w:pPr>
              <w:jc w:val="both"/>
              <w:rPr>
                <w:rStyle w:val="Pogrubienie"/>
              </w:rPr>
            </w:pPr>
          </w:p>
          <w:p w14:paraId="5FDAFD70" w14:textId="7CCDF577" w:rsidR="006C5EA2" w:rsidRDefault="000E401B" w:rsidP="00740CF4">
            <w:pPr>
              <w:jc w:val="both"/>
              <w:rPr>
                <w:rStyle w:val="Pogrubienie"/>
              </w:rPr>
            </w:pPr>
            <w:r w:rsidRPr="000E401B">
              <w:rPr>
                <w:rStyle w:val="Pogrubienie"/>
              </w:rPr>
              <w:t>Przebudowa drogi wojewódzkiej Nr 881 Sokołów Małopolski – Łańcut – Kańczuga – Pruchnik – Żurawica w m. Węgierka</w:t>
            </w:r>
          </w:p>
          <w:p w14:paraId="5DD8E56A" w14:textId="77777777" w:rsidR="000E401B" w:rsidRPr="00A639C4" w:rsidRDefault="000E401B" w:rsidP="00740CF4">
            <w:pPr>
              <w:jc w:val="both"/>
              <w:rPr>
                <w:b/>
                <w:color w:val="000000"/>
              </w:rPr>
            </w:pPr>
          </w:p>
          <w:p w14:paraId="7A3913D1" w14:textId="77777777" w:rsidR="009E1376" w:rsidRPr="00A639C4" w:rsidRDefault="009E1376" w:rsidP="00740CF4">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740CF4">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740CF4">
            <w:pPr>
              <w:tabs>
                <w:tab w:val="left" w:pos="408"/>
              </w:tabs>
              <w:rPr>
                <w:b/>
              </w:rPr>
            </w:pPr>
          </w:p>
        </w:tc>
      </w:tr>
      <w:tr w:rsidR="009E1376" w:rsidRPr="00A639C4" w14:paraId="6EA5BC02" w14:textId="77777777" w:rsidTr="00A639C4">
        <w:tc>
          <w:tcPr>
            <w:tcW w:w="1384" w:type="dxa"/>
            <w:vMerge/>
            <w:shd w:val="clear" w:color="auto" w:fill="auto"/>
          </w:tcPr>
          <w:p w14:paraId="5A0C33ED" w14:textId="77777777" w:rsidR="009E1376" w:rsidRPr="00A639C4" w:rsidRDefault="009E1376" w:rsidP="00740CF4">
            <w:pPr>
              <w:tabs>
                <w:tab w:val="left" w:pos="408"/>
              </w:tabs>
              <w:jc w:val="center"/>
              <w:rPr>
                <w:b/>
              </w:rPr>
            </w:pPr>
          </w:p>
        </w:tc>
        <w:tc>
          <w:tcPr>
            <w:tcW w:w="7796" w:type="dxa"/>
            <w:shd w:val="clear" w:color="auto" w:fill="auto"/>
          </w:tcPr>
          <w:p w14:paraId="09FEE9C0" w14:textId="77777777" w:rsidR="006F3CC9" w:rsidRDefault="006F3CC9" w:rsidP="00740CF4">
            <w:pPr>
              <w:ind w:left="300" w:hanging="300"/>
              <w:jc w:val="both"/>
              <w:rPr>
                <w:b/>
              </w:rPr>
            </w:pPr>
          </w:p>
          <w:p w14:paraId="11C76EEF" w14:textId="52831664" w:rsidR="009E1376" w:rsidRPr="00A639C4" w:rsidRDefault="009E1376" w:rsidP="00740CF4">
            <w:pPr>
              <w:ind w:left="300" w:hanging="300"/>
              <w:jc w:val="both"/>
              <w:rPr>
                <w:b/>
              </w:rPr>
            </w:pPr>
            <w:r w:rsidRPr="00A639C4">
              <w:rPr>
                <w:b/>
              </w:rPr>
              <w:t>Opis przedmiotu zamówienia</w:t>
            </w:r>
          </w:p>
          <w:p w14:paraId="03D90227" w14:textId="77777777" w:rsidR="006F3CC9" w:rsidRDefault="006F3CC9" w:rsidP="00740CF4">
            <w:pPr>
              <w:tabs>
                <w:tab w:val="left" w:pos="408"/>
              </w:tabs>
              <w:jc w:val="both"/>
              <w:rPr>
                <w:bCs/>
                <w:iCs/>
                <w:lang w:eastAsia="x-none"/>
              </w:rPr>
            </w:pPr>
          </w:p>
          <w:p w14:paraId="75534EBE" w14:textId="77777777" w:rsidR="000E401B" w:rsidRDefault="000E401B" w:rsidP="00740CF4">
            <w:pPr>
              <w:jc w:val="both"/>
              <w:rPr>
                <w:rFonts w:eastAsiaTheme="minorEastAsia"/>
                <w:b/>
                <w:bCs/>
              </w:rPr>
            </w:pPr>
            <w:r w:rsidRPr="0021080F">
              <w:rPr>
                <w:rFonts w:eastAsiaTheme="minorEastAsia"/>
                <w:b/>
                <w:bCs/>
              </w:rPr>
              <w:t xml:space="preserve">Przebudowa drogi wojewódzkiej Nr 881 Sokołów Małopolski – Żurawica </w:t>
            </w:r>
            <w:r>
              <w:rPr>
                <w:rFonts w:eastAsiaTheme="minorEastAsia"/>
                <w:b/>
                <w:bCs/>
              </w:rPr>
              <w:br/>
            </w:r>
            <w:r w:rsidRPr="0021080F">
              <w:rPr>
                <w:rFonts w:eastAsiaTheme="minorEastAsia"/>
                <w:b/>
                <w:bCs/>
              </w:rPr>
              <w:t>w m</w:t>
            </w:r>
            <w:r>
              <w:rPr>
                <w:rFonts w:eastAsiaTheme="minorEastAsia"/>
                <w:b/>
                <w:bCs/>
              </w:rPr>
              <w:t>iejscowości</w:t>
            </w:r>
            <w:r w:rsidRPr="0021080F">
              <w:rPr>
                <w:rFonts w:eastAsiaTheme="minorEastAsia"/>
                <w:b/>
                <w:bCs/>
              </w:rPr>
              <w:t xml:space="preserve"> </w:t>
            </w:r>
            <w:r>
              <w:rPr>
                <w:rFonts w:eastAsiaTheme="minorEastAsia"/>
                <w:b/>
                <w:bCs/>
              </w:rPr>
              <w:t>Węgierka</w:t>
            </w:r>
          </w:p>
          <w:p w14:paraId="1A962339" w14:textId="31BE27BD" w:rsidR="006F3CC9" w:rsidRPr="00BF0687" w:rsidRDefault="006F3CC9" w:rsidP="00740CF4">
            <w:pPr>
              <w:jc w:val="both"/>
            </w:pPr>
            <w:r w:rsidRPr="00BF0687">
              <w:t xml:space="preserve">Opis Przedmiotu Zamówienia oraz sposób realizacji zamówienia zawiera </w:t>
            </w:r>
            <w:r w:rsidR="001D050F">
              <w:t>SST</w:t>
            </w:r>
            <w:r w:rsidRPr="00BF0687">
              <w:t xml:space="preserve"> stanowiąc</w:t>
            </w:r>
            <w:r w:rsidR="001D050F">
              <w:t>e</w:t>
            </w:r>
            <w:r w:rsidRPr="00BF0687">
              <w:t xml:space="preserve"> </w:t>
            </w:r>
            <w:r w:rsidRPr="00BF0687">
              <w:rPr>
                <w:b/>
              </w:rPr>
              <w:t>Załącznik do SWZ</w:t>
            </w:r>
            <w:r w:rsidRPr="00BF0687">
              <w:t>.</w:t>
            </w:r>
          </w:p>
          <w:p w14:paraId="2130F7F8" w14:textId="77777777" w:rsidR="009E1376" w:rsidRPr="00A639C4" w:rsidRDefault="009E1376" w:rsidP="00740CF4">
            <w:pPr>
              <w:jc w:val="both"/>
              <w:rPr>
                <w:b/>
              </w:rPr>
            </w:pPr>
          </w:p>
        </w:tc>
      </w:tr>
      <w:tr w:rsidR="009E1376" w:rsidRPr="00A639C4" w14:paraId="65569BC4" w14:textId="77777777" w:rsidTr="00A639C4">
        <w:tc>
          <w:tcPr>
            <w:tcW w:w="1384" w:type="dxa"/>
            <w:vMerge/>
            <w:shd w:val="clear" w:color="auto" w:fill="auto"/>
          </w:tcPr>
          <w:p w14:paraId="0E5A35B9" w14:textId="77777777" w:rsidR="009E1376" w:rsidRPr="00A639C4" w:rsidRDefault="009E1376" w:rsidP="00740CF4">
            <w:pPr>
              <w:tabs>
                <w:tab w:val="left" w:pos="408"/>
              </w:tabs>
              <w:jc w:val="center"/>
              <w:rPr>
                <w:b/>
              </w:rPr>
            </w:pPr>
          </w:p>
        </w:tc>
        <w:tc>
          <w:tcPr>
            <w:tcW w:w="7796" w:type="dxa"/>
            <w:shd w:val="clear" w:color="auto" w:fill="auto"/>
          </w:tcPr>
          <w:p w14:paraId="5B0AEECF" w14:textId="77777777" w:rsidR="006F3CC9" w:rsidRDefault="006F3CC9" w:rsidP="00740CF4">
            <w:pPr>
              <w:ind w:left="300" w:hanging="300"/>
              <w:jc w:val="both"/>
              <w:rPr>
                <w:b/>
              </w:rPr>
            </w:pPr>
          </w:p>
          <w:p w14:paraId="161F1EAF" w14:textId="42EB6192" w:rsidR="009E1376" w:rsidRPr="00A639C4" w:rsidRDefault="009E1376" w:rsidP="00740CF4">
            <w:pPr>
              <w:ind w:left="300" w:hanging="300"/>
              <w:jc w:val="both"/>
              <w:rPr>
                <w:b/>
              </w:rPr>
            </w:pPr>
            <w:r w:rsidRPr="00A639C4">
              <w:rPr>
                <w:b/>
              </w:rPr>
              <w:t>Oznaczenie wg Wspólnego Słownika Zamówień (CPV)</w:t>
            </w:r>
          </w:p>
          <w:p w14:paraId="21093CC4" w14:textId="77777777" w:rsidR="006F3CC9" w:rsidRDefault="006F3CC9" w:rsidP="00740CF4"/>
          <w:p w14:paraId="688F1D12" w14:textId="4D78740F" w:rsidR="006F3CC9" w:rsidRPr="00BF0687" w:rsidRDefault="006F3CC9" w:rsidP="00740CF4">
            <w:pPr>
              <w:rPr>
                <w:b/>
              </w:rPr>
            </w:pPr>
            <w:r w:rsidRPr="00BF0687">
              <w:t>45233222-1 – Roboty budowlane w zakresie układania chodników i asfaltowania</w:t>
            </w:r>
            <w:r w:rsidRPr="00BF0687">
              <w:rPr>
                <w:b/>
              </w:rPr>
              <w:t xml:space="preserve"> </w:t>
            </w:r>
          </w:p>
          <w:p w14:paraId="35CBC523" w14:textId="77777777" w:rsidR="009E1376" w:rsidRPr="00A639C4" w:rsidRDefault="009E1376" w:rsidP="00740CF4">
            <w:pPr>
              <w:ind w:left="300" w:hanging="300"/>
              <w:jc w:val="both"/>
              <w:rPr>
                <w:b/>
              </w:rPr>
            </w:pPr>
          </w:p>
        </w:tc>
      </w:tr>
      <w:tr w:rsidR="009E1376" w:rsidRPr="00A639C4" w14:paraId="3A8A3E00" w14:textId="77777777" w:rsidTr="00A639C4">
        <w:tc>
          <w:tcPr>
            <w:tcW w:w="1384" w:type="dxa"/>
            <w:vMerge/>
            <w:shd w:val="clear" w:color="auto" w:fill="auto"/>
          </w:tcPr>
          <w:p w14:paraId="50BFF663" w14:textId="77777777" w:rsidR="009E1376" w:rsidRPr="00A639C4" w:rsidRDefault="009E1376" w:rsidP="00740CF4">
            <w:pPr>
              <w:tabs>
                <w:tab w:val="left" w:pos="408"/>
              </w:tabs>
              <w:jc w:val="center"/>
              <w:rPr>
                <w:b/>
              </w:rPr>
            </w:pPr>
          </w:p>
        </w:tc>
        <w:tc>
          <w:tcPr>
            <w:tcW w:w="7796" w:type="dxa"/>
            <w:shd w:val="clear" w:color="auto" w:fill="auto"/>
          </w:tcPr>
          <w:p w14:paraId="5267881B" w14:textId="77777777" w:rsidR="006F3CC9" w:rsidRDefault="006F3CC9" w:rsidP="00740CF4">
            <w:pPr>
              <w:ind w:left="300" w:hanging="300"/>
              <w:jc w:val="both"/>
              <w:rPr>
                <w:b/>
              </w:rPr>
            </w:pPr>
          </w:p>
          <w:p w14:paraId="2166DE66" w14:textId="455E6C24" w:rsidR="009E1376" w:rsidRPr="00A639C4" w:rsidRDefault="009E1376" w:rsidP="00740CF4">
            <w:pPr>
              <w:ind w:left="300" w:hanging="300"/>
              <w:jc w:val="both"/>
              <w:rPr>
                <w:b/>
              </w:rPr>
            </w:pPr>
            <w:r w:rsidRPr="00A639C4">
              <w:rPr>
                <w:b/>
              </w:rPr>
              <w:t>Sposób realizacji zamówienia</w:t>
            </w:r>
          </w:p>
          <w:p w14:paraId="026EAC46" w14:textId="77777777" w:rsidR="009E1376" w:rsidRPr="00A639C4" w:rsidRDefault="009E1376" w:rsidP="00740CF4">
            <w:pPr>
              <w:ind w:left="300" w:hanging="300"/>
              <w:jc w:val="both"/>
              <w:rPr>
                <w:b/>
              </w:rPr>
            </w:pPr>
          </w:p>
          <w:p w14:paraId="5FFF83CB" w14:textId="4BF220B1" w:rsidR="006F3CC9" w:rsidRPr="00BF0687" w:rsidRDefault="009E1376" w:rsidP="00740CF4">
            <w:pPr>
              <w:pStyle w:val="Akapitzlist"/>
              <w:numPr>
                <w:ilvl w:val="0"/>
                <w:numId w:val="9"/>
              </w:numPr>
              <w:tabs>
                <w:tab w:val="left" w:pos="408"/>
              </w:tabs>
              <w:jc w:val="both"/>
            </w:pPr>
            <w:r w:rsidRPr="00A639C4">
              <w:t>Realizacja przedmiotu zamówienia musi być zgodna z ofertą i SWZ, w szczególności:</w:t>
            </w:r>
            <w:r w:rsidR="00EA37E4">
              <w:t xml:space="preserve"> </w:t>
            </w:r>
            <w:r w:rsidR="006F3CC9" w:rsidRPr="00BF0687">
              <w:t xml:space="preserve"> Projektowanymi postanowieniami umowy w sprawie zamówienia publicznego,</w:t>
            </w:r>
          </w:p>
          <w:p w14:paraId="686FFEC0" w14:textId="77777777" w:rsidR="006F3CC9" w:rsidRPr="00BF0687" w:rsidRDefault="006F3CC9" w:rsidP="00740CF4">
            <w:pPr>
              <w:numPr>
                <w:ilvl w:val="0"/>
                <w:numId w:val="9"/>
              </w:numPr>
              <w:jc w:val="both"/>
            </w:pPr>
            <w:r w:rsidRPr="00BF0687">
              <w:t>Kosztorysem ofertowym (KO),</w:t>
            </w:r>
          </w:p>
          <w:p w14:paraId="65BADBBA" w14:textId="5A6F0631" w:rsidR="0006539D" w:rsidRPr="00A639C4" w:rsidRDefault="000E401B" w:rsidP="00740CF4">
            <w:pPr>
              <w:numPr>
                <w:ilvl w:val="0"/>
                <w:numId w:val="9"/>
              </w:numPr>
              <w:jc w:val="both"/>
            </w:pPr>
            <w:r>
              <w:t>SST</w:t>
            </w:r>
          </w:p>
          <w:p w14:paraId="6F5C1478" w14:textId="454CBC29" w:rsidR="0006539D" w:rsidRPr="00A639C4" w:rsidRDefault="0006539D" w:rsidP="00740CF4">
            <w:pPr>
              <w:tabs>
                <w:tab w:val="left" w:pos="408"/>
              </w:tabs>
              <w:rPr>
                <w:b/>
              </w:rPr>
            </w:pPr>
          </w:p>
        </w:tc>
      </w:tr>
      <w:tr w:rsidR="009E1376" w:rsidRPr="00A639C4" w14:paraId="7D5B7BE2" w14:textId="77777777" w:rsidTr="00A639C4">
        <w:tc>
          <w:tcPr>
            <w:tcW w:w="1384" w:type="dxa"/>
            <w:vMerge/>
            <w:shd w:val="clear" w:color="auto" w:fill="auto"/>
          </w:tcPr>
          <w:p w14:paraId="275DDF89" w14:textId="77777777" w:rsidR="009E1376" w:rsidRPr="00A639C4" w:rsidRDefault="009E1376" w:rsidP="00740CF4">
            <w:pPr>
              <w:tabs>
                <w:tab w:val="left" w:pos="408"/>
              </w:tabs>
              <w:jc w:val="center"/>
              <w:rPr>
                <w:b/>
              </w:rPr>
            </w:pPr>
          </w:p>
        </w:tc>
        <w:tc>
          <w:tcPr>
            <w:tcW w:w="7796" w:type="dxa"/>
            <w:shd w:val="clear" w:color="auto" w:fill="auto"/>
          </w:tcPr>
          <w:p w14:paraId="77A15D11" w14:textId="77777777" w:rsidR="006F3CC9" w:rsidRDefault="006F3CC9" w:rsidP="00740CF4">
            <w:pPr>
              <w:tabs>
                <w:tab w:val="left" w:pos="408"/>
              </w:tabs>
              <w:jc w:val="both"/>
              <w:rPr>
                <w:b/>
              </w:rPr>
            </w:pPr>
          </w:p>
          <w:p w14:paraId="63CF5F33" w14:textId="5C3EFDF4" w:rsidR="009E1376" w:rsidRPr="00A639C4" w:rsidRDefault="009E1376" w:rsidP="00740CF4">
            <w:pPr>
              <w:tabs>
                <w:tab w:val="left" w:pos="408"/>
              </w:tabs>
              <w:jc w:val="both"/>
              <w:rPr>
                <w:b/>
              </w:rPr>
            </w:pPr>
            <w:r w:rsidRPr="00A639C4">
              <w:rPr>
                <w:b/>
              </w:rPr>
              <w:t>Okres gwarancji i rękojmi za wady</w:t>
            </w:r>
            <w:r w:rsidR="006F3CC9">
              <w:rPr>
                <w:b/>
              </w:rPr>
              <w:t xml:space="preserve">: </w:t>
            </w:r>
            <w:r w:rsidR="006F3CC9" w:rsidRPr="00BF0687">
              <w:rPr>
                <w:b/>
              </w:rPr>
              <w:t xml:space="preserve"> minimum 5 lat</w:t>
            </w:r>
          </w:p>
          <w:p w14:paraId="57554596" w14:textId="77777777" w:rsidR="000A58DC" w:rsidRPr="00A639C4" w:rsidRDefault="000A58DC" w:rsidP="00740CF4">
            <w:pPr>
              <w:jc w:val="both"/>
              <w:rPr>
                <w:b/>
              </w:rPr>
            </w:pPr>
          </w:p>
        </w:tc>
      </w:tr>
      <w:tr w:rsidR="009E1376" w:rsidRPr="00A639C4" w14:paraId="65A68816" w14:textId="77777777" w:rsidTr="00A639C4">
        <w:tc>
          <w:tcPr>
            <w:tcW w:w="1384" w:type="dxa"/>
            <w:vMerge/>
            <w:shd w:val="clear" w:color="auto" w:fill="auto"/>
          </w:tcPr>
          <w:p w14:paraId="15B37764" w14:textId="77777777" w:rsidR="009E1376" w:rsidRPr="00A639C4" w:rsidRDefault="009E1376" w:rsidP="00740CF4">
            <w:pPr>
              <w:tabs>
                <w:tab w:val="left" w:pos="408"/>
              </w:tabs>
              <w:jc w:val="center"/>
              <w:rPr>
                <w:b/>
              </w:rPr>
            </w:pPr>
          </w:p>
        </w:tc>
        <w:tc>
          <w:tcPr>
            <w:tcW w:w="7796" w:type="dxa"/>
            <w:shd w:val="clear" w:color="auto" w:fill="auto"/>
          </w:tcPr>
          <w:p w14:paraId="607AA5FE" w14:textId="77777777" w:rsidR="006F3CC9" w:rsidRDefault="006F3CC9" w:rsidP="00740CF4">
            <w:pPr>
              <w:widowControl/>
              <w:autoSpaceDE/>
              <w:autoSpaceDN/>
              <w:adjustRightInd/>
              <w:contextualSpacing/>
              <w:jc w:val="both"/>
              <w:rPr>
                <w:rFonts w:eastAsia="Calibri"/>
                <w:b/>
                <w:lang w:eastAsia="en-US"/>
              </w:rPr>
            </w:pPr>
          </w:p>
          <w:p w14:paraId="1135353D" w14:textId="26A34429" w:rsidR="006F3CC9" w:rsidRPr="00BF0687" w:rsidRDefault="006F3CC9" w:rsidP="00740CF4">
            <w:pPr>
              <w:widowControl/>
              <w:autoSpaceDE/>
              <w:autoSpaceDN/>
              <w:adjustRightInd/>
              <w:contextualSpacing/>
              <w:jc w:val="both"/>
              <w:rPr>
                <w:rFonts w:eastAsia="Calibri"/>
                <w:b/>
                <w:lang w:eastAsia="en-US"/>
              </w:rPr>
            </w:pPr>
            <w:r w:rsidRPr="00BF0687">
              <w:rPr>
                <w:rFonts w:eastAsia="Calibri"/>
                <w:b/>
                <w:lang w:eastAsia="en-US"/>
              </w:rPr>
              <w:t xml:space="preserve">Kwota, jaką Zamawiający zamierza przeznaczyć na sfinansowanie zamówienia </w:t>
            </w:r>
          </w:p>
          <w:p w14:paraId="4148175D" w14:textId="77777777" w:rsidR="006F3CC9" w:rsidRPr="00BF0687" w:rsidRDefault="006F3CC9" w:rsidP="00740CF4">
            <w:pPr>
              <w:widowControl/>
              <w:autoSpaceDE/>
              <w:autoSpaceDN/>
              <w:adjustRightInd/>
              <w:contextualSpacing/>
              <w:jc w:val="both"/>
              <w:rPr>
                <w:rFonts w:eastAsia="Calibri"/>
                <w:bCs/>
                <w:lang w:eastAsia="en-US"/>
              </w:rPr>
            </w:pPr>
            <w:r w:rsidRPr="00BF0687">
              <w:rPr>
                <w:rFonts w:eastAsia="Calibri"/>
                <w:bCs/>
                <w:lang w:eastAsia="en-US"/>
              </w:rPr>
              <w:t>Na podstawie art.  222 ust.  4. Pzp Zamawiający, najpóźniej przed otwarciem ofert, udostępnia na stronie internetowej prowadzonego postępowania informację o kwocie, jaką zamierza przeznaczyć na sfinansowanie zamówienia.</w:t>
            </w:r>
          </w:p>
          <w:p w14:paraId="05B51917" w14:textId="77777777" w:rsidR="006F3CC9" w:rsidRPr="00BF0687" w:rsidRDefault="006F3CC9" w:rsidP="00740CF4">
            <w:pPr>
              <w:widowControl/>
              <w:autoSpaceDE/>
              <w:autoSpaceDN/>
              <w:adjustRightInd/>
              <w:contextualSpacing/>
              <w:jc w:val="both"/>
              <w:rPr>
                <w:rFonts w:eastAsia="Calibri"/>
                <w:bCs/>
                <w:lang w:eastAsia="en-US"/>
              </w:rPr>
            </w:pPr>
          </w:p>
          <w:p w14:paraId="20F80362" w14:textId="3B902F3A" w:rsidR="0006539D" w:rsidRPr="000E401B" w:rsidRDefault="006F3CC9" w:rsidP="00740CF4">
            <w:pPr>
              <w:tabs>
                <w:tab w:val="left" w:pos="408"/>
              </w:tabs>
              <w:jc w:val="both"/>
              <w:rPr>
                <w:rFonts w:eastAsia="Calibri"/>
                <w:bCs/>
                <w:lang w:eastAsia="en-US"/>
              </w:rPr>
            </w:pPr>
            <w:r w:rsidRPr="00BF0687">
              <w:rPr>
                <w:rFonts w:eastAsia="Calibri"/>
                <w:bCs/>
                <w:lang w:eastAsia="en-US"/>
              </w:rPr>
              <w:t>Zamawiający zamierza przeznaczyć na sfinansowanie przedmiotowego zamówienia kwotę</w:t>
            </w:r>
            <w:r w:rsidR="00C77AA4">
              <w:rPr>
                <w:rFonts w:eastAsia="Calibri"/>
                <w:bCs/>
                <w:lang w:eastAsia="en-US"/>
              </w:rPr>
              <w:t xml:space="preserve"> </w:t>
            </w:r>
            <w:r w:rsidR="000E401B">
              <w:rPr>
                <w:rFonts w:eastAsia="Calibri"/>
                <w:bCs/>
                <w:lang w:eastAsia="en-US"/>
              </w:rPr>
              <w:t>63</w:t>
            </w:r>
            <w:r w:rsidR="00C77AA4">
              <w:rPr>
                <w:rFonts w:eastAsia="Calibri"/>
                <w:bCs/>
                <w:lang w:eastAsia="en-US"/>
              </w:rPr>
              <w:t>0 0</w:t>
            </w:r>
            <w:r w:rsidRPr="00BF0687">
              <w:rPr>
                <w:rFonts w:eastAsia="Calibri"/>
                <w:bCs/>
                <w:lang w:eastAsia="en-US"/>
              </w:rPr>
              <w:t>00,00 PLN</w:t>
            </w:r>
            <w:r w:rsidR="00C77AA4">
              <w:rPr>
                <w:rFonts w:eastAsia="Calibri"/>
                <w:bCs/>
                <w:lang w:eastAsia="en-US"/>
              </w:rPr>
              <w:t>.</w:t>
            </w:r>
          </w:p>
        </w:tc>
      </w:tr>
      <w:tr w:rsidR="009E1376" w:rsidRPr="00A639C4" w14:paraId="6C209C93" w14:textId="77777777" w:rsidTr="00A639C4">
        <w:tc>
          <w:tcPr>
            <w:tcW w:w="1384" w:type="dxa"/>
            <w:vMerge/>
            <w:shd w:val="clear" w:color="auto" w:fill="auto"/>
          </w:tcPr>
          <w:p w14:paraId="24FD1466" w14:textId="77777777" w:rsidR="009E1376" w:rsidRPr="00A639C4" w:rsidRDefault="009E1376" w:rsidP="00740CF4">
            <w:pPr>
              <w:tabs>
                <w:tab w:val="left" w:pos="408"/>
              </w:tabs>
              <w:jc w:val="center"/>
              <w:rPr>
                <w:b/>
              </w:rPr>
            </w:pPr>
          </w:p>
        </w:tc>
        <w:tc>
          <w:tcPr>
            <w:tcW w:w="7796" w:type="dxa"/>
            <w:shd w:val="clear" w:color="auto" w:fill="auto"/>
          </w:tcPr>
          <w:p w14:paraId="4C6AFAFF" w14:textId="2D63CF32" w:rsidR="009E1376" w:rsidRPr="00A639C4" w:rsidRDefault="009E1376" w:rsidP="00740CF4">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2018r. </w:t>
            </w:r>
            <w:r w:rsidR="00A14FF0">
              <w:rPr>
                <w:b/>
                <w:bCs/>
                <w:color w:val="000000"/>
              </w:rPr>
              <w:br/>
            </w:r>
            <w:r w:rsidRPr="00A639C4">
              <w:rPr>
                <w:b/>
                <w:bCs/>
                <w:color w:val="000000"/>
              </w:rPr>
              <w:t>o elektromobilności i paliwach alternatywnych.</w:t>
            </w:r>
          </w:p>
          <w:p w14:paraId="3F2BE360" w14:textId="77777777" w:rsidR="009E1376" w:rsidRPr="00A639C4" w:rsidRDefault="009E1376" w:rsidP="00740CF4">
            <w:pPr>
              <w:tabs>
                <w:tab w:val="left" w:pos="408"/>
              </w:tabs>
              <w:jc w:val="both"/>
              <w:rPr>
                <w:b/>
                <w:bCs/>
              </w:rPr>
            </w:pPr>
          </w:p>
          <w:p w14:paraId="11BEB272" w14:textId="3A80993C" w:rsidR="009E1376" w:rsidRPr="00A639C4" w:rsidRDefault="009E1376" w:rsidP="00740CF4">
            <w:pPr>
              <w:tabs>
                <w:tab w:val="right" w:pos="9354"/>
              </w:tabs>
              <w:jc w:val="both"/>
              <w:rPr>
                <w:color w:val="000000"/>
              </w:rPr>
            </w:pPr>
            <w:r w:rsidRPr="00A639C4">
              <w:rPr>
                <w:color w:val="000000"/>
              </w:rPr>
              <w:t xml:space="preserve">Zgodnie z art. 68 ust. 3 Ustawy z dnia 11 stycznia 2018r. o elektromobilności </w:t>
            </w:r>
            <w:r w:rsidR="00A14FF0">
              <w:rPr>
                <w:color w:val="000000"/>
              </w:rPr>
              <w:br/>
            </w:r>
            <w:r w:rsidRPr="00A639C4">
              <w:rPr>
                <w:color w:val="000000"/>
              </w:rPr>
              <w:t xml:space="preserve">i paliwach alternatywnych </w:t>
            </w:r>
            <w:r w:rsidRPr="00A639C4">
              <w:rPr>
                <w:b/>
                <w:bCs/>
                <w:color w:val="000000"/>
              </w:rPr>
              <w:t>Zamawiający od dnia 1 stycznia 2022r.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będzie wynosił co najmniej 10%</w:t>
            </w:r>
          </w:p>
          <w:p w14:paraId="5BD06759" w14:textId="77777777" w:rsidR="009E1376" w:rsidRPr="00A639C4" w:rsidRDefault="009E1376" w:rsidP="00740CF4">
            <w:pPr>
              <w:tabs>
                <w:tab w:val="right" w:pos="9354"/>
              </w:tabs>
              <w:rPr>
                <w:color w:val="000000"/>
              </w:rPr>
            </w:pPr>
          </w:p>
          <w:p w14:paraId="6519BA6A" w14:textId="72836584" w:rsidR="009E1376" w:rsidRPr="00A639C4" w:rsidRDefault="009E1376" w:rsidP="00740CF4">
            <w:pPr>
              <w:tabs>
                <w:tab w:val="right" w:pos="9354"/>
              </w:tabs>
              <w:jc w:val="both"/>
              <w:rPr>
                <w:color w:val="000000"/>
              </w:rPr>
            </w:pPr>
            <w:r w:rsidRPr="00A639C4">
              <w:rPr>
                <w:color w:val="000000"/>
              </w:rPr>
              <w:t xml:space="preserve">W związku z tym Wykonawca zobowiązany jest do dostosowania się do wymagań wynikających z przepisów w/w ustawy o elektromobilności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w:t>
            </w:r>
            <w:r w:rsidR="00621C71">
              <w:rPr>
                <w:color w:val="000000"/>
              </w:rPr>
              <w:t xml:space="preserve">                </w:t>
            </w:r>
            <w:r w:rsidRPr="00A639C4">
              <w:rPr>
                <w:color w:val="000000"/>
              </w:rPr>
              <w:t>o elektromobilności i paliwach alternatywnych.</w:t>
            </w:r>
          </w:p>
          <w:p w14:paraId="271162BB" w14:textId="77777777" w:rsidR="009E1376" w:rsidRPr="00A639C4" w:rsidRDefault="009E1376" w:rsidP="00740CF4">
            <w:pPr>
              <w:tabs>
                <w:tab w:val="right" w:pos="9354"/>
              </w:tabs>
              <w:rPr>
                <w:color w:val="000000"/>
              </w:rPr>
            </w:pPr>
            <w:r w:rsidRPr="00A639C4">
              <w:rPr>
                <w:color w:val="000000"/>
              </w:rPr>
              <w:t xml:space="preserve">Zastosowanie mają zwłaszcza: </w:t>
            </w:r>
          </w:p>
          <w:p w14:paraId="61055AD3" w14:textId="35DA672C" w:rsidR="009E1376" w:rsidRPr="00A639C4" w:rsidRDefault="00A639C4" w:rsidP="00740CF4">
            <w:pPr>
              <w:tabs>
                <w:tab w:val="right" w:pos="9354"/>
              </w:tabs>
              <w:jc w:val="both"/>
              <w:rPr>
                <w:color w:val="000000"/>
              </w:rPr>
            </w:pPr>
            <w:r>
              <w:rPr>
                <w:color w:val="000000"/>
              </w:rPr>
              <w:t xml:space="preserve">- </w:t>
            </w:r>
            <w:r w:rsidR="009E1376" w:rsidRPr="00A639C4">
              <w:rPr>
                <w:color w:val="000000"/>
              </w:rPr>
              <w:t>art. 35 ust. 2 pkt 1 ,art. 36 a, art. 68 ust. 3 , art. 76 Ustawy z dnia 11 stycznia 2018r. o elektromobilności i paliwach alternatywnych</w:t>
            </w:r>
          </w:p>
          <w:p w14:paraId="257A4804" w14:textId="16B4E452" w:rsidR="009E1376" w:rsidRPr="00A639C4" w:rsidRDefault="00A639C4" w:rsidP="00740CF4">
            <w:pPr>
              <w:tabs>
                <w:tab w:val="right" w:pos="9354"/>
              </w:tabs>
              <w:rPr>
                <w:color w:val="000000"/>
              </w:rPr>
            </w:pPr>
            <w:r>
              <w:rPr>
                <w:color w:val="000000"/>
              </w:rPr>
              <w:t xml:space="preserve">- </w:t>
            </w:r>
            <w:r w:rsidR="009E1376" w:rsidRPr="00A639C4">
              <w:rPr>
                <w:color w:val="000000"/>
              </w:rPr>
              <w:t>art. 14 ust.1 Ustawy z dnia 5 czerwca 1998r. o samorządzie województwa</w:t>
            </w:r>
          </w:p>
          <w:p w14:paraId="5F29827D" w14:textId="34A7CF65" w:rsidR="009E1376" w:rsidRPr="00A639C4" w:rsidRDefault="00A639C4" w:rsidP="00740CF4">
            <w:pPr>
              <w:tabs>
                <w:tab w:val="right" w:pos="9354"/>
              </w:tabs>
              <w:rPr>
                <w:color w:val="000000"/>
              </w:rPr>
            </w:pPr>
            <w:r>
              <w:rPr>
                <w:color w:val="000000"/>
              </w:rPr>
              <w:t xml:space="preserve">- </w:t>
            </w:r>
            <w:r w:rsidR="009E1376" w:rsidRPr="00A639C4">
              <w:rPr>
                <w:color w:val="000000"/>
              </w:rPr>
              <w:t>art. 2 pkt 33 ustawy z dnia 20 czerwca 1997r. - Prawo o ruchu drogowym</w:t>
            </w:r>
          </w:p>
          <w:p w14:paraId="567FE8B9" w14:textId="77777777" w:rsidR="009E1376" w:rsidRPr="00A639C4" w:rsidRDefault="009E1376" w:rsidP="00740CF4">
            <w:pPr>
              <w:tabs>
                <w:tab w:val="left" w:pos="408"/>
              </w:tabs>
              <w:jc w:val="both"/>
            </w:pPr>
            <w:bookmarkStart w:id="0" w:name="_Hlk92972944"/>
          </w:p>
          <w:p w14:paraId="040FEFF4" w14:textId="4CF7BA9F" w:rsidR="009E1376" w:rsidRPr="00A639C4" w:rsidRDefault="009E1376" w:rsidP="00740CF4">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o elektromobilności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0"/>
          </w:p>
          <w:p w14:paraId="1C044D92" w14:textId="77777777" w:rsidR="00A639C4" w:rsidRPr="00A639C4" w:rsidRDefault="00A639C4" w:rsidP="00740CF4">
            <w:pPr>
              <w:tabs>
                <w:tab w:val="left" w:pos="408"/>
              </w:tabs>
              <w:jc w:val="both"/>
              <w:rPr>
                <w:b/>
                <w:bCs/>
              </w:rPr>
            </w:pPr>
          </w:p>
        </w:tc>
      </w:tr>
      <w:tr w:rsidR="00A07A6F" w:rsidRPr="00A639C4" w14:paraId="1A817A04" w14:textId="77777777" w:rsidTr="00A639C4">
        <w:tc>
          <w:tcPr>
            <w:tcW w:w="1384" w:type="dxa"/>
            <w:vMerge/>
            <w:shd w:val="clear" w:color="auto" w:fill="auto"/>
          </w:tcPr>
          <w:p w14:paraId="00AD4B69" w14:textId="77777777" w:rsidR="00A07A6F" w:rsidRPr="00A639C4" w:rsidRDefault="00A07A6F" w:rsidP="00740CF4">
            <w:pPr>
              <w:tabs>
                <w:tab w:val="left" w:pos="408"/>
              </w:tabs>
              <w:jc w:val="center"/>
              <w:rPr>
                <w:b/>
              </w:rPr>
            </w:pPr>
          </w:p>
        </w:tc>
        <w:tc>
          <w:tcPr>
            <w:tcW w:w="7796" w:type="dxa"/>
            <w:shd w:val="clear" w:color="auto" w:fill="auto"/>
          </w:tcPr>
          <w:p w14:paraId="4701A4FD" w14:textId="77777777" w:rsidR="00A07A6F" w:rsidRPr="00A07A6F" w:rsidRDefault="00A07A6F" w:rsidP="00740CF4">
            <w:pPr>
              <w:tabs>
                <w:tab w:val="left" w:pos="408"/>
              </w:tabs>
              <w:jc w:val="both"/>
              <w:rPr>
                <w:bCs/>
              </w:rPr>
            </w:pPr>
          </w:p>
          <w:p w14:paraId="252354C1" w14:textId="77777777" w:rsidR="00A07A6F" w:rsidRPr="00A07A6F" w:rsidRDefault="00A07A6F" w:rsidP="00740CF4">
            <w:pPr>
              <w:tabs>
                <w:tab w:val="left" w:pos="408"/>
              </w:tabs>
              <w:jc w:val="both"/>
              <w:rPr>
                <w:b/>
              </w:rPr>
            </w:pPr>
            <w:r w:rsidRPr="00A07A6F">
              <w:rPr>
                <w:b/>
              </w:rPr>
              <w:t xml:space="preserve">Organizacja ruchu: </w:t>
            </w:r>
          </w:p>
          <w:p w14:paraId="174E621D" w14:textId="77777777" w:rsidR="000E401B" w:rsidRDefault="000E401B" w:rsidP="00740CF4">
            <w:pPr>
              <w:tabs>
                <w:tab w:val="left" w:pos="408"/>
              </w:tabs>
              <w:jc w:val="both"/>
              <w:rPr>
                <w:b/>
              </w:rPr>
            </w:pPr>
          </w:p>
          <w:p w14:paraId="7C684366" w14:textId="2D7908AB" w:rsidR="000E401B" w:rsidRDefault="000E401B" w:rsidP="00740CF4">
            <w:pPr>
              <w:tabs>
                <w:tab w:val="left" w:pos="408"/>
              </w:tabs>
              <w:jc w:val="both"/>
              <w:rPr>
                <w:bCs/>
              </w:rPr>
            </w:pPr>
            <w:r w:rsidRPr="002A3393">
              <w:rPr>
                <w:b/>
              </w:rPr>
              <w:t>Wykonawca opracuje</w:t>
            </w:r>
            <w:r w:rsidRPr="00D76664">
              <w:rPr>
                <w:bCs/>
              </w:rPr>
              <w:t xml:space="preserve"> </w:t>
            </w:r>
            <w:r w:rsidRPr="002D5A08">
              <w:rPr>
                <w:b/>
              </w:rPr>
              <w:t>oraz uzyska</w:t>
            </w:r>
            <w:r w:rsidRPr="00D76664">
              <w:rPr>
                <w:bCs/>
              </w:rPr>
              <w:t xml:space="preserve"> wszystkie niezbędne opinie </w:t>
            </w:r>
            <w:r w:rsidRPr="002A3393">
              <w:rPr>
                <w:bCs/>
              </w:rPr>
              <w:t xml:space="preserve">i </w:t>
            </w:r>
            <w:r w:rsidRPr="002D5A08">
              <w:rPr>
                <w:b/>
              </w:rPr>
              <w:t>zatwierdzenie projektu tymczasowej organizacji ruchu.</w:t>
            </w:r>
            <w:r w:rsidRPr="00D76664">
              <w:rPr>
                <w:bCs/>
              </w:rPr>
              <w:t xml:space="preserve"> Wykonawca zobowiązany jest powiadomić organ ruchu, zarząd drogi i Komendę Wojewódzką Policji o dacie wprowadzenia organizacji ruchu na czas robót (zatwierdzoną przez organ ruchu) zachowując 7-mio dniowy termin wyprzedzający. Przedmiotowe powiadomienie z zachowaniem wskazanego terminu wyprzedzającego dotyczy każdorazowej zmiany organizacji ruchu na czas prowadzenia robót oraz </w:t>
            </w:r>
            <w:r w:rsidRPr="00D76664">
              <w:rPr>
                <w:b/>
              </w:rPr>
              <w:t>wprowadzenia stałej organizacji ruchu</w:t>
            </w:r>
            <w:r w:rsidRPr="00D76664">
              <w:rPr>
                <w:bCs/>
              </w:rPr>
              <w:t>.</w:t>
            </w:r>
          </w:p>
          <w:p w14:paraId="1332AF73" w14:textId="3D9191DD" w:rsidR="00A07A6F" w:rsidRPr="00A07A6F" w:rsidRDefault="00A07A6F" w:rsidP="00740CF4">
            <w:pPr>
              <w:tabs>
                <w:tab w:val="left" w:pos="408"/>
              </w:tabs>
              <w:jc w:val="both"/>
              <w:rPr>
                <w:b/>
                <w:bCs/>
                <w:color w:val="FF0000"/>
              </w:rPr>
            </w:pPr>
          </w:p>
        </w:tc>
      </w:tr>
      <w:tr w:rsidR="00A07A6F" w:rsidRPr="00A639C4" w14:paraId="1D1D1909" w14:textId="77777777" w:rsidTr="00A639C4">
        <w:tc>
          <w:tcPr>
            <w:tcW w:w="1384" w:type="dxa"/>
            <w:vMerge/>
            <w:shd w:val="clear" w:color="auto" w:fill="auto"/>
          </w:tcPr>
          <w:p w14:paraId="3263727A" w14:textId="77777777" w:rsidR="00A07A6F" w:rsidRPr="00A639C4" w:rsidRDefault="00A07A6F" w:rsidP="00740CF4">
            <w:pPr>
              <w:tabs>
                <w:tab w:val="left" w:pos="408"/>
              </w:tabs>
              <w:jc w:val="center"/>
              <w:rPr>
                <w:b/>
              </w:rPr>
            </w:pPr>
          </w:p>
        </w:tc>
        <w:tc>
          <w:tcPr>
            <w:tcW w:w="7796" w:type="dxa"/>
            <w:shd w:val="clear" w:color="auto" w:fill="auto"/>
          </w:tcPr>
          <w:p w14:paraId="0B1FC49E" w14:textId="77777777" w:rsidR="00A07A6F" w:rsidRPr="00A639C4" w:rsidRDefault="00A07A6F" w:rsidP="00740CF4">
            <w:pPr>
              <w:tabs>
                <w:tab w:val="left" w:pos="408"/>
              </w:tabs>
              <w:jc w:val="both"/>
              <w:rPr>
                <w:b/>
                <w:bCs/>
              </w:rPr>
            </w:pPr>
            <w:r w:rsidRPr="00A639C4">
              <w:rPr>
                <w:b/>
                <w:bCs/>
              </w:rPr>
              <w:t>Równoważność</w:t>
            </w:r>
          </w:p>
          <w:p w14:paraId="5CC6A1C3" w14:textId="77777777" w:rsidR="00A07A6F" w:rsidRPr="00A639C4" w:rsidRDefault="00A07A6F" w:rsidP="00740CF4">
            <w:pPr>
              <w:tabs>
                <w:tab w:val="left" w:pos="408"/>
              </w:tabs>
              <w:jc w:val="both"/>
            </w:pPr>
          </w:p>
          <w:p w14:paraId="4B3890CD" w14:textId="622F11AD" w:rsidR="00A07A6F" w:rsidRPr="00A639C4" w:rsidRDefault="00A07A6F" w:rsidP="00740CF4">
            <w:pPr>
              <w:tabs>
                <w:tab w:val="left" w:pos="408"/>
              </w:tabs>
              <w:jc w:val="both"/>
            </w:pPr>
            <w:r w:rsidRPr="00A639C4">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5417F5F1" w14:textId="2B7841F9" w:rsidR="00A07A6F" w:rsidRPr="00A639C4" w:rsidRDefault="00A07A6F" w:rsidP="00740CF4">
            <w:pPr>
              <w:jc w:val="both"/>
              <w:rPr>
                <w:color w:val="000000"/>
              </w:rPr>
            </w:pPr>
            <w:r w:rsidRPr="00A639C4">
              <w:rPr>
                <w:b/>
                <w:color w:val="000000"/>
              </w:rPr>
              <w:t>Każdemu odwołaniu do</w:t>
            </w:r>
            <w:r w:rsidRPr="000D5B40">
              <w:rPr>
                <w:b/>
              </w:rPr>
              <w:t xml:space="preserve"> </w:t>
            </w:r>
            <w:r w:rsidRPr="008F6691">
              <w:rPr>
                <w:b/>
                <w:color w:val="000000"/>
              </w:rPr>
              <w:t>norm przywołanych</w:t>
            </w:r>
            <w:r w:rsidRPr="00A639C4">
              <w:rPr>
                <w:b/>
                <w:color w:val="000000"/>
              </w:rPr>
              <w:t xml:space="preserve"> w niniejszej SWZ wraz z załącznikami towarzyszy zwrot: „lub równoważne”.</w:t>
            </w:r>
          </w:p>
          <w:p w14:paraId="7FE165B5" w14:textId="77777777" w:rsidR="00A07A6F" w:rsidRDefault="00A07A6F" w:rsidP="00740CF4">
            <w:pPr>
              <w:tabs>
                <w:tab w:val="left" w:pos="408"/>
              </w:tabs>
              <w:jc w:val="both"/>
              <w:rPr>
                <w:color w:val="000000"/>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w:t>
            </w:r>
            <w:r>
              <w:rPr>
                <w:color w:val="000000"/>
              </w:rPr>
              <w:br/>
            </w:r>
            <w:r w:rsidRPr="00A639C4">
              <w:rPr>
                <w:color w:val="000000"/>
              </w:rPr>
              <w:lastRenderedPageBreak/>
              <w:t xml:space="preserve">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p w14:paraId="2C2B886A" w14:textId="7B903851" w:rsidR="00A07A6F" w:rsidRPr="00A639C4" w:rsidRDefault="00A07A6F" w:rsidP="00740CF4">
            <w:pPr>
              <w:tabs>
                <w:tab w:val="left" w:pos="408"/>
              </w:tabs>
              <w:jc w:val="both"/>
              <w:rPr>
                <w:b/>
                <w:bCs/>
              </w:rPr>
            </w:pPr>
          </w:p>
        </w:tc>
      </w:tr>
      <w:tr w:rsidR="00A07A6F" w:rsidRPr="00A639C4" w14:paraId="74E3F54E" w14:textId="77777777" w:rsidTr="00A639C4">
        <w:tc>
          <w:tcPr>
            <w:tcW w:w="1384" w:type="dxa"/>
            <w:shd w:val="clear" w:color="auto" w:fill="BFBFBF" w:themeFill="background1" w:themeFillShade="BF"/>
          </w:tcPr>
          <w:p w14:paraId="51F189A6" w14:textId="6CBD9CE1" w:rsidR="00A07A6F" w:rsidRPr="00A639C4" w:rsidRDefault="00A07A6F" w:rsidP="00740CF4">
            <w:pPr>
              <w:tabs>
                <w:tab w:val="left" w:pos="408"/>
              </w:tabs>
              <w:jc w:val="center"/>
              <w:rPr>
                <w:b/>
              </w:rPr>
            </w:pPr>
            <w:r>
              <w:rPr>
                <w:b/>
              </w:rPr>
              <w:lastRenderedPageBreak/>
              <w:t>3.1 IDW</w:t>
            </w:r>
          </w:p>
        </w:tc>
        <w:tc>
          <w:tcPr>
            <w:tcW w:w="7796" w:type="dxa"/>
            <w:shd w:val="clear" w:color="auto" w:fill="BFBFBF" w:themeFill="background1" w:themeFillShade="BF"/>
          </w:tcPr>
          <w:p w14:paraId="3A3A97F2" w14:textId="4CE2F9B9" w:rsidR="00A07A6F" w:rsidRPr="00A639C4" w:rsidRDefault="00A07A6F" w:rsidP="00740CF4">
            <w:pPr>
              <w:jc w:val="both"/>
              <w:rPr>
                <w:b/>
                <w:bCs/>
              </w:rPr>
            </w:pPr>
            <w:r>
              <w:rPr>
                <w:b/>
                <w:bCs/>
              </w:rPr>
              <w:t>M</w:t>
            </w:r>
            <w:r w:rsidRPr="00265C7D">
              <w:rPr>
                <w:b/>
                <w:bCs/>
              </w:rPr>
              <w:t>ożliwość negocjacji</w:t>
            </w:r>
          </w:p>
        </w:tc>
      </w:tr>
      <w:tr w:rsidR="00A07A6F" w:rsidRPr="00A639C4" w14:paraId="56C45A99" w14:textId="77777777" w:rsidTr="00265C7D">
        <w:tc>
          <w:tcPr>
            <w:tcW w:w="1384" w:type="dxa"/>
            <w:shd w:val="clear" w:color="auto" w:fill="auto"/>
          </w:tcPr>
          <w:p w14:paraId="281CC30D" w14:textId="77777777" w:rsidR="00A07A6F" w:rsidRPr="00A639C4" w:rsidRDefault="00A07A6F" w:rsidP="00740CF4">
            <w:pPr>
              <w:tabs>
                <w:tab w:val="left" w:pos="408"/>
              </w:tabs>
              <w:jc w:val="center"/>
              <w:rPr>
                <w:b/>
              </w:rPr>
            </w:pPr>
          </w:p>
        </w:tc>
        <w:tc>
          <w:tcPr>
            <w:tcW w:w="7796" w:type="dxa"/>
            <w:shd w:val="clear" w:color="auto" w:fill="auto"/>
          </w:tcPr>
          <w:p w14:paraId="635D7E04" w14:textId="77777777" w:rsidR="00A07A6F" w:rsidRDefault="00A07A6F" w:rsidP="00740CF4">
            <w:pPr>
              <w:jc w:val="both"/>
            </w:pPr>
          </w:p>
          <w:p w14:paraId="499FF639" w14:textId="401E3ED6" w:rsidR="00A07A6F" w:rsidRDefault="00A07A6F" w:rsidP="00740CF4">
            <w:pPr>
              <w:jc w:val="both"/>
            </w:pPr>
            <w:r>
              <w:t>Zamawiający przewiduje możliwość prowadzenia negocjacji w celu ulepszenia treści ofert, które podlegają ocenie w ramach kryteriów oceny ofert tj.:</w:t>
            </w:r>
          </w:p>
          <w:p w14:paraId="74B1DA9B" w14:textId="77777777" w:rsidR="00A07A6F" w:rsidRPr="002942F6" w:rsidRDefault="00A07A6F" w:rsidP="00740CF4">
            <w:pPr>
              <w:pStyle w:val="Akapitzlist"/>
              <w:numPr>
                <w:ilvl w:val="0"/>
                <w:numId w:val="33"/>
              </w:numPr>
              <w:jc w:val="both"/>
              <w:rPr>
                <w:b/>
                <w:bCs/>
              </w:rPr>
            </w:pPr>
            <w:r>
              <w:t xml:space="preserve">cena </w:t>
            </w:r>
          </w:p>
          <w:p w14:paraId="72739266" w14:textId="62F9456F" w:rsidR="002942F6" w:rsidRPr="009D5364" w:rsidRDefault="002942F6" w:rsidP="00740CF4">
            <w:pPr>
              <w:pStyle w:val="Akapitzlist"/>
              <w:ind w:left="720"/>
              <w:jc w:val="both"/>
              <w:rPr>
                <w:b/>
                <w:bCs/>
              </w:rPr>
            </w:pPr>
          </w:p>
        </w:tc>
      </w:tr>
      <w:tr w:rsidR="00A07A6F" w:rsidRPr="00A639C4" w14:paraId="67762414" w14:textId="77777777" w:rsidTr="00A639C4">
        <w:tc>
          <w:tcPr>
            <w:tcW w:w="1384" w:type="dxa"/>
            <w:shd w:val="clear" w:color="auto" w:fill="BFBFBF" w:themeFill="background1" w:themeFillShade="BF"/>
          </w:tcPr>
          <w:p w14:paraId="7A6F6403" w14:textId="5C478B20" w:rsidR="00A07A6F" w:rsidRPr="00A639C4" w:rsidRDefault="00A07A6F" w:rsidP="00740CF4">
            <w:pPr>
              <w:tabs>
                <w:tab w:val="left" w:pos="408"/>
              </w:tabs>
              <w:jc w:val="center"/>
              <w:rPr>
                <w:b/>
              </w:rPr>
            </w:pPr>
            <w:bookmarkStart w:id="1" w:name="_Hlk123634923"/>
            <w:r w:rsidRPr="00A639C4">
              <w:rPr>
                <w:b/>
              </w:rPr>
              <w:t>Pkt 3.8 IDW</w:t>
            </w:r>
          </w:p>
        </w:tc>
        <w:tc>
          <w:tcPr>
            <w:tcW w:w="7796" w:type="dxa"/>
            <w:shd w:val="clear" w:color="auto" w:fill="BFBFBF" w:themeFill="background1" w:themeFillShade="BF"/>
          </w:tcPr>
          <w:p w14:paraId="1E5CC173" w14:textId="19389242" w:rsidR="00A07A6F" w:rsidRPr="00A639C4" w:rsidRDefault="00A07A6F" w:rsidP="00740CF4">
            <w:pPr>
              <w:jc w:val="both"/>
              <w:rPr>
                <w:b/>
                <w:bCs/>
              </w:rPr>
            </w:pPr>
            <w:r w:rsidRPr="00A639C4">
              <w:rPr>
                <w:b/>
                <w:bCs/>
              </w:rPr>
              <w:t>Prawo opcji</w:t>
            </w:r>
            <w:r w:rsidRPr="00A639C4">
              <w:rPr>
                <w:bCs/>
              </w:rPr>
              <w:t xml:space="preserve"> </w:t>
            </w:r>
            <w:r w:rsidRPr="00A639C4">
              <w:rPr>
                <w:b/>
                <w:bCs/>
              </w:rPr>
              <w:t>zgodnie z art. 441 ust.1 Pzp</w:t>
            </w:r>
          </w:p>
        </w:tc>
      </w:tr>
      <w:bookmarkEnd w:id="1"/>
      <w:tr w:rsidR="002942F6" w:rsidRPr="00A639C4" w14:paraId="2727A62A" w14:textId="77777777" w:rsidTr="00A639C4">
        <w:tc>
          <w:tcPr>
            <w:tcW w:w="1384" w:type="dxa"/>
            <w:shd w:val="clear" w:color="auto" w:fill="auto"/>
          </w:tcPr>
          <w:p w14:paraId="1D8CBF62" w14:textId="77777777" w:rsidR="002942F6" w:rsidRPr="00A639C4" w:rsidRDefault="002942F6" w:rsidP="00740CF4">
            <w:pPr>
              <w:tabs>
                <w:tab w:val="left" w:pos="408"/>
              </w:tabs>
              <w:jc w:val="center"/>
              <w:rPr>
                <w:b/>
              </w:rPr>
            </w:pPr>
          </w:p>
        </w:tc>
        <w:tc>
          <w:tcPr>
            <w:tcW w:w="7796" w:type="dxa"/>
            <w:shd w:val="clear" w:color="auto" w:fill="auto"/>
          </w:tcPr>
          <w:p w14:paraId="47A6BFD6" w14:textId="77777777" w:rsidR="002942F6" w:rsidRDefault="002942F6" w:rsidP="00740CF4">
            <w:pPr>
              <w:jc w:val="both"/>
            </w:pPr>
          </w:p>
          <w:p w14:paraId="132AA6F1" w14:textId="2E672FEF" w:rsidR="002942F6" w:rsidRPr="008534DB" w:rsidRDefault="002942F6" w:rsidP="00740CF4">
            <w:pPr>
              <w:jc w:val="both"/>
            </w:pPr>
            <w:r w:rsidRPr="008534DB">
              <w:t xml:space="preserve">Zamawiający zgodnie z </w:t>
            </w:r>
            <w:bookmarkStart w:id="2" w:name="_Hlk123632681"/>
            <w:r w:rsidRPr="008534DB">
              <w:t xml:space="preserve">art. 441 ust.1 Pzp </w:t>
            </w:r>
            <w:bookmarkEnd w:id="2"/>
            <w:r w:rsidRPr="008534DB">
              <w:rPr>
                <w:b/>
                <w:bCs/>
              </w:rPr>
              <w:t>przewiduje możliwość</w:t>
            </w:r>
            <w:r w:rsidRPr="008534DB">
              <w:t xml:space="preserve"> skorzystania </w:t>
            </w:r>
            <w:r>
              <w:t xml:space="preserve">                        </w:t>
            </w:r>
            <w:r w:rsidRPr="008534DB">
              <w:t xml:space="preserve">z „prawa opcji” tzn. dodatkowych </w:t>
            </w:r>
            <w:r w:rsidRPr="008534DB">
              <w:rPr>
                <w:u w:val="single"/>
              </w:rPr>
              <w:t>robót budowlanych</w:t>
            </w:r>
            <w:r w:rsidRPr="008534DB">
              <w:t>.</w:t>
            </w:r>
          </w:p>
          <w:p w14:paraId="66532FA9" w14:textId="77777777" w:rsidR="002942F6" w:rsidRPr="008534DB" w:rsidRDefault="002942F6" w:rsidP="00740CF4">
            <w:pPr>
              <w:jc w:val="both"/>
              <w:rPr>
                <w:sz w:val="10"/>
                <w:szCs w:val="10"/>
              </w:rPr>
            </w:pPr>
          </w:p>
          <w:p w14:paraId="20584482" w14:textId="77777777" w:rsidR="002942F6" w:rsidRDefault="002942F6" w:rsidP="00740CF4">
            <w:pPr>
              <w:numPr>
                <w:ilvl w:val="0"/>
                <w:numId w:val="44"/>
              </w:numPr>
              <w:ind w:left="303"/>
              <w:jc w:val="both"/>
            </w:pPr>
            <w:r w:rsidRPr="008534DB">
              <w:t>W ramach „prawa opcji” mogą zostać zlecone dodatkowe roboty, których zakres został określony w Kosztorys</w:t>
            </w:r>
            <w:r>
              <w:t>ie</w:t>
            </w:r>
            <w:r w:rsidRPr="008534DB">
              <w:t xml:space="preserve"> ofertowy</w:t>
            </w:r>
            <w:r>
              <w:t>m</w:t>
            </w:r>
            <w:r w:rsidRPr="008534DB">
              <w:t>.</w:t>
            </w:r>
          </w:p>
          <w:p w14:paraId="7548E818" w14:textId="77777777" w:rsidR="002942F6" w:rsidRDefault="002942F6" w:rsidP="00740CF4">
            <w:pPr>
              <w:pStyle w:val="Akapitzlist"/>
              <w:ind w:left="318"/>
              <w:jc w:val="both"/>
              <w:rPr>
                <w:b/>
                <w:bCs/>
              </w:rPr>
            </w:pPr>
          </w:p>
          <w:p w14:paraId="08FCDBC1" w14:textId="77777777" w:rsidR="002942F6" w:rsidRPr="00A639C4" w:rsidRDefault="002942F6" w:rsidP="00740CF4">
            <w:pPr>
              <w:pStyle w:val="Akapitzlist"/>
              <w:ind w:left="303"/>
              <w:jc w:val="both"/>
              <w:rPr>
                <w:b/>
                <w:bCs/>
              </w:rPr>
            </w:pPr>
            <w:r w:rsidRPr="00A639C4">
              <w:rPr>
                <w:b/>
                <w:bCs/>
              </w:rPr>
              <w:t xml:space="preserve">Maksymalna wartość opcji: </w:t>
            </w:r>
          </w:p>
          <w:p w14:paraId="6787387A" w14:textId="77777777" w:rsidR="002942F6" w:rsidRPr="00A639C4" w:rsidRDefault="002942F6" w:rsidP="00740CF4">
            <w:pPr>
              <w:pStyle w:val="Akapitzlist"/>
              <w:ind w:left="303"/>
              <w:jc w:val="both"/>
            </w:pPr>
            <w:r>
              <w:t xml:space="preserve">do </w:t>
            </w:r>
            <w:r>
              <w:rPr>
                <w:b/>
              </w:rPr>
              <w:t>7.1</w:t>
            </w:r>
            <w:r w:rsidRPr="005E6CC3">
              <w:rPr>
                <w:b/>
              </w:rPr>
              <w:t xml:space="preserve"> %</w:t>
            </w:r>
            <w:r w:rsidRPr="00A639C4">
              <w:t xml:space="preserve"> wartości zamówienia podstawowego</w:t>
            </w:r>
          </w:p>
          <w:p w14:paraId="498E9775" w14:textId="77777777" w:rsidR="002942F6" w:rsidRPr="008534DB" w:rsidRDefault="002942F6" w:rsidP="00740CF4">
            <w:pPr>
              <w:ind w:left="720"/>
              <w:jc w:val="both"/>
            </w:pPr>
          </w:p>
          <w:p w14:paraId="7E5535FF" w14:textId="77777777" w:rsidR="002942F6" w:rsidRPr="008534DB" w:rsidRDefault="002942F6" w:rsidP="00740CF4">
            <w:pPr>
              <w:jc w:val="both"/>
              <w:rPr>
                <w:sz w:val="10"/>
                <w:szCs w:val="10"/>
              </w:rPr>
            </w:pPr>
          </w:p>
          <w:p w14:paraId="26057751" w14:textId="77777777" w:rsidR="002942F6" w:rsidRPr="008534DB" w:rsidRDefault="002942F6" w:rsidP="00740CF4">
            <w:pPr>
              <w:numPr>
                <w:ilvl w:val="0"/>
                <w:numId w:val="44"/>
              </w:numPr>
              <w:ind w:left="303"/>
              <w:jc w:val="both"/>
            </w:pPr>
            <w:r w:rsidRPr="008534DB">
              <w:t xml:space="preserve">Zamawiający zastrzega sobie możliwość skorzystania z „prawa opcji” w przypadku, gdy zakup </w:t>
            </w:r>
            <w:r w:rsidRPr="008534DB">
              <w:rPr>
                <w:u w:val="single"/>
              </w:rPr>
              <w:t xml:space="preserve">dodatkowych robót budowlanych </w:t>
            </w:r>
            <w:r w:rsidRPr="008534DB">
              <w:t>będzie leżał w interesie Zamawiającego np. wynikał z jego bieżących potrzeb.</w:t>
            </w:r>
          </w:p>
          <w:p w14:paraId="3ABF25AF" w14:textId="77777777" w:rsidR="002942F6" w:rsidRPr="008534DB" w:rsidRDefault="002942F6" w:rsidP="00740CF4">
            <w:pPr>
              <w:ind w:left="303"/>
              <w:jc w:val="both"/>
              <w:rPr>
                <w:sz w:val="10"/>
                <w:szCs w:val="10"/>
              </w:rPr>
            </w:pPr>
          </w:p>
          <w:p w14:paraId="52157A72" w14:textId="77777777" w:rsidR="002942F6" w:rsidRPr="008534DB" w:rsidRDefault="002942F6" w:rsidP="00740CF4">
            <w:pPr>
              <w:numPr>
                <w:ilvl w:val="0"/>
                <w:numId w:val="44"/>
              </w:numPr>
              <w:ind w:left="303"/>
              <w:jc w:val="both"/>
            </w:pPr>
            <w:r w:rsidRPr="008534DB">
              <w:t>„Prawo opcji” jest jednostronnym uprawnieniem Zamawiającego, z którego może, ale nie ma obowiązku skorzystać w ramach realizacji przedmiotu zamówienia. „Prawo opcji” stwarza po stronie zamawiającego zobowiązanie do realizacji zamówienia jedynie w zakresie zadeklarowanym, natomiast uprawnieniem zamawiającego jest żądanie realizacji zamówienia w zakresie poszerzonym, z kolei obowiązkiem wykonawcy jest realizacja zamówienia w całości, to jest w zakresie zadeklarowanym i poszerzonym. Wykonawcy nie przysługuje natomiast prawo domagania się realizacji zamówienia w zakresie poszerzonym, jeśli zamawiający nie skorzysta ze swego uprawnienia do opcji w toku realizacji umowy.</w:t>
            </w:r>
          </w:p>
          <w:p w14:paraId="1D075962" w14:textId="77777777" w:rsidR="002942F6" w:rsidRPr="008534DB" w:rsidRDefault="002942F6" w:rsidP="00740CF4">
            <w:pPr>
              <w:jc w:val="both"/>
            </w:pPr>
          </w:p>
          <w:p w14:paraId="3DFCC2A5" w14:textId="77777777" w:rsidR="002942F6" w:rsidRPr="008534DB" w:rsidRDefault="002942F6" w:rsidP="00740CF4">
            <w:pPr>
              <w:ind w:left="303"/>
              <w:jc w:val="both"/>
            </w:pPr>
            <w:r w:rsidRPr="008534DB">
              <w:t>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z „prawa opcji” w niepełnym zakresie, niewykorzystującym maksymalnego poziomu „prawa opcji”. W szczególności Wykonawca nie może żądać od Zamawiającego realizacji „prawa opcji” ani wnosić roszczenia o zapłatę spodziewanych korzyści.</w:t>
            </w:r>
          </w:p>
          <w:p w14:paraId="24C3F6B4" w14:textId="77777777" w:rsidR="002942F6" w:rsidRPr="008534DB" w:rsidRDefault="002942F6" w:rsidP="00740CF4">
            <w:pPr>
              <w:jc w:val="both"/>
              <w:rPr>
                <w:sz w:val="12"/>
                <w:szCs w:val="12"/>
              </w:rPr>
            </w:pPr>
          </w:p>
          <w:p w14:paraId="0CDC2B2A" w14:textId="77777777" w:rsidR="002942F6" w:rsidRPr="008534DB" w:rsidRDefault="002942F6" w:rsidP="00740CF4">
            <w:pPr>
              <w:numPr>
                <w:ilvl w:val="0"/>
                <w:numId w:val="44"/>
              </w:numPr>
              <w:ind w:left="303"/>
              <w:jc w:val="both"/>
              <w:rPr>
                <w:b/>
                <w:bCs/>
              </w:rPr>
            </w:pPr>
            <w:r w:rsidRPr="008534DB">
              <w:t xml:space="preserve">W ramach „prawa opcji” dodatkowe </w:t>
            </w:r>
            <w:r w:rsidRPr="008534DB">
              <w:rPr>
                <w:u w:val="single"/>
              </w:rPr>
              <w:t xml:space="preserve">roboty budowlane </w:t>
            </w:r>
            <w:r w:rsidRPr="008534DB">
              <w:t>uzależnione będą wyłącznie od potrzeb i możliwości finansowych Zamawiającego. Zamawiający może nie skorzystać z „prawa opcji” w szczególności, gdy nie uzyska środków finansowych na ten cel.</w:t>
            </w:r>
          </w:p>
          <w:p w14:paraId="7570A094" w14:textId="77777777" w:rsidR="002942F6" w:rsidRPr="008534DB" w:rsidRDefault="002942F6" w:rsidP="00740CF4">
            <w:pPr>
              <w:ind w:left="303"/>
              <w:jc w:val="both"/>
              <w:rPr>
                <w:b/>
                <w:bCs/>
                <w:sz w:val="10"/>
                <w:szCs w:val="10"/>
              </w:rPr>
            </w:pPr>
          </w:p>
          <w:p w14:paraId="7CCD420D" w14:textId="77777777" w:rsidR="002942F6" w:rsidRPr="008534DB" w:rsidRDefault="002942F6" w:rsidP="00740CF4">
            <w:pPr>
              <w:numPr>
                <w:ilvl w:val="0"/>
                <w:numId w:val="44"/>
              </w:numPr>
              <w:ind w:left="303"/>
              <w:jc w:val="both"/>
            </w:pPr>
            <w:r w:rsidRPr="008534DB">
              <w:t>Jeżeli Zamawiający skorzysta z „prawa opcji” obowiązkiem umownym wykonawcy jest wykonanie świadczenia w zakresie objętym wykorzystanym „prawem opcji”</w:t>
            </w:r>
            <w:r>
              <w:t xml:space="preserve">                 </w:t>
            </w:r>
            <w:r w:rsidRPr="008534DB">
              <w:t xml:space="preserve"> na warunkach takich jak zamówienie podstawowe. Wykonawca jest zobowiązany </w:t>
            </w:r>
            <w:r w:rsidRPr="008534DB">
              <w:lastRenderedPageBreak/>
              <w:t>do wykonania zam</w:t>
            </w:r>
            <w:r>
              <w:t xml:space="preserve">ówienia objętego „Prawem opcji” </w:t>
            </w:r>
            <w:r w:rsidRPr="008534DB">
              <w:t>na podstawie zapisów zawartych w umowie podstawowej. Uruchomienie „prawa opcji” nie będzie wymagało zmiany umowy.</w:t>
            </w:r>
          </w:p>
          <w:p w14:paraId="696BE954" w14:textId="77777777" w:rsidR="002942F6" w:rsidRPr="008534DB" w:rsidRDefault="002942F6" w:rsidP="00740CF4">
            <w:pPr>
              <w:ind w:left="303"/>
              <w:jc w:val="both"/>
              <w:rPr>
                <w:sz w:val="10"/>
                <w:szCs w:val="10"/>
              </w:rPr>
            </w:pPr>
          </w:p>
          <w:p w14:paraId="6BE3180D" w14:textId="77777777" w:rsidR="002942F6" w:rsidRPr="008534DB" w:rsidRDefault="002942F6" w:rsidP="00740CF4">
            <w:pPr>
              <w:numPr>
                <w:ilvl w:val="0"/>
                <w:numId w:val="44"/>
              </w:numPr>
              <w:ind w:left="303"/>
              <w:jc w:val="both"/>
            </w:pPr>
            <w:r w:rsidRPr="008534DB">
              <w:t>W ramach „prawa opcji” dodatkowe</w:t>
            </w:r>
            <w:r w:rsidRPr="008534DB">
              <w:rPr>
                <w:u w:val="single"/>
              </w:rPr>
              <w:t xml:space="preserve"> roboty budowlane</w:t>
            </w:r>
            <w:r w:rsidRPr="008534DB">
              <w:t xml:space="preserve"> zrealizowane będą </w:t>
            </w:r>
            <w:r>
              <w:t xml:space="preserve">                            </w:t>
            </w:r>
            <w:r w:rsidRPr="008534DB">
              <w:t xml:space="preserve">po cenach jednostkowych określonych w ofercie. </w:t>
            </w:r>
          </w:p>
          <w:p w14:paraId="021E9114" w14:textId="77777777" w:rsidR="002942F6" w:rsidRPr="008534DB" w:rsidRDefault="002942F6" w:rsidP="00740CF4">
            <w:pPr>
              <w:ind w:left="303"/>
              <w:jc w:val="both"/>
              <w:rPr>
                <w:sz w:val="10"/>
                <w:szCs w:val="10"/>
              </w:rPr>
            </w:pPr>
          </w:p>
          <w:p w14:paraId="69B06489" w14:textId="77777777" w:rsidR="002942F6" w:rsidRPr="008534DB" w:rsidRDefault="002942F6" w:rsidP="00740CF4">
            <w:pPr>
              <w:numPr>
                <w:ilvl w:val="0"/>
                <w:numId w:val="44"/>
              </w:numPr>
              <w:ind w:left="303"/>
              <w:jc w:val="both"/>
            </w:pPr>
            <w:r w:rsidRPr="008534DB">
              <w:t xml:space="preserve">Zamawiający ma prawo wielokrotnie korzystać z „prawa opcji” – jednak </w:t>
            </w:r>
            <w:r>
              <w:t xml:space="preserve">                                </w:t>
            </w:r>
            <w:r w:rsidRPr="008534DB">
              <w:t>do wyczerpania maksymalnego zakresu „prawa opcji”.</w:t>
            </w:r>
          </w:p>
          <w:p w14:paraId="2F0DC56C" w14:textId="77777777" w:rsidR="002942F6" w:rsidRPr="008534DB" w:rsidRDefault="002942F6" w:rsidP="00740CF4">
            <w:pPr>
              <w:jc w:val="both"/>
              <w:rPr>
                <w:sz w:val="10"/>
                <w:szCs w:val="10"/>
              </w:rPr>
            </w:pPr>
          </w:p>
          <w:p w14:paraId="3E5B8F0F" w14:textId="77777777" w:rsidR="002942F6" w:rsidRDefault="002942F6" w:rsidP="00740CF4">
            <w:pPr>
              <w:numPr>
                <w:ilvl w:val="0"/>
                <w:numId w:val="44"/>
              </w:numPr>
              <w:ind w:left="303"/>
              <w:jc w:val="both"/>
            </w:pPr>
            <w:r w:rsidRPr="008534DB">
              <w:t xml:space="preserve">O zamiarze skorzystania z „prawa opcji” Zamawiający powiadomi Wykonawcę (pisemnie bądź mailem) co najmniej 7 dni  przed terminem wykonania. </w:t>
            </w:r>
          </w:p>
          <w:p w14:paraId="598C0F95" w14:textId="77777777" w:rsidR="002942F6" w:rsidRPr="008534DB" w:rsidRDefault="002942F6" w:rsidP="00740CF4">
            <w:pPr>
              <w:jc w:val="both"/>
              <w:rPr>
                <w:sz w:val="10"/>
                <w:szCs w:val="10"/>
              </w:rPr>
            </w:pPr>
          </w:p>
          <w:p w14:paraId="6D3EBEDD" w14:textId="77777777" w:rsidR="002942F6" w:rsidRPr="008534DB" w:rsidRDefault="002942F6" w:rsidP="00740CF4">
            <w:pPr>
              <w:numPr>
                <w:ilvl w:val="0"/>
                <w:numId w:val="44"/>
              </w:numPr>
              <w:ind w:left="303"/>
              <w:jc w:val="both"/>
            </w:pPr>
            <w:r w:rsidRPr="008534DB">
              <w:t>W celu uruchomienia „prawa opcji” Zamawiający złoży Wykonawcy pisemne oświadczenie woli w przedmiocie skorzystania z „prawa opcji” w określonym zakresie. Oświadczenie będzie stanowiło załącznik do umowy. Nie jest wymagana zgoda Wykonawcy na wykonanie „prawa opcji”.</w:t>
            </w:r>
          </w:p>
          <w:p w14:paraId="1B2D082B" w14:textId="77777777" w:rsidR="002942F6" w:rsidRPr="008534DB" w:rsidRDefault="002942F6" w:rsidP="00740CF4">
            <w:pPr>
              <w:jc w:val="both"/>
              <w:rPr>
                <w:sz w:val="10"/>
                <w:szCs w:val="10"/>
              </w:rPr>
            </w:pPr>
          </w:p>
          <w:p w14:paraId="299F120B" w14:textId="77777777" w:rsidR="002942F6" w:rsidRPr="008534DB" w:rsidRDefault="002942F6" w:rsidP="00740CF4">
            <w:pPr>
              <w:numPr>
                <w:ilvl w:val="0"/>
                <w:numId w:val="44"/>
              </w:numPr>
              <w:ind w:left="303"/>
              <w:jc w:val="both"/>
            </w:pPr>
            <w:r w:rsidRPr="008534DB">
              <w:t xml:space="preserve">Zamawiający jest uprawniony według własnego wyboru do składania oświadczenia w przedmiocie zamówienia udzielanego w ramach „prawa opcji”  kilkakrotnie </w:t>
            </w:r>
            <w:r>
              <w:t xml:space="preserve">                    </w:t>
            </w:r>
            <w:r w:rsidRPr="008534DB">
              <w:t>albo jednokrotnie.</w:t>
            </w:r>
          </w:p>
          <w:p w14:paraId="56840138" w14:textId="77777777" w:rsidR="002942F6" w:rsidRPr="008534DB" w:rsidRDefault="002942F6" w:rsidP="00740CF4">
            <w:pPr>
              <w:ind w:left="303"/>
              <w:jc w:val="both"/>
              <w:rPr>
                <w:sz w:val="10"/>
                <w:szCs w:val="10"/>
              </w:rPr>
            </w:pPr>
          </w:p>
          <w:p w14:paraId="212F974A" w14:textId="77777777" w:rsidR="002942F6" w:rsidRPr="008534DB" w:rsidRDefault="002942F6" w:rsidP="00740CF4">
            <w:pPr>
              <w:numPr>
                <w:ilvl w:val="0"/>
                <w:numId w:val="44"/>
              </w:numPr>
              <w:ind w:left="303"/>
              <w:jc w:val="both"/>
            </w:pPr>
            <w:r w:rsidRPr="008534DB">
              <w:t xml:space="preserve">W ramach „prawa opcji” Zamawiający zastrzega sobie możliwość pełnego albo wyłącznie </w:t>
            </w:r>
            <w:bookmarkStart w:id="3" w:name="_Hlk123633107"/>
            <w:r w:rsidRPr="008534DB">
              <w:t>częściowego wykorzystania zamówień objętych „prawem opcji</w:t>
            </w:r>
            <w:bookmarkEnd w:id="3"/>
            <w:r w:rsidRPr="008534DB">
              <w:t xml:space="preserve">”, </w:t>
            </w:r>
            <w:r>
              <w:t xml:space="preserve">                            </w:t>
            </w:r>
            <w:r w:rsidRPr="008534DB">
              <w:t>co każdorazowo zostanie sprecyzowane w oświadczeniu o udzieleniu zamówienia.</w:t>
            </w:r>
          </w:p>
          <w:p w14:paraId="3B96E6F9" w14:textId="2BEFC90E" w:rsidR="002942F6" w:rsidRPr="006F3CC9" w:rsidRDefault="002942F6" w:rsidP="00740CF4">
            <w:pPr>
              <w:jc w:val="both"/>
              <w:rPr>
                <w:b/>
                <w:bCs/>
              </w:rPr>
            </w:pPr>
          </w:p>
        </w:tc>
      </w:tr>
      <w:tr w:rsidR="002942F6" w:rsidRPr="00A639C4" w14:paraId="214B6BF8" w14:textId="77777777" w:rsidTr="00A639C4">
        <w:tc>
          <w:tcPr>
            <w:tcW w:w="1384" w:type="dxa"/>
            <w:shd w:val="clear" w:color="auto" w:fill="BFBFBF" w:themeFill="background1" w:themeFillShade="BF"/>
          </w:tcPr>
          <w:p w14:paraId="4D350397" w14:textId="7FC52D83" w:rsidR="002942F6" w:rsidRPr="00A639C4" w:rsidRDefault="002942F6" w:rsidP="00740CF4">
            <w:pPr>
              <w:tabs>
                <w:tab w:val="left" w:pos="408"/>
              </w:tabs>
              <w:jc w:val="center"/>
              <w:rPr>
                <w:b/>
              </w:rPr>
            </w:pPr>
            <w:r w:rsidRPr="00A639C4">
              <w:rPr>
                <w:b/>
              </w:rPr>
              <w:lastRenderedPageBreak/>
              <w:t>Pkt 3.10 IDW</w:t>
            </w:r>
          </w:p>
        </w:tc>
        <w:tc>
          <w:tcPr>
            <w:tcW w:w="7796" w:type="dxa"/>
            <w:shd w:val="clear" w:color="auto" w:fill="BFBFBF" w:themeFill="background1" w:themeFillShade="BF"/>
          </w:tcPr>
          <w:p w14:paraId="37E68364" w14:textId="1FDD83F7" w:rsidR="002942F6" w:rsidRPr="00A639C4" w:rsidRDefault="002942F6" w:rsidP="00740CF4">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2942F6" w:rsidRPr="00A639C4" w14:paraId="60A709E1" w14:textId="77777777" w:rsidTr="00A639C4">
        <w:tc>
          <w:tcPr>
            <w:tcW w:w="1384" w:type="dxa"/>
            <w:tcBorders>
              <w:bottom w:val="single" w:sz="4" w:space="0" w:color="auto"/>
            </w:tcBorders>
            <w:shd w:val="clear" w:color="auto" w:fill="auto"/>
          </w:tcPr>
          <w:p w14:paraId="6579DE5C" w14:textId="77777777" w:rsidR="002942F6" w:rsidRPr="00A639C4" w:rsidRDefault="002942F6" w:rsidP="00740CF4">
            <w:pPr>
              <w:tabs>
                <w:tab w:val="left" w:pos="408"/>
              </w:tabs>
              <w:rPr>
                <w:b/>
              </w:rPr>
            </w:pPr>
          </w:p>
        </w:tc>
        <w:tc>
          <w:tcPr>
            <w:tcW w:w="7796" w:type="dxa"/>
            <w:tcBorders>
              <w:bottom w:val="single" w:sz="4" w:space="0" w:color="auto"/>
            </w:tcBorders>
            <w:shd w:val="clear" w:color="auto" w:fill="auto"/>
          </w:tcPr>
          <w:p w14:paraId="0F546463" w14:textId="77777777" w:rsidR="002942F6" w:rsidRPr="00A639C4" w:rsidRDefault="002942F6" w:rsidP="00740CF4">
            <w:pPr>
              <w:jc w:val="both"/>
              <w:rPr>
                <w:b/>
              </w:rPr>
            </w:pPr>
          </w:p>
          <w:p w14:paraId="339BF232" w14:textId="77777777" w:rsidR="002942F6" w:rsidRPr="00A639C4" w:rsidRDefault="002942F6" w:rsidP="00740CF4">
            <w:pPr>
              <w:jc w:val="both"/>
              <w:rPr>
                <w:b/>
                <w:bCs/>
              </w:rPr>
            </w:pPr>
            <w:r w:rsidRPr="00A639C4">
              <w:rPr>
                <w:b/>
                <w:bCs/>
              </w:rPr>
              <w:t>Szczegółowe wymagania o których mowa w art. 95 Pzp dotyczące realizacji zamówienia oraz egzekwowania wymogu zatrudnienia na podstawie stosunku pracy:</w:t>
            </w:r>
          </w:p>
          <w:p w14:paraId="7E866006" w14:textId="04B5F7DF" w:rsidR="002942F6" w:rsidRPr="00A639C4" w:rsidRDefault="002942F6" w:rsidP="00740CF4">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12F2B928" w14:textId="77777777" w:rsidR="002942F6" w:rsidRPr="00A639C4" w:rsidRDefault="002942F6" w:rsidP="00740CF4">
            <w:pPr>
              <w:jc w:val="both"/>
              <w:rPr>
                <w:b/>
              </w:rPr>
            </w:pPr>
          </w:p>
          <w:p w14:paraId="2C316B50" w14:textId="0D8AF407" w:rsidR="002942F6" w:rsidRPr="00A639C4" w:rsidRDefault="002942F6" w:rsidP="00740CF4">
            <w:pPr>
              <w:jc w:val="both"/>
              <w:rPr>
                <w:b/>
              </w:rPr>
            </w:pPr>
            <w:r w:rsidRPr="00A639C4">
              <w:rPr>
                <w:b/>
              </w:rPr>
              <w:t xml:space="preserve">1) rodzaj czynności niezbędnych do realizacji zamówienia, których dotyczą wymagania zatrudnienia na podstawie stosunku pracy przez wykonawcę </w:t>
            </w:r>
            <w:r>
              <w:rPr>
                <w:b/>
              </w:rPr>
              <w:t xml:space="preserve">                     </w:t>
            </w:r>
            <w:r w:rsidRPr="00A639C4">
              <w:rPr>
                <w:b/>
              </w:rPr>
              <w:t>lub podwykonawcę osób wykonujących czynności w trakcie realizacji zamówienia;</w:t>
            </w:r>
          </w:p>
          <w:p w14:paraId="4F04632D" w14:textId="77777777" w:rsidR="002942F6" w:rsidRPr="00A639C4" w:rsidRDefault="002942F6" w:rsidP="00740CF4">
            <w:pPr>
              <w:jc w:val="both"/>
            </w:pPr>
          </w:p>
          <w:p w14:paraId="7F9CA602" w14:textId="092CBC39" w:rsidR="002942F6" w:rsidRPr="00A639C4" w:rsidRDefault="002942F6" w:rsidP="00740CF4">
            <w:pPr>
              <w:jc w:val="both"/>
            </w:pPr>
            <w:r w:rsidRPr="00A639C4">
              <w:t xml:space="preserve">Zamawiający wymaga zatrudnienia na </w:t>
            </w:r>
            <w:r w:rsidRPr="00A639C4">
              <w:rPr>
                <w:bCs/>
              </w:rPr>
              <w:t>podstawie stosunku pracy</w:t>
            </w:r>
            <w:r w:rsidRPr="00A639C4">
              <w:t xml:space="preserve"> przez wykonawcę lub podwykonawcę osób </w:t>
            </w:r>
            <w:bookmarkStart w:id="4" w:name="_Hlk1632458"/>
            <w:r w:rsidRPr="00A639C4">
              <w:t>wykonujących czynności w trakcie realizacji zamówienia:</w:t>
            </w:r>
          </w:p>
          <w:bookmarkEnd w:id="4"/>
          <w:p w14:paraId="368887A7" w14:textId="77777777" w:rsidR="002942F6" w:rsidRDefault="002942F6" w:rsidP="00740CF4">
            <w:pPr>
              <w:jc w:val="both"/>
              <w:rPr>
                <w:b/>
                <w:bCs/>
              </w:rPr>
            </w:pPr>
          </w:p>
          <w:p w14:paraId="6D09FB3F" w14:textId="10CD7EDC" w:rsidR="002942F6" w:rsidRPr="00BF0687" w:rsidRDefault="002942F6" w:rsidP="00740CF4">
            <w:pPr>
              <w:jc w:val="both"/>
            </w:pPr>
            <w:r w:rsidRPr="00BF0687">
              <w:rPr>
                <w:b/>
                <w:bCs/>
              </w:rPr>
              <w:t>Pracownicy budowlani na terenie budowy, n</w:t>
            </w:r>
            <w:r w:rsidRPr="00BF0687">
              <w:t>p.  osoby wykonujące wszystkie prace wchodzące w zakres robót wynikających z przedmiaru robót.</w:t>
            </w:r>
          </w:p>
          <w:p w14:paraId="5575C3FF" w14:textId="77777777" w:rsidR="002942F6" w:rsidRPr="00A639C4" w:rsidRDefault="002942F6" w:rsidP="00740CF4">
            <w:pPr>
              <w:jc w:val="both"/>
            </w:pPr>
          </w:p>
          <w:p w14:paraId="2355A3AB" w14:textId="2F9BE8C9" w:rsidR="002942F6" w:rsidRPr="00A639C4" w:rsidRDefault="002942F6" w:rsidP="00740CF4">
            <w:pPr>
              <w:jc w:val="both"/>
            </w:pPr>
            <w:r w:rsidRPr="00A639C4">
              <w:t xml:space="preserve">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14:paraId="216A271A" w14:textId="77777777" w:rsidR="002942F6" w:rsidRDefault="002942F6" w:rsidP="00740CF4">
            <w:pPr>
              <w:jc w:val="both"/>
            </w:pPr>
          </w:p>
          <w:p w14:paraId="02DCEAE8" w14:textId="77777777" w:rsidR="002942F6" w:rsidRPr="00A639C4" w:rsidRDefault="002942F6" w:rsidP="00740CF4">
            <w:pPr>
              <w:jc w:val="both"/>
            </w:pPr>
          </w:p>
          <w:p w14:paraId="29EA9E72" w14:textId="77777777" w:rsidR="002942F6" w:rsidRPr="00A639C4" w:rsidRDefault="002942F6" w:rsidP="00740CF4">
            <w:pPr>
              <w:jc w:val="both"/>
              <w:rPr>
                <w:b/>
              </w:rPr>
            </w:pPr>
            <w:r w:rsidRPr="00A639C4">
              <w:rPr>
                <w:b/>
              </w:rPr>
              <w:lastRenderedPageBreak/>
              <w:t>2) sposób weryfikacji zatrudnienia tych osób;</w:t>
            </w:r>
          </w:p>
          <w:p w14:paraId="28CD51BC" w14:textId="77777777" w:rsidR="002942F6" w:rsidRPr="00A639C4" w:rsidRDefault="002942F6" w:rsidP="00740CF4">
            <w:pPr>
              <w:jc w:val="both"/>
            </w:pPr>
          </w:p>
          <w:p w14:paraId="67C5565D" w14:textId="53D8828A" w:rsidR="002942F6" w:rsidRPr="00A639C4" w:rsidRDefault="002942F6" w:rsidP="00740CF4">
            <w:pPr>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88F090D" w14:textId="77777777" w:rsidR="002942F6" w:rsidRPr="00A639C4" w:rsidRDefault="002942F6" w:rsidP="00740CF4">
            <w:pPr>
              <w:jc w:val="both"/>
              <w:rPr>
                <w:b/>
              </w:rPr>
            </w:pPr>
          </w:p>
          <w:p w14:paraId="425AF457" w14:textId="77777777" w:rsidR="002942F6" w:rsidRPr="00A639C4" w:rsidRDefault="002942F6" w:rsidP="00740CF4">
            <w:pPr>
              <w:jc w:val="both"/>
              <w:rPr>
                <w:b/>
              </w:rPr>
            </w:pPr>
            <w:r w:rsidRPr="00A639C4">
              <w:rPr>
                <w:b/>
              </w:rPr>
              <w:t>3) uprawnienia zamawiającego w zakresie kontroli spełniania przez wykonawcę wymagań związanych z zatrudnianiem tych osób oraz sankcji z tytułu niespełnienia tych wymagań.</w:t>
            </w:r>
          </w:p>
          <w:p w14:paraId="365C856C" w14:textId="77777777" w:rsidR="002942F6" w:rsidRPr="00A639C4" w:rsidRDefault="002942F6" w:rsidP="00740CF4">
            <w:pPr>
              <w:jc w:val="both"/>
            </w:pPr>
          </w:p>
          <w:p w14:paraId="16775595" w14:textId="4BB04FE1" w:rsidR="002942F6" w:rsidRPr="00A639C4" w:rsidRDefault="002942F6" w:rsidP="00740CF4">
            <w:pPr>
              <w:jc w:val="both"/>
            </w:pPr>
            <w:r w:rsidRPr="00A639C4">
              <w:t xml:space="preserve">Zamawiający ma prawo do skontrolowania Wykonawcy w zakresie zatrudnienia osób, o których mowa w art. 95 Ustawy Pzp wzywając go na piśmie do przekazania informacji w terminie 14 dni od otrzymania takiego wezwania. W przypadku gdy Wykonawca nie dochowa ww. terminu Zamawiający obciąży Wykonawcę karami umownymi </w:t>
            </w:r>
            <w:r>
              <w:t xml:space="preserve"> </w:t>
            </w:r>
            <w:r w:rsidRPr="0039128C">
              <w:t>określon</w:t>
            </w:r>
            <w:r>
              <w:t>ymi</w:t>
            </w:r>
            <w:r w:rsidRPr="0039128C">
              <w:t xml:space="preserve"> w projektowanych postanowieniach umownych.</w:t>
            </w:r>
          </w:p>
          <w:p w14:paraId="51B67B5A" w14:textId="77777777" w:rsidR="002942F6" w:rsidRPr="00A639C4" w:rsidRDefault="002942F6" w:rsidP="00740CF4">
            <w:pPr>
              <w:jc w:val="both"/>
            </w:pPr>
          </w:p>
        </w:tc>
      </w:tr>
      <w:tr w:rsidR="002942F6" w:rsidRPr="00A639C4" w14:paraId="32227B2D" w14:textId="77777777" w:rsidTr="00A639C4">
        <w:tc>
          <w:tcPr>
            <w:tcW w:w="1384" w:type="dxa"/>
            <w:shd w:val="clear" w:color="auto" w:fill="BFBFBF" w:themeFill="background1" w:themeFillShade="BF"/>
          </w:tcPr>
          <w:p w14:paraId="5200B712" w14:textId="2FC0D74A" w:rsidR="002942F6" w:rsidRPr="00A639C4" w:rsidRDefault="002942F6" w:rsidP="00740CF4">
            <w:pPr>
              <w:tabs>
                <w:tab w:val="left" w:pos="408"/>
              </w:tabs>
              <w:jc w:val="center"/>
              <w:rPr>
                <w:b/>
              </w:rPr>
            </w:pPr>
            <w:r w:rsidRPr="00A639C4">
              <w:rPr>
                <w:b/>
              </w:rPr>
              <w:lastRenderedPageBreak/>
              <w:t>Pkt 4.2 IDW</w:t>
            </w:r>
          </w:p>
        </w:tc>
        <w:tc>
          <w:tcPr>
            <w:tcW w:w="7796" w:type="dxa"/>
            <w:shd w:val="clear" w:color="auto" w:fill="BFBFBF" w:themeFill="background1" w:themeFillShade="BF"/>
          </w:tcPr>
          <w:p w14:paraId="007C0D9A" w14:textId="25C5FB76" w:rsidR="002942F6" w:rsidRPr="00A639C4" w:rsidRDefault="002942F6" w:rsidP="00740CF4">
            <w:pPr>
              <w:tabs>
                <w:tab w:val="left" w:pos="408"/>
              </w:tabs>
              <w:rPr>
                <w:b/>
              </w:rPr>
            </w:pPr>
            <w:r w:rsidRPr="00A639C4">
              <w:rPr>
                <w:b/>
              </w:rPr>
              <w:t>Składanie ofert częściowych</w:t>
            </w:r>
          </w:p>
        </w:tc>
      </w:tr>
      <w:tr w:rsidR="002942F6" w:rsidRPr="00A639C4" w14:paraId="555BB7B8" w14:textId="77777777" w:rsidTr="00A639C4">
        <w:tc>
          <w:tcPr>
            <w:tcW w:w="1384" w:type="dxa"/>
            <w:shd w:val="clear" w:color="auto" w:fill="auto"/>
          </w:tcPr>
          <w:p w14:paraId="7F7FF4A8" w14:textId="3DAAC5AF" w:rsidR="002942F6" w:rsidRPr="00A639C4" w:rsidRDefault="002942F6" w:rsidP="00740CF4">
            <w:pPr>
              <w:tabs>
                <w:tab w:val="left" w:pos="408"/>
              </w:tabs>
              <w:jc w:val="center"/>
              <w:rPr>
                <w:b/>
              </w:rPr>
            </w:pPr>
          </w:p>
        </w:tc>
        <w:tc>
          <w:tcPr>
            <w:tcW w:w="7796" w:type="dxa"/>
            <w:shd w:val="clear" w:color="auto" w:fill="auto"/>
          </w:tcPr>
          <w:p w14:paraId="1F4A2031" w14:textId="77777777" w:rsidR="002942F6" w:rsidRPr="00A639C4" w:rsidRDefault="002942F6" w:rsidP="00740CF4">
            <w:pPr>
              <w:tabs>
                <w:tab w:val="left" w:pos="408"/>
              </w:tabs>
              <w:jc w:val="both"/>
              <w:rPr>
                <w:bCs/>
              </w:rPr>
            </w:pPr>
          </w:p>
          <w:p w14:paraId="5853B6E8" w14:textId="77777777" w:rsidR="002942F6" w:rsidRPr="00BF0687" w:rsidRDefault="002942F6" w:rsidP="00740CF4">
            <w:pPr>
              <w:tabs>
                <w:tab w:val="left" w:pos="408"/>
              </w:tabs>
              <w:rPr>
                <w:bCs/>
              </w:rPr>
            </w:pPr>
            <w:r w:rsidRPr="00BF0687">
              <w:rPr>
                <w:bCs/>
              </w:rPr>
              <w:t xml:space="preserve">Zamawiający </w:t>
            </w:r>
            <w:r w:rsidRPr="00BF0687">
              <w:rPr>
                <w:b/>
                <w:bCs/>
                <w:u w:val="single"/>
              </w:rPr>
              <w:t>nie dopuszcza</w:t>
            </w:r>
            <w:r w:rsidRPr="00BF0687">
              <w:rPr>
                <w:bCs/>
              </w:rPr>
              <w:t xml:space="preserve"> składania ofert częściowych.</w:t>
            </w:r>
          </w:p>
          <w:p w14:paraId="1E9CCCD5" w14:textId="77777777" w:rsidR="002942F6" w:rsidRPr="00BF0687" w:rsidRDefault="002942F6" w:rsidP="00740CF4">
            <w:pPr>
              <w:tabs>
                <w:tab w:val="left" w:pos="408"/>
              </w:tabs>
              <w:jc w:val="both"/>
              <w:rPr>
                <w:bCs/>
              </w:rPr>
            </w:pPr>
          </w:p>
          <w:p w14:paraId="006AC619" w14:textId="77777777" w:rsidR="002942F6" w:rsidRPr="00BF0687" w:rsidRDefault="002942F6" w:rsidP="00740CF4">
            <w:pPr>
              <w:tabs>
                <w:tab w:val="left" w:pos="16874"/>
                <w:tab w:val="left" w:pos="17157"/>
              </w:tabs>
              <w:jc w:val="both"/>
            </w:pPr>
            <w:r w:rsidRPr="00BF0687">
              <w:t xml:space="preserve">Przedmiot zamówienia nie został podzielony na części. </w:t>
            </w:r>
          </w:p>
          <w:p w14:paraId="5319A3A1" w14:textId="77777777" w:rsidR="002942F6" w:rsidRPr="008E42D2" w:rsidRDefault="002942F6" w:rsidP="00740CF4">
            <w:pPr>
              <w:jc w:val="both"/>
              <w:rPr>
                <w:bCs/>
              </w:rPr>
            </w:pPr>
          </w:p>
          <w:p w14:paraId="19A736A6" w14:textId="77777777" w:rsidR="002942F6" w:rsidRPr="008E42D2" w:rsidRDefault="002942F6" w:rsidP="00740CF4">
            <w:pPr>
              <w:jc w:val="both"/>
              <w:rPr>
                <w:bCs/>
              </w:rPr>
            </w:pPr>
            <w:r w:rsidRPr="008E42D2">
              <w:rPr>
                <w:bCs/>
              </w:rPr>
              <w:t xml:space="preserve">Zamawiający przed ogłoszeniem postępowania dokonał analizy zasadności podziału przedmiotu zamówienia na części. Poniżej wskazano główne przyczyny decyzji instytucji zamawiającej o braku podziału zamówienia na części. </w:t>
            </w:r>
          </w:p>
          <w:p w14:paraId="3EE84C01" w14:textId="77777777" w:rsidR="002942F6" w:rsidRPr="008E42D2" w:rsidRDefault="002942F6" w:rsidP="00740CF4">
            <w:pPr>
              <w:jc w:val="both"/>
              <w:rPr>
                <w:bCs/>
              </w:rPr>
            </w:pPr>
            <w:r w:rsidRPr="008E42D2">
              <w:rPr>
                <w:bCs/>
              </w:rPr>
              <w:t xml:space="preserve">Zamawiający wskazuje, że nie jest zobowiązany do dokonywania podziału zamówienia na części za wszelką cenę – tj. po to, żeby podziału dokonać, niezależnie od tego w jaki sposób i jaką metodologią. </w:t>
            </w:r>
          </w:p>
          <w:p w14:paraId="70B8AA10" w14:textId="77777777" w:rsidR="002942F6" w:rsidRPr="008E42D2" w:rsidRDefault="002942F6" w:rsidP="00740CF4">
            <w:pPr>
              <w:jc w:val="both"/>
              <w:rPr>
                <w:bCs/>
              </w:rPr>
            </w:pPr>
            <w:r w:rsidRPr="008E42D2">
              <w:rPr>
                <w:bCs/>
              </w:rPr>
              <w:t>Przepisy ustawy Pzp 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776110A2" w14:textId="77777777" w:rsidR="002942F6" w:rsidRPr="008E42D2" w:rsidRDefault="002942F6" w:rsidP="00740CF4">
            <w:pPr>
              <w:jc w:val="both"/>
              <w:rPr>
                <w:bCs/>
              </w:rPr>
            </w:pPr>
            <w:r w:rsidRPr="008E42D2">
              <w:rPr>
                <w:bCs/>
              </w:rPr>
              <w:t>Stanowiący podstawę dla tego obowiązku przepis art. 91 ust.2 ustawy Pzp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61C81B8C" w14:textId="77777777" w:rsidR="002942F6" w:rsidRPr="008E42D2" w:rsidRDefault="002942F6" w:rsidP="00740CF4">
            <w:pPr>
              <w:ind w:firstLine="708"/>
              <w:jc w:val="both"/>
              <w:rPr>
                <w:bCs/>
              </w:rPr>
            </w:pPr>
            <w:r w:rsidRPr="008E42D2">
              <w:rPr>
                <w:bCs/>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54D5BE12" w14:textId="77777777" w:rsidR="002942F6" w:rsidRPr="008E42D2" w:rsidRDefault="002942F6" w:rsidP="00740CF4">
            <w:pPr>
              <w:ind w:firstLine="708"/>
              <w:jc w:val="both"/>
              <w:rPr>
                <w:bCs/>
              </w:rPr>
            </w:pPr>
            <w:r w:rsidRPr="008E42D2">
              <w:rPr>
                <w:bCs/>
              </w:rPr>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t>
            </w:r>
            <w:r w:rsidRPr="008E42D2">
              <w:rPr>
                <w:bCs/>
              </w:rPr>
              <w:lastRenderedPageBreak/>
              <w:t xml:space="preserve">wyspecjalizowanej branży. </w:t>
            </w:r>
          </w:p>
          <w:p w14:paraId="26E9AE2E" w14:textId="77777777" w:rsidR="002942F6" w:rsidRPr="008E42D2" w:rsidRDefault="002942F6" w:rsidP="00740CF4">
            <w:pPr>
              <w:ind w:firstLine="708"/>
              <w:jc w:val="both"/>
              <w:rPr>
                <w:bCs/>
              </w:rPr>
            </w:pPr>
            <w:r w:rsidRPr="008E42D2">
              <w:rPr>
                <w:bCs/>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6DCBD4EE" w14:textId="77777777" w:rsidR="002942F6" w:rsidRPr="008E42D2" w:rsidRDefault="002942F6" w:rsidP="00740CF4">
            <w:pPr>
              <w:ind w:firstLine="708"/>
              <w:jc w:val="both"/>
              <w:rPr>
                <w:bCs/>
              </w:rPr>
            </w:pPr>
            <w:r w:rsidRPr="008E42D2">
              <w:rPr>
                <w:bCs/>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391EF85C" w14:textId="0C5DACD2" w:rsidR="002942F6" w:rsidRPr="008E42D2" w:rsidRDefault="002942F6" w:rsidP="00740CF4">
            <w:pPr>
              <w:ind w:firstLine="708"/>
              <w:jc w:val="both"/>
              <w:rPr>
                <w:bCs/>
              </w:rPr>
            </w:pPr>
            <w:r w:rsidRPr="008E42D2">
              <w:rPr>
                <w:bCs/>
              </w:rPr>
              <w:t>Podziału przedmiotu zamówienia nie można dokonać na zasadzie ilościowej tak aby wielkość poszczególnych zamówień lepiej odpowiadała możliwościom MŚP. W opinii Zamawiającego byłby to podział pozorny, dokonany dla samego faktu</w:t>
            </w:r>
            <w:r>
              <w:rPr>
                <w:bCs/>
              </w:rPr>
              <w:t xml:space="preserve"> </w:t>
            </w:r>
            <w:r w:rsidRPr="008E42D2">
              <w:rPr>
                <w:bCs/>
              </w:rPr>
              <w:t xml:space="preserve"> dokonania jakiegokolwiek podziału zamówienia na części;</w:t>
            </w:r>
          </w:p>
          <w:p w14:paraId="742AB3D7" w14:textId="77777777" w:rsidR="002942F6" w:rsidRPr="008E42D2" w:rsidRDefault="002942F6" w:rsidP="00740CF4">
            <w:pPr>
              <w:ind w:firstLine="708"/>
              <w:jc w:val="both"/>
              <w:rPr>
                <w:bCs/>
              </w:rPr>
            </w:pPr>
            <w:r w:rsidRPr="008E42D2">
              <w:rPr>
                <w:bCs/>
              </w:rPr>
              <w:t>W opinii Zamawiającego przy podziale zamówienia na części prawdopodobna i wręcz granicząca z pewnością jest sytuacja, w której kilku wykonawców, których łączny efekt prac decyduje o prawidłowym wykonaniu przedmiotu umowy</w:t>
            </w:r>
            <w:r w:rsidRPr="008E42D2">
              <w:rPr>
                <w:bCs/>
                <w:strike/>
              </w:rPr>
              <w:t xml:space="preserve"> </w:t>
            </w:r>
            <w:r w:rsidRPr="008E42D2">
              <w:rPr>
                <w:bCs/>
              </w:rPr>
              <w:t>unika odpowiedzialności z uwagi na trudności z jednoznacznym ustaleniem przyczyn wystąpienia wad czy usterek.</w:t>
            </w:r>
          </w:p>
          <w:p w14:paraId="254237D1" w14:textId="77777777" w:rsidR="002942F6" w:rsidRPr="008E42D2" w:rsidRDefault="002942F6" w:rsidP="00740CF4">
            <w:pPr>
              <w:ind w:firstLine="708"/>
              <w:jc w:val="both"/>
              <w:rPr>
                <w:bCs/>
              </w:rPr>
            </w:pPr>
            <w:r w:rsidRPr="008E42D2">
              <w:rPr>
                <w:bCs/>
              </w:rPr>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78641860" w14:textId="77777777" w:rsidR="002942F6" w:rsidRPr="008E42D2" w:rsidRDefault="002942F6" w:rsidP="00740CF4">
            <w:pPr>
              <w:ind w:firstLine="708"/>
              <w:jc w:val="both"/>
              <w:rPr>
                <w:bCs/>
              </w:rPr>
            </w:pPr>
            <w:r w:rsidRPr="008E42D2">
              <w:rPr>
                <w:bCs/>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330817B5" w14:textId="77777777" w:rsidR="002942F6" w:rsidRPr="008E42D2" w:rsidRDefault="002942F6" w:rsidP="00740CF4">
            <w:pPr>
              <w:ind w:firstLine="708"/>
              <w:jc w:val="both"/>
              <w:rPr>
                <w:bCs/>
              </w:rPr>
            </w:pPr>
            <w:r w:rsidRPr="008E42D2">
              <w:rPr>
                <w:bCs/>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588245E8" w14:textId="77777777" w:rsidR="002942F6" w:rsidRPr="008E42D2" w:rsidRDefault="002942F6" w:rsidP="00740CF4">
            <w:pPr>
              <w:ind w:firstLine="708"/>
              <w:jc w:val="both"/>
              <w:rPr>
                <w:bCs/>
              </w:rPr>
            </w:pPr>
            <w:r w:rsidRPr="008E42D2">
              <w:rPr>
                <w:bCs/>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18C0B63E" w14:textId="77777777" w:rsidR="002942F6" w:rsidRPr="008E42D2" w:rsidRDefault="002942F6" w:rsidP="00740CF4">
            <w:pPr>
              <w:ind w:firstLine="708"/>
              <w:jc w:val="both"/>
              <w:rPr>
                <w:bCs/>
              </w:rPr>
            </w:pPr>
            <w:r w:rsidRPr="008E42D2">
              <w:rPr>
                <w:bCs/>
              </w:rPr>
              <w:t>Najistotniejszym argumentem za brakiem konieczności podziału zamówienia na części są nadmierne trudności czy koszty oraz brak koordynacji, skutkujący poważną groźbą nieprawidłowej realizacji zamówienia.</w:t>
            </w:r>
          </w:p>
          <w:p w14:paraId="341C1DA6" w14:textId="77777777" w:rsidR="002942F6" w:rsidRPr="008E42D2" w:rsidRDefault="002942F6" w:rsidP="00740CF4">
            <w:pPr>
              <w:ind w:firstLine="708"/>
              <w:jc w:val="both"/>
              <w:rPr>
                <w:bCs/>
              </w:rPr>
            </w:pPr>
            <w:r w:rsidRPr="008E42D2">
              <w:rPr>
                <w:bCs/>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8E42D2">
              <w:rPr>
                <w:bCs/>
                <w:u w:val="single"/>
              </w:rPr>
              <w:t>niewielkimi</w:t>
            </w:r>
            <w:r w:rsidRPr="008E42D2">
              <w:rPr>
                <w:bCs/>
              </w:rPr>
              <w:t xml:space="preserve"> trudnościami czy kosztami bądź </w:t>
            </w:r>
            <w:r w:rsidRPr="008E42D2">
              <w:rPr>
                <w:bCs/>
                <w:u w:val="single"/>
              </w:rPr>
              <w:t>nieznacznymi</w:t>
            </w:r>
            <w:r w:rsidRPr="008E42D2">
              <w:rPr>
                <w:bCs/>
              </w:rPr>
              <w:t xml:space="preserve"> problemami z koordynowaniem działań wykonawców a tym bardziej wygoda zamawiającego. W opinii Zamawiającego przyczyny niedokonania podziału nie są błahe oraz łatwe do usunięcia. </w:t>
            </w:r>
          </w:p>
          <w:p w14:paraId="35AA3AD4" w14:textId="77777777" w:rsidR="002942F6" w:rsidRPr="008E42D2" w:rsidRDefault="002942F6" w:rsidP="00740CF4">
            <w:pPr>
              <w:ind w:firstLine="708"/>
              <w:jc w:val="both"/>
              <w:rPr>
                <w:bCs/>
              </w:rPr>
            </w:pPr>
            <w:r w:rsidRPr="008E42D2">
              <w:rPr>
                <w:bCs/>
              </w:rPr>
              <w:t xml:space="preserve">Istotne jest również to, że Zamawiający nie wyłączył z udziału w postępowaniu podmiotów działających wspólnie ani podwykonawstwa – w żaden sposób nie ogranicza to możliwości złożenia oferty </w:t>
            </w:r>
          </w:p>
          <w:p w14:paraId="5E9FA278" w14:textId="77777777" w:rsidR="002942F6" w:rsidRPr="008E42D2" w:rsidRDefault="002942F6" w:rsidP="00740CF4">
            <w:pPr>
              <w:ind w:firstLine="708"/>
              <w:jc w:val="both"/>
              <w:rPr>
                <w:bCs/>
              </w:rPr>
            </w:pPr>
            <w:r w:rsidRPr="008E42D2">
              <w:rPr>
                <w:bCs/>
              </w:rPr>
              <w:t>W świetle powyższego, decyzja o tym, aby całość zamówienia została zrealizowana przez jednego wykonawcę była w pełni uzasadniona.</w:t>
            </w:r>
          </w:p>
          <w:p w14:paraId="09F3499D" w14:textId="2D28AC10" w:rsidR="002942F6" w:rsidRPr="00A639C4" w:rsidRDefault="002942F6" w:rsidP="00740CF4">
            <w:pPr>
              <w:ind w:firstLine="708"/>
              <w:jc w:val="both"/>
              <w:rPr>
                <w:bCs/>
              </w:rPr>
            </w:pPr>
          </w:p>
        </w:tc>
      </w:tr>
      <w:tr w:rsidR="002942F6" w:rsidRPr="00A639C4" w14:paraId="09EA691B" w14:textId="77777777" w:rsidTr="00A639C4">
        <w:tc>
          <w:tcPr>
            <w:tcW w:w="1384" w:type="dxa"/>
            <w:tcBorders>
              <w:bottom w:val="single" w:sz="4" w:space="0" w:color="auto"/>
            </w:tcBorders>
            <w:shd w:val="clear" w:color="auto" w:fill="BFBFBF" w:themeFill="background1" w:themeFillShade="BF"/>
          </w:tcPr>
          <w:p w14:paraId="1792CE75" w14:textId="03BAC915" w:rsidR="002942F6" w:rsidRPr="00A639C4" w:rsidRDefault="002942F6" w:rsidP="00740CF4">
            <w:pPr>
              <w:tabs>
                <w:tab w:val="left" w:pos="408"/>
              </w:tabs>
              <w:jc w:val="center"/>
              <w:rPr>
                <w:b/>
              </w:rPr>
            </w:pPr>
            <w:r w:rsidRPr="00A639C4">
              <w:rPr>
                <w:b/>
              </w:rPr>
              <w:lastRenderedPageBreak/>
              <w:t>Pkt 4.4 IDW</w:t>
            </w:r>
          </w:p>
        </w:tc>
        <w:tc>
          <w:tcPr>
            <w:tcW w:w="7796" w:type="dxa"/>
            <w:tcBorders>
              <w:bottom w:val="single" w:sz="4" w:space="0" w:color="auto"/>
            </w:tcBorders>
            <w:shd w:val="clear" w:color="auto" w:fill="BFBFBF" w:themeFill="background1" w:themeFillShade="BF"/>
          </w:tcPr>
          <w:p w14:paraId="76071CD7" w14:textId="6D7F9E16" w:rsidR="002942F6" w:rsidRPr="00A639C4" w:rsidRDefault="002942F6" w:rsidP="00740CF4">
            <w:pPr>
              <w:rPr>
                <w:b/>
              </w:rPr>
            </w:pPr>
            <w:r w:rsidRPr="00A639C4">
              <w:rPr>
                <w:b/>
              </w:rPr>
              <w:t>Informacje dotyczące  zamówień o których mowa w art. 305 Pzp</w:t>
            </w:r>
          </w:p>
        </w:tc>
      </w:tr>
      <w:tr w:rsidR="002942F6" w:rsidRPr="00A639C4" w14:paraId="5B099D95" w14:textId="77777777" w:rsidTr="00A639C4">
        <w:tc>
          <w:tcPr>
            <w:tcW w:w="1384" w:type="dxa"/>
            <w:tcBorders>
              <w:bottom w:val="single" w:sz="4" w:space="0" w:color="auto"/>
            </w:tcBorders>
            <w:shd w:val="clear" w:color="auto" w:fill="auto"/>
          </w:tcPr>
          <w:p w14:paraId="3AA3E3B6" w14:textId="5505CB73" w:rsidR="002942F6" w:rsidRPr="00A639C4" w:rsidRDefault="002942F6" w:rsidP="00740CF4">
            <w:pPr>
              <w:tabs>
                <w:tab w:val="left" w:pos="408"/>
              </w:tabs>
              <w:rPr>
                <w:b/>
              </w:rPr>
            </w:pPr>
          </w:p>
        </w:tc>
        <w:tc>
          <w:tcPr>
            <w:tcW w:w="7796" w:type="dxa"/>
            <w:tcBorders>
              <w:bottom w:val="single" w:sz="4" w:space="0" w:color="auto"/>
            </w:tcBorders>
            <w:shd w:val="clear" w:color="auto" w:fill="auto"/>
          </w:tcPr>
          <w:p w14:paraId="02D1DF47" w14:textId="77777777" w:rsidR="002942F6" w:rsidRPr="00A639C4" w:rsidRDefault="002942F6" w:rsidP="00740CF4">
            <w:pPr>
              <w:ind w:left="284"/>
              <w:jc w:val="both"/>
              <w:rPr>
                <w:bCs/>
              </w:rPr>
            </w:pPr>
          </w:p>
          <w:p w14:paraId="764D6D61" w14:textId="77777777" w:rsidR="002942F6" w:rsidRPr="00A639C4" w:rsidRDefault="002942F6" w:rsidP="00740CF4">
            <w:pPr>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305 pkt.1 w zw. z art. 214 ust. 1 pkt 7  Pzp</w:t>
            </w:r>
          </w:p>
          <w:p w14:paraId="1B06481F" w14:textId="77777777" w:rsidR="002942F6" w:rsidRPr="00A639C4" w:rsidRDefault="002942F6" w:rsidP="00740CF4">
            <w:pPr>
              <w:jc w:val="both"/>
              <w:rPr>
                <w:bCs/>
              </w:rPr>
            </w:pPr>
          </w:p>
        </w:tc>
      </w:tr>
      <w:tr w:rsidR="002942F6" w:rsidRPr="00A639C4" w14:paraId="6BE6590F" w14:textId="77777777" w:rsidTr="00A639C4">
        <w:trPr>
          <w:trHeight w:val="164"/>
        </w:trPr>
        <w:tc>
          <w:tcPr>
            <w:tcW w:w="1384" w:type="dxa"/>
            <w:shd w:val="clear" w:color="auto" w:fill="BFBFBF" w:themeFill="background1" w:themeFillShade="BF"/>
          </w:tcPr>
          <w:p w14:paraId="1AEF528B" w14:textId="77777777" w:rsidR="002942F6" w:rsidRPr="00A639C4" w:rsidRDefault="002942F6" w:rsidP="00740CF4">
            <w:pPr>
              <w:jc w:val="center"/>
              <w:rPr>
                <w:b/>
              </w:rPr>
            </w:pPr>
            <w:r w:rsidRPr="00A639C4">
              <w:rPr>
                <w:b/>
              </w:rPr>
              <w:t>Pkt 5.1 IDW</w:t>
            </w:r>
          </w:p>
        </w:tc>
        <w:tc>
          <w:tcPr>
            <w:tcW w:w="7796" w:type="dxa"/>
            <w:shd w:val="clear" w:color="auto" w:fill="BFBFBF" w:themeFill="background1" w:themeFillShade="BF"/>
          </w:tcPr>
          <w:p w14:paraId="777C055B" w14:textId="5A8D8F2E" w:rsidR="002942F6" w:rsidRPr="00A639C4" w:rsidRDefault="002942F6" w:rsidP="00740CF4">
            <w:pPr>
              <w:rPr>
                <w:b/>
              </w:rPr>
            </w:pPr>
            <w:r w:rsidRPr="00A639C4">
              <w:rPr>
                <w:b/>
              </w:rPr>
              <w:t>Wizja lokalna</w:t>
            </w:r>
          </w:p>
        </w:tc>
      </w:tr>
      <w:tr w:rsidR="002942F6" w:rsidRPr="00A639C4" w14:paraId="2987B09E" w14:textId="77777777" w:rsidTr="00A639C4">
        <w:tc>
          <w:tcPr>
            <w:tcW w:w="1384" w:type="dxa"/>
            <w:tcBorders>
              <w:bottom w:val="single" w:sz="4" w:space="0" w:color="auto"/>
            </w:tcBorders>
            <w:shd w:val="clear" w:color="auto" w:fill="auto"/>
          </w:tcPr>
          <w:p w14:paraId="7EF38EF4" w14:textId="77777777" w:rsidR="002942F6" w:rsidRPr="00A639C4" w:rsidRDefault="002942F6" w:rsidP="00740CF4"/>
        </w:tc>
        <w:tc>
          <w:tcPr>
            <w:tcW w:w="7796" w:type="dxa"/>
            <w:tcBorders>
              <w:bottom w:val="single" w:sz="4" w:space="0" w:color="auto"/>
            </w:tcBorders>
            <w:shd w:val="clear" w:color="auto" w:fill="auto"/>
          </w:tcPr>
          <w:p w14:paraId="7D49B598" w14:textId="77777777" w:rsidR="002942F6" w:rsidRDefault="002942F6" w:rsidP="00740CF4">
            <w:pPr>
              <w:rPr>
                <w:b/>
              </w:rPr>
            </w:pPr>
          </w:p>
          <w:p w14:paraId="688BE330" w14:textId="2A8CF96E" w:rsidR="002942F6" w:rsidRPr="00BF0687" w:rsidRDefault="002942F6" w:rsidP="00740CF4">
            <w:pPr>
              <w:rPr>
                <w:bCs/>
              </w:rPr>
            </w:pPr>
            <w:r w:rsidRPr="00BF0687">
              <w:rPr>
                <w:b/>
              </w:rPr>
              <w:t xml:space="preserve">Zamawiający </w:t>
            </w:r>
            <w:r w:rsidRPr="00BF0687">
              <w:rPr>
                <w:b/>
                <w:u w:val="single"/>
              </w:rPr>
              <w:t>nie wymaga</w:t>
            </w:r>
            <w:r w:rsidRPr="00BF0687">
              <w:rPr>
                <w:b/>
              </w:rPr>
              <w:t xml:space="preserve"> złożenia oferty po odbyciu wizji lokalnej</w:t>
            </w:r>
            <w:r w:rsidRPr="00BF0687">
              <w:rPr>
                <w:bCs/>
              </w:rPr>
              <w:t>.</w:t>
            </w:r>
          </w:p>
          <w:p w14:paraId="59979A1A" w14:textId="77777777" w:rsidR="002942F6" w:rsidRPr="00BF0687" w:rsidRDefault="002942F6" w:rsidP="00740CF4">
            <w:pPr>
              <w:rPr>
                <w:b/>
              </w:rPr>
            </w:pPr>
          </w:p>
          <w:p w14:paraId="27FFC657" w14:textId="77777777" w:rsidR="002942F6" w:rsidRPr="00BF0687" w:rsidRDefault="002942F6" w:rsidP="00740CF4">
            <w:pPr>
              <w:jc w:val="both"/>
              <w:rPr>
                <w:b/>
              </w:rPr>
            </w:pPr>
            <w:r w:rsidRPr="00BF0687">
              <w:rPr>
                <w:b/>
              </w:rPr>
              <w:t xml:space="preserve">Zamawiający </w:t>
            </w:r>
            <w:r w:rsidRPr="00BF0687">
              <w:rPr>
                <w:b/>
                <w:u w:val="single"/>
              </w:rPr>
              <w:t>nie wymaga</w:t>
            </w:r>
            <w:r w:rsidRPr="00BF0687">
              <w:rPr>
                <w:b/>
              </w:rPr>
              <w:t xml:space="preserve"> złożenia oferty po sprawdzeniu przez wykonawcę dokumentów niezbędnych do realizacji zamówienia dostępnych na miejscu u Zamawiającego.</w:t>
            </w:r>
          </w:p>
          <w:p w14:paraId="4E9E49F2" w14:textId="77777777" w:rsidR="002942F6" w:rsidRPr="00A639C4" w:rsidRDefault="002942F6" w:rsidP="00740CF4"/>
        </w:tc>
      </w:tr>
      <w:tr w:rsidR="002942F6" w:rsidRPr="00A639C4" w14:paraId="6E3431A4" w14:textId="77777777" w:rsidTr="00A639C4">
        <w:tc>
          <w:tcPr>
            <w:tcW w:w="1384" w:type="dxa"/>
            <w:shd w:val="clear" w:color="auto" w:fill="BFBFBF" w:themeFill="background1" w:themeFillShade="BF"/>
          </w:tcPr>
          <w:p w14:paraId="3FE3F7D8" w14:textId="4FD0D68D" w:rsidR="002942F6" w:rsidRPr="00A639C4" w:rsidRDefault="002942F6" w:rsidP="00740CF4">
            <w:pPr>
              <w:tabs>
                <w:tab w:val="left" w:pos="408"/>
              </w:tabs>
              <w:jc w:val="center"/>
              <w:rPr>
                <w:b/>
              </w:rPr>
            </w:pPr>
            <w:r w:rsidRPr="00A639C4">
              <w:rPr>
                <w:b/>
              </w:rPr>
              <w:t>6.2 IDW</w:t>
            </w:r>
          </w:p>
        </w:tc>
        <w:tc>
          <w:tcPr>
            <w:tcW w:w="7796" w:type="dxa"/>
            <w:shd w:val="clear" w:color="auto" w:fill="BFBFBF" w:themeFill="background1" w:themeFillShade="BF"/>
          </w:tcPr>
          <w:p w14:paraId="68F0CD7D" w14:textId="68B58EBD" w:rsidR="002942F6" w:rsidRPr="00A639C4" w:rsidRDefault="002942F6" w:rsidP="00740CF4">
            <w:pPr>
              <w:rPr>
                <w:b/>
              </w:rPr>
            </w:pPr>
            <w:r w:rsidRPr="00A639C4">
              <w:rPr>
                <w:b/>
              </w:rPr>
              <w:t>Obowiązek osobistego wykonania przez Wykonawcę kluczowych części zamówienia</w:t>
            </w:r>
          </w:p>
          <w:p w14:paraId="27A7DF74" w14:textId="77777777" w:rsidR="002942F6" w:rsidRPr="00A639C4" w:rsidRDefault="002942F6" w:rsidP="00740CF4">
            <w:pPr>
              <w:rPr>
                <w:b/>
              </w:rPr>
            </w:pPr>
          </w:p>
        </w:tc>
      </w:tr>
      <w:tr w:rsidR="002942F6" w:rsidRPr="00A639C4" w14:paraId="032FACC3" w14:textId="77777777" w:rsidTr="00A639C4">
        <w:tc>
          <w:tcPr>
            <w:tcW w:w="1384" w:type="dxa"/>
            <w:shd w:val="clear" w:color="auto" w:fill="auto"/>
          </w:tcPr>
          <w:p w14:paraId="59307303" w14:textId="77777777" w:rsidR="002942F6" w:rsidRPr="00A639C4" w:rsidRDefault="002942F6" w:rsidP="00740CF4">
            <w:pPr>
              <w:tabs>
                <w:tab w:val="left" w:pos="408"/>
              </w:tabs>
              <w:jc w:val="center"/>
              <w:rPr>
                <w:b/>
              </w:rPr>
            </w:pPr>
          </w:p>
        </w:tc>
        <w:tc>
          <w:tcPr>
            <w:tcW w:w="7796" w:type="dxa"/>
            <w:shd w:val="clear" w:color="auto" w:fill="auto"/>
          </w:tcPr>
          <w:p w14:paraId="70071412" w14:textId="77777777" w:rsidR="002942F6" w:rsidRDefault="002942F6" w:rsidP="00740CF4">
            <w:pPr>
              <w:pStyle w:val="arimr"/>
              <w:widowControl/>
              <w:suppressAutoHyphens/>
              <w:snapToGrid/>
              <w:spacing w:line="240" w:lineRule="auto"/>
              <w:jc w:val="both"/>
              <w:rPr>
                <w:rFonts w:ascii="Arial" w:hAnsi="Arial" w:cs="Arial"/>
                <w:sz w:val="20"/>
                <w:lang w:val="pl-PL"/>
              </w:rPr>
            </w:pPr>
          </w:p>
          <w:p w14:paraId="179A11DA" w14:textId="249B2C81" w:rsidR="002942F6" w:rsidRPr="00BF0687" w:rsidRDefault="002942F6" w:rsidP="00740CF4">
            <w:pPr>
              <w:pStyle w:val="arimr"/>
              <w:widowControl/>
              <w:suppressAutoHyphens/>
              <w:snapToGrid/>
              <w:spacing w:line="240" w:lineRule="auto"/>
              <w:jc w:val="both"/>
              <w:rPr>
                <w:rFonts w:ascii="Arial" w:hAnsi="Arial" w:cs="Arial"/>
                <w:b/>
                <w:sz w:val="20"/>
                <w:lang w:val="pl-PL"/>
              </w:rPr>
            </w:pPr>
            <w:r w:rsidRPr="00BF0687">
              <w:rPr>
                <w:rFonts w:ascii="Arial" w:hAnsi="Arial" w:cs="Arial"/>
                <w:sz w:val="20"/>
                <w:lang w:val="pl-PL"/>
              </w:rPr>
              <w:t xml:space="preserve">Zamawiający </w:t>
            </w:r>
            <w:r w:rsidRPr="00BF0687">
              <w:rPr>
                <w:rFonts w:ascii="Arial" w:hAnsi="Arial" w:cs="Arial"/>
                <w:b/>
                <w:bCs/>
                <w:sz w:val="20"/>
                <w:lang w:val="pl-PL"/>
              </w:rPr>
              <w:t>nie</w:t>
            </w:r>
            <w:r w:rsidRPr="00BF0687">
              <w:rPr>
                <w:rFonts w:ascii="Arial" w:hAnsi="Arial" w:cs="Arial"/>
                <w:sz w:val="20"/>
                <w:lang w:val="pl-PL"/>
              </w:rPr>
              <w:t xml:space="preserve"> </w:t>
            </w:r>
            <w:r w:rsidRPr="00BF0687">
              <w:rPr>
                <w:rFonts w:ascii="Arial" w:hAnsi="Arial" w:cs="Arial"/>
                <w:b/>
                <w:sz w:val="20"/>
                <w:lang w:val="pl-PL"/>
              </w:rPr>
              <w:t xml:space="preserve">zastrzega </w:t>
            </w:r>
            <w:r w:rsidRPr="00BF0687">
              <w:rPr>
                <w:rFonts w:ascii="Arial" w:hAnsi="Arial" w:cs="Arial"/>
                <w:sz w:val="20"/>
                <w:lang w:val="pl-PL"/>
              </w:rPr>
              <w:t>obowiązku osobistego wykonania przez Wykonawcę kluczowych części zamówienia.</w:t>
            </w:r>
          </w:p>
          <w:p w14:paraId="32B920E5" w14:textId="2D8E3857" w:rsidR="002942F6" w:rsidRPr="00A639C4" w:rsidRDefault="002942F6" w:rsidP="00740CF4">
            <w:pPr>
              <w:pStyle w:val="arimr"/>
              <w:widowControl/>
              <w:suppressAutoHyphens/>
              <w:snapToGrid/>
              <w:spacing w:line="240" w:lineRule="auto"/>
              <w:jc w:val="both"/>
              <w:rPr>
                <w:rFonts w:ascii="Arial" w:hAnsi="Arial" w:cs="Arial"/>
                <w:b/>
                <w:sz w:val="20"/>
              </w:rPr>
            </w:pPr>
          </w:p>
        </w:tc>
      </w:tr>
      <w:tr w:rsidR="002942F6" w:rsidRPr="00A639C4" w14:paraId="3567789B" w14:textId="77777777" w:rsidTr="00A639C4">
        <w:tc>
          <w:tcPr>
            <w:tcW w:w="1384" w:type="dxa"/>
            <w:shd w:val="clear" w:color="auto" w:fill="BFBFBF" w:themeFill="background1" w:themeFillShade="BF"/>
          </w:tcPr>
          <w:p w14:paraId="558F5FDC" w14:textId="436113FD" w:rsidR="002942F6" w:rsidRPr="00A639C4" w:rsidRDefault="002942F6" w:rsidP="00740CF4">
            <w:pPr>
              <w:tabs>
                <w:tab w:val="left" w:pos="408"/>
              </w:tabs>
              <w:jc w:val="center"/>
              <w:rPr>
                <w:b/>
              </w:rPr>
            </w:pPr>
            <w:r w:rsidRPr="00A639C4">
              <w:rPr>
                <w:b/>
              </w:rPr>
              <w:t>Pkt 7.1 IDW</w:t>
            </w:r>
          </w:p>
        </w:tc>
        <w:tc>
          <w:tcPr>
            <w:tcW w:w="7796" w:type="dxa"/>
            <w:shd w:val="clear" w:color="auto" w:fill="BFBFBF" w:themeFill="background1" w:themeFillShade="BF"/>
          </w:tcPr>
          <w:p w14:paraId="303326E2" w14:textId="7053D133" w:rsidR="002942F6" w:rsidRPr="00A639C4" w:rsidRDefault="002942F6" w:rsidP="00740CF4">
            <w:pPr>
              <w:rPr>
                <w:bCs/>
              </w:rPr>
            </w:pPr>
            <w:r w:rsidRPr="00A639C4">
              <w:rPr>
                <w:b/>
              </w:rPr>
              <w:t>Termin wykonania zamówienia</w:t>
            </w:r>
          </w:p>
        </w:tc>
      </w:tr>
      <w:tr w:rsidR="002942F6" w:rsidRPr="00A639C4" w14:paraId="0385F7B7" w14:textId="77777777" w:rsidTr="00A639C4">
        <w:tc>
          <w:tcPr>
            <w:tcW w:w="1384" w:type="dxa"/>
            <w:tcBorders>
              <w:bottom w:val="single" w:sz="4" w:space="0" w:color="auto"/>
            </w:tcBorders>
            <w:shd w:val="clear" w:color="auto" w:fill="auto"/>
          </w:tcPr>
          <w:p w14:paraId="5D8A973E" w14:textId="77777777" w:rsidR="002942F6" w:rsidRPr="00A639C4" w:rsidRDefault="002942F6" w:rsidP="00740CF4">
            <w:pPr>
              <w:tabs>
                <w:tab w:val="left" w:pos="408"/>
              </w:tabs>
              <w:rPr>
                <w:b/>
              </w:rPr>
            </w:pPr>
          </w:p>
        </w:tc>
        <w:tc>
          <w:tcPr>
            <w:tcW w:w="7796" w:type="dxa"/>
            <w:tcBorders>
              <w:bottom w:val="single" w:sz="4" w:space="0" w:color="auto"/>
            </w:tcBorders>
            <w:shd w:val="clear" w:color="auto" w:fill="auto"/>
          </w:tcPr>
          <w:p w14:paraId="28D9038F" w14:textId="77777777" w:rsidR="002942F6" w:rsidRPr="00A639C4" w:rsidRDefault="002942F6" w:rsidP="00740CF4">
            <w:pPr>
              <w:jc w:val="both"/>
            </w:pPr>
          </w:p>
          <w:p w14:paraId="63013740" w14:textId="75274944" w:rsidR="002942F6" w:rsidRPr="00BF0687" w:rsidRDefault="002942F6" w:rsidP="00740CF4">
            <w:pPr>
              <w:rPr>
                <w:b/>
              </w:rPr>
            </w:pPr>
            <w:r w:rsidRPr="00BF0687">
              <w:rPr>
                <w:b/>
              </w:rPr>
              <w:t xml:space="preserve">Termin wykonania zamówienia: </w:t>
            </w:r>
            <w:r>
              <w:rPr>
                <w:b/>
              </w:rPr>
              <w:t>10</w:t>
            </w:r>
            <w:r w:rsidRPr="00BF0687">
              <w:rPr>
                <w:b/>
              </w:rPr>
              <w:t>.</w:t>
            </w:r>
            <w:r>
              <w:rPr>
                <w:b/>
              </w:rPr>
              <w:t>12</w:t>
            </w:r>
            <w:r w:rsidRPr="00BF0687">
              <w:rPr>
                <w:b/>
              </w:rPr>
              <w:t>.202</w:t>
            </w:r>
            <w:r>
              <w:rPr>
                <w:b/>
              </w:rPr>
              <w:t xml:space="preserve">4 </w:t>
            </w:r>
            <w:r w:rsidRPr="00BF0687">
              <w:rPr>
                <w:b/>
              </w:rPr>
              <w:t>r.</w:t>
            </w:r>
          </w:p>
          <w:p w14:paraId="40B17741" w14:textId="77777777" w:rsidR="002942F6" w:rsidRPr="00BF0687" w:rsidRDefault="002942F6" w:rsidP="00740CF4">
            <w:pPr>
              <w:rPr>
                <w:b/>
              </w:rPr>
            </w:pPr>
          </w:p>
          <w:p w14:paraId="7E799F80" w14:textId="77777777" w:rsidR="002942F6" w:rsidRPr="00A639C4" w:rsidRDefault="002942F6" w:rsidP="00740CF4">
            <w:pPr>
              <w:tabs>
                <w:tab w:val="center" w:pos="4536"/>
              </w:tabs>
              <w:jc w:val="both"/>
            </w:pPr>
            <w:r w:rsidRPr="00A639C4">
              <w:t>Zamawiający jest jednostką budżetową, finansowaną przez Samorząd Województwa Podkarpackiego.</w:t>
            </w:r>
          </w:p>
          <w:p w14:paraId="1AE8F261" w14:textId="77777777" w:rsidR="002942F6" w:rsidRPr="00A639C4" w:rsidRDefault="002942F6" w:rsidP="00740CF4">
            <w:pPr>
              <w:tabs>
                <w:tab w:val="center" w:pos="4536"/>
              </w:tabs>
              <w:jc w:val="both"/>
            </w:pPr>
            <w:r w:rsidRPr="00A639C4">
              <w:t xml:space="preserve">Zamawiający jako jednostka sektora finansów publicznych zawiera umowy, których przedmiotem są usługi, dostawy lub roboty budowlane, na zasadach określonych w przepisach o zamówieniach publicznych. </w:t>
            </w:r>
          </w:p>
          <w:p w14:paraId="75A736E5" w14:textId="77777777" w:rsidR="002942F6" w:rsidRPr="00A639C4" w:rsidRDefault="002942F6" w:rsidP="00740CF4">
            <w:pPr>
              <w:tabs>
                <w:tab w:val="center" w:pos="4536"/>
              </w:tabs>
              <w:jc w:val="both"/>
            </w:pPr>
            <w:r w:rsidRPr="00A639C4">
              <w:t xml:space="preserve">Podstawą gospodarki finansowej jednostki samorządu terytorialnego w danym roku budżetowym jest uchwała budżetowa. </w:t>
            </w:r>
          </w:p>
          <w:p w14:paraId="2AF1F038" w14:textId="77777777" w:rsidR="002942F6" w:rsidRPr="00A639C4" w:rsidRDefault="002942F6" w:rsidP="00740CF4">
            <w:pPr>
              <w:tabs>
                <w:tab w:val="center" w:pos="4536"/>
              </w:tabs>
              <w:jc w:val="both"/>
            </w:pPr>
            <w:r w:rsidRPr="00A639C4">
              <w:t>Zamawiający ponosi wydatki publiczne na cele i w wysokościach ustalonych w:</w:t>
            </w:r>
          </w:p>
          <w:p w14:paraId="1E996618" w14:textId="77777777" w:rsidR="002942F6" w:rsidRPr="00A639C4" w:rsidRDefault="002942F6" w:rsidP="00740CF4">
            <w:pPr>
              <w:tabs>
                <w:tab w:val="center" w:pos="4536"/>
              </w:tabs>
              <w:jc w:val="both"/>
            </w:pPr>
            <w:r w:rsidRPr="00A639C4">
              <w:t>1)</w:t>
            </w:r>
            <w:hyperlink r:id="rId8" w:anchor="/search-hypertext/17569559_art(44)_1?pit=2021-03-09" w:history="1">
              <w:r w:rsidRPr="00A639C4">
                <w:t>ustawie</w:t>
              </w:r>
            </w:hyperlink>
            <w:r w:rsidRPr="00A639C4">
              <w:t xml:space="preserve"> budżetowej;</w:t>
            </w:r>
          </w:p>
          <w:p w14:paraId="7DEE60B6" w14:textId="77777777" w:rsidR="002942F6" w:rsidRPr="00A639C4" w:rsidRDefault="002942F6" w:rsidP="00740CF4">
            <w:pPr>
              <w:tabs>
                <w:tab w:val="center" w:pos="4536"/>
              </w:tabs>
              <w:jc w:val="both"/>
            </w:pPr>
            <w:r w:rsidRPr="00A639C4">
              <w:t>2)uchwale budżetowej jednostki samorządu terytorialnego;</w:t>
            </w:r>
          </w:p>
          <w:p w14:paraId="3D011696" w14:textId="77777777" w:rsidR="002942F6" w:rsidRPr="00A639C4" w:rsidRDefault="002942F6" w:rsidP="00740CF4">
            <w:pPr>
              <w:tabs>
                <w:tab w:val="center" w:pos="4536"/>
              </w:tabs>
              <w:jc w:val="both"/>
            </w:pPr>
            <w:r w:rsidRPr="00A639C4">
              <w:t>3)planie finansowym jednostki sektora finansów publicznych.</w:t>
            </w:r>
          </w:p>
          <w:p w14:paraId="6DCC44B1" w14:textId="77777777" w:rsidR="002942F6" w:rsidRPr="00A639C4" w:rsidRDefault="002942F6" w:rsidP="00740CF4">
            <w:pPr>
              <w:tabs>
                <w:tab w:val="center" w:pos="4536"/>
              </w:tabs>
              <w:jc w:val="both"/>
            </w:pPr>
            <w:r w:rsidRPr="00A639C4">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50743016" w14:textId="77777777" w:rsidR="002942F6" w:rsidRPr="00A639C4" w:rsidRDefault="002942F6" w:rsidP="00740CF4">
            <w:pPr>
              <w:jc w:val="both"/>
            </w:pPr>
            <w:r w:rsidRPr="00A639C4">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1465AA84" w14:textId="77777777" w:rsidR="002942F6" w:rsidRPr="00A639C4" w:rsidRDefault="002942F6" w:rsidP="00740CF4">
            <w:r w:rsidRPr="00A639C4">
              <w:t xml:space="preserve">Sytuacja taka jest podyktowana min. tym, że Zamawiający prowadzi gospodarkę finansową w oparciu o zasady gospodarki budżetowej przyjętej dla jednostek samorządowych. Pomimo braku osobowości prawnej zasady te obowiązują, a podstawową zasadą jest jednoroczny budżet jednostki. </w:t>
            </w:r>
          </w:p>
          <w:p w14:paraId="1B4B3A5C" w14:textId="77777777" w:rsidR="002942F6" w:rsidRPr="00A639C4" w:rsidRDefault="002942F6" w:rsidP="00740CF4">
            <w:pPr>
              <w:tabs>
                <w:tab w:val="center" w:pos="4536"/>
              </w:tabs>
              <w:jc w:val="both"/>
            </w:pPr>
            <w:r w:rsidRPr="00A639C4">
              <w:t>W związku z faktem, że Zamawiający:</w:t>
            </w:r>
          </w:p>
          <w:p w14:paraId="300A9BF0" w14:textId="77777777" w:rsidR="002942F6" w:rsidRPr="00A639C4" w:rsidRDefault="002942F6" w:rsidP="00740CF4">
            <w:pPr>
              <w:pStyle w:val="Akapitzlist"/>
              <w:widowControl/>
              <w:numPr>
                <w:ilvl w:val="0"/>
                <w:numId w:val="29"/>
              </w:numPr>
              <w:tabs>
                <w:tab w:val="center" w:pos="4536"/>
              </w:tabs>
              <w:autoSpaceDE/>
              <w:autoSpaceDN/>
              <w:adjustRightInd/>
              <w:contextualSpacing/>
              <w:jc w:val="both"/>
            </w:pPr>
            <w:r w:rsidRPr="00A639C4">
              <w:t xml:space="preserve">realizuje gospodarkę finansową w oparciu o zasady budżetu rocznego które obligują Kierownika Jednostki do wydatkowania środków planu finansowego na zadania realizowane w oparciu o zamówienia publiczne do końca danego </w:t>
            </w:r>
            <w:r w:rsidRPr="00A639C4">
              <w:lastRenderedPageBreak/>
              <w:t>roku budżetowego, jeśli Kierownik Jednostki nie posiada dodatkowych upoważnień od Zarządu Województwa Podkarpackiego do zaciągania zobowiązań finansowych w danym roku budżetowym obciążającym lata przyszłe;</w:t>
            </w:r>
          </w:p>
          <w:p w14:paraId="220D08BA" w14:textId="77777777" w:rsidR="002942F6" w:rsidRPr="00A639C4" w:rsidRDefault="002942F6" w:rsidP="00740CF4">
            <w:pPr>
              <w:pStyle w:val="Akapitzlist"/>
              <w:widowControl/>
              <w:numPr>
                <w:ilvl w:val="0"/>
                <w:numId w:val="29"/>
              </w:numPr>
              <w:tabs>
                <w:tab w:val="center" w:pos="4536"/>
              </w:tabs>
              <w:autoSpaceDE/>
              <w:autoSpaceDN/>
              <w:adjustRightInd/>
              <w:contextualSpacing/>
              <w:jc w:val="both"/>
            </w:pPr>
            <w:r w:rsidRPr="00A639C4">
              <w:t xml:space="preserve">jako jednostka sektora finansów publicznych może zaciągać zobowiązania do sfinansowania w danym roku do wysokości wynikającej z planu wydatków, </w:t>
            </w:r>
          </w:p>
          <w:p w14:paraId="6914866F" w14:textId="77777777" w:rsidR="002942F6" w:rsidRPr="00A639C4" w:rsidRDefault="002942F6" w:rsidP="00740CF4">
            <w:pPr>
              <w:pStyle w:val="Akapitzlist"/>
              <w:widowControl/>
              <w:numPr>
                <w:ilvl w:val="0"/>
                <w:numId w:val="29"/>
              </w:numPr>
              <w:tabs>
                <w:tab w:val="center" w:pos="4536"/>
              </w:tabs>
              <w:autoSpaceDE/>
              <w:autoSpaceDN/>
              <w:adjustRightInd/>
              <w:contextualSpacing/>
              <w:jc w:val="both"/>
            </w:pPr>
            <w:r w:rsidRPr="00A639C4">
              <w:t xml:space="preserve">nie posiada uchwały zezwalającej na zaciągnięcie zobowiązania wieloletniego </w:t>
            </w:r>
          </w:p>
          <w:p w14:paraId="5376395F" w14:textId="77777777" w:rsidR="002942F6" w:rsidRDefault="002942F6" w:rsidP="00740CF4">
            <w:pPr>
              <w:tabs>
                <w:tab w:val="center" w:pos="4536"/>
              </w:tabs>
              <w:jc w:val="both"/>
            </w:pPr>
            <w:r w:rsidRPr="00A639C4">
              <w:t xml:space="preserve">oraz mając na uwadze specyfikę przedmiotu zamówienia wskazanie daty wykonania umowy jest uzasadnione obiektywną przyczyną ( art. 436 ust. 1 Pzp).  </w:t>
            </w:r>
          </w:p>
          <w:p w14:paraId="76CCE472" w14:textId="77777777" w:rsidR="002942F6" w:rsidRDefault="002942F6" w:rsidP="00740CF4">
            <w:pPr>
              <w:tabs>
                <w:tab w:val="center" w:pos="4536"/>
              </w:tabs>
              <w:jc w:val="both"/>
            </w:pPr>
          </w:p>
          <w:p w14:paraId="02AC52D9" w14:textId="77777777" w:rsidR="002942F6" w:rsidRPr="00BD6A75" w:rsidRDefault="002942F6" w:rsidP="00740CF4">
            <w:pPr>
              <w:tabs>
                <w:tab w:val="center" w:pos="4536"/>
              </w:tabs>
              <w:jc w:val="both"/>
              <w:rPr>
                <w:b/>
                <w:bCs/>
              </w:rPr>
            </w:pPr>
            <w:r w:rsidRPr="00BD6A75">
              <w:rPr>
                <w:b/>
                <w:bCs/>
              </w:rPr>
              <w:t>Uzasadnienie:</w:t>
            </w:r>
          </w:p>
          <w:p w14:paraId="27F3138B" w14:textId="77777777" w:rsidR="002942F6" w:rsidRPr="00BD6A75" w:rsidRDefault="002942F6" w:rsidP="00740CF4">
            <w:pPr>
              <w:tabs>
                <w:tab w:val="center" w:pos="4536"/>
              </w:tabs>
              <w:jc w:val="both"/>
              <w:rPr>
                <w:b/>
                <w:bCs/>
              </w:rPr>
            </w:pPr>
          </w:p>
          <w:p w14:paraId="334184A1" w14:textId="77777777" w:rsidR="002942F6" w:rsidRPr="00BD6A75" w:rsidRDefault="002942F6" w:rsidP="00740CF4">
            <w:pPr>
              <w:tabs>
                <w:tab w:val="center" w:pos="4536"/>
              </w:tabs>
              <w:jc w:val="both"/>
            </w:pPr>
            <w:r w:rsidRPr="00BD6A75">
              <w:t>Z uwagi, iż zadanie posiada finansowane jednoroczne, przyjęty przez Zamawiającego termin realizacji jest na tyle optymalny, że pozwala na wykonanie robót w stosunkowo sprzyjających warunkach pogodowych oraz dotrzymanie terminów odbioru i rozliczenia zadania w roku 2024.</w:t>
            </w:r>
          </w:p>
          <w:p w14:paraId="7389E9C1" w14:textId="77777777" w:rsidR="002942F6" w:rsidRPr="00BD6A75" w:rsidRDefault="002942F6" w:rsidP="00740CF4">
            <w:pPr>
              <w:tabs>
                <w:tab w:val="center" w:pos="4536"/>
              </w:tabs>
              <w:jc w:val="both"/>
            </w:pPr>
            <w:r w:rsidRPr="00BD6A75">
              <w:t>Przyjęta technologia robót , wymaga by realizacja robót odbywała się w odpowiednich warunkach atmosferycznych – określonych w SST i została zakończona przed okresem zimowym.</w:t>
            </w:r>
          </w:p>
          <w:p w14:paraId="0CD98614" w14:textId="77777777" w:rsidR="002942F6" w:rsidRPr="00BD6A75" w:rsidRDefault="002942F6" w:rsidP="00740CF4">
            <w:pPr>
              <w:tabs>
                <w:tab w:val="center" w:pos="4536"/>
              </w:tabs>
              <w:jc w:val="both"/>
            </w:pPr>
          </w:p>
          <w:p w14:paraId="0FF97593" w14:textId="35F5FFB7" w:rsidR="002942F6" w:rsidRPr="00BD6A75" w:rsidRDefault="002942F6" w:rsidP="00740CF4">
            <w:pPr>
              <w:tabs>
                <w:tab w:val="center" w:pos="4536"/>
              </w:tabs>
              <w:jc w:val="both"/>
            </w:pPr>
            <w:r w:rsidRPr="00BD6A75">
              <w:t>Ponadto określenie terminu zakończenia robót w jednostkach czasowych od daty podpisania umowy jest ryzykowne i nieprzewidywalne z powodu możliwości przeciągnięcia się procedury (np. zadawanych pytań przez potencjalnych oferentów) co wygenerowałoby termin zakończenia prac w okresie zimowym lub po 2024 roku.</w:t>
            </w:r>
          </w:p>
          <w:p w14:paraId="702046BD" w14:textId="77777777" w:rsidR="002942F6" w:rsidRPr="00BD6A75" w:rsidRDefault="002942F6" w:rsidP="00740CF4">
            <w:pPr>
              <w:tabs>
                <w:tab w:val="center" w:pos="4536"/>
              </w:tabs>
              <w:jc w:val="both"/>
            </w:pPr>
          </w:p>
          <w:p w14:paraId="147FB76B" w14:textId="6B709B8E" w:rsidR="002942F6" w:rsidRPr="00BD6A75" w:rsidRDefault="002942F6" w:rsidP="00740CF4">
            <w:pPr>
              <w:tabs>
                <w:tab w:val="center" w:pos="4536"/>
              </w:tabs>
              <w:jc w:val="both"/>
            </w:pPr>
            <w:r w:rsidRPr="00BD6A75">
              <w:t xml:space="preserve">Mając na uwadze specyfikę przedmiotu zamówienia wskazanie daty wykonania umowy jest uzasadnione obiektywną przyczyną ( art. 436 ust. 1 Pzp).  </w:t>
            </w:r>
          </w:p>
          <w:p w14:paraId="14A11A98" w14:textId="6590C703" w:rsidR="002942F6" w:rsidRPr="00A639C4" w:rsidRDefault="002942F6" w:rsidP="00740CF4">
            <w:pPr>
              <w:jc w:val="both"/>
              <w:rPr>
                <w:bCs/>
              </w:rPr>
            </w:pPr>
          </w:p>
        </w:tc>
      </w:tr>
      <w:tr w:rsidR="002942F6" w:rsidRPr="00A639C4" w14:paraId="5C3DF8E2" w14:textId="77777777" w:rsidTr="00A639C4">
        <w:tc>
          <w:tcPr>
            <w:tcW w:w="1384" w:type="dxa"/>
            <w:shd w:val="clear" w:color="auto" w:fill="BFBFBF" w:themeFill="background1" w:themeFillShade="BF"/>
          </w:tcPr>
          <w:p w14:paraId="457CC753" w14:textId="2F3C5D21" w:rsidR="002942F6" w:rsidRPr="00A639C4" w:rsidRDefault="002942F6" w:rsidP="00740CF4">
            <w:pPr>
              <w:tabs>
                <w:tab w:val="left" w:pos="408"/>
              </w:tabs>
              <w:jc w:val="center"/>
              <w:rPr>
                <w:b/>
              </w:rPr>
            </w:pPr>
            <w:r w:rsidRPr="00A639C4">
              <w:rPr>
                <w:b/>
              </w:rPr>
              <w:lastRenderedPageBreak/>
              <w:t>Pkt 8.</w:t>
            </w:r>
            <w:r>
              <w:rPr>
                <w:b/>
              </w:rPr>
              <w:t>1</w:t>
            </w:r>
            <w:r w:rsidRPr="00A639C4">
              <w:rPr>
                <w:b/>
              </w:rPr>
              <w:t xml:space="preserve"> IDW</w:t>
            </w:r>
          </w:p>
        </w:tc>
        <w:tc>
          <w:tcPr>
            <w:tcW w:w="7796" w:type="dxa"/>
            <w:shd w:val="clear" w:color="auto" w:fill="BFBFBF" w:themeFill="background1" w:themeFillShade="BF"/>
          </w:tcPr>
          <w:p w14:paraId="5EF79C8F" w14:textId="77777777" w:rsidR="002942F6" w:rsidRPr="00A639C4" w:rsidRDefault="002942F6" w:rsidP="00740CF4">
            <w:pPr>
              <w:rPr>
                <w:b/>
                <w:bCs/>
              </w:rPr>
            </w:pPr>
            <w:r w:rsidRPr="00A639C4">
              <w:rPr>
                <w:b/>
              </w:rPr>
              <w:t xml:space="preserve">Warunki udziału w postępowaniu o udzielenie zamówienia </w:t>
            </w:r>
          </w:p>
        </w:tc>
      </w:tr>
      <w:tr w:rsidR="002942F6" w:rsidRPr="00A639C4" w14:paraId="78420147" w14:textId="77777777" w:rsidTr="00A639C4">
        <w:tc>
          <w:tcPr>
            <w:tcW w:w="1384" w:type="dxa"/>
            <w:tcBorders>
              <w:bottom w:val="single" w:sz="4" w:space="0" w:color="auto"/>
            </w:tcBorders>
            <w:shd w:val="clear" w:color="auto" w:fill="auto"/>
          </w:tcPr>
          <w:p w14:paraId="5081D543" w14:textId="77777777" w:rsidR="002942F6" w:rsidRPr="00A639C4" w:rsidRDefault="002942F6" w:rsidP="00740CF4">
            <w:pPr>
              <w:tabs>
                <w:tab w:val="left" w:pos="408"/>
              </w:tabs>
              <w:rPr>
                <w:b/>
              </w:rPr>
            </w:pPr>
          </w:p>
        </w:tc>
        <w:tc>
          <w:tcPr>
            <w:tcW w:w="7796" w:type="dxa"/>
            <w:tcBorders>
              <w:bottom w:val="single" w:sz="4" w:space="0" w:color="auto"/>
            </w:tcBorders>
            <w:shd w:val="clear" w:color="auto" w:fill="auto"/>
          </w:tcPr>
          <w:p w14:paraId="635E6477" w14:textId="77777777" w:rsidR="002942F6" w:rsidRDefault="002942F6" w:rsidP="00740CF4">
            <w:pPr>
              <w:pStyle w:val="Teksttreci0"/>
              <w:shd w:val="clear" w:color="auto" w:fill="auto"/>
              <w:spacing w:line="240" w:lineRule="auto"/>
              <w:ind w:right="20" w:firstLine="0"/>
              <w:jc w:val="both"/>
              <w:rPr>
                <w:rFonts w:ascii="Arial" w:hAnsi="Arial" w:cs="Arial"/>
                <w:sz w:val="20"/>
                <w:szCs w:val="20"/>
              </w:rPr>
            </w:pPr>
          </w:p>
          <w:p w14:paraId="519C1C55" w14:textId="1CCF9A47" w:rsidR="002942F6" w:rsidRPr="00A639C4" w:rsidRDefault="002942F6" w:rsidP="00740CF4">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14:paraId="6CF7D1B3" w14:textId="77777777" w:rsidR="002942F6" w:rsidRPr="00A639C4" w:rsidRDefault="002942F6" w:rsidP="00740CF4">
            <w:pPr>
              <w:pStyle w:val="Teksttreci0"/>
              <w:numPr>
                <w:ilvl w:val="0"/>
                <w:numId w:val="4"/>
              </w:numPr>
              <w:shd w:val="clear" w:color="auto" w:fill="auto"/>
              <w:spacing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p>
          <w:p w14:paraId="556901A0" w14:textId="77777777" w:rsidR="002942F6" w:rsidRPr="00A639C4" w:rsidRDefault="002942F6" w:rsidP="00740CF4">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432A445E" w14:textId="77777777" w:rsidR="002942F6" w:rsidRPr="00A639C4" w:rsidRDefault="002942F6" w:rsidP="00740CF4">
            <w:pPr>
              <w:pStyle w:val="Teksttreci0"/>
              <w:shd w:val="clear" w:color="auto" w:fill="auto"/>
              <w:spacing w:line="240" w:lineRule="auto"/>
              <w:ind w:left="868" w:right="20" w:firstLine="0"/>
              <w:jc w:val="both"/>
              <w:rPr>
                <w:rFonts w:ascii="Arial" w:hAnsi="Arial" w:cs="Arial"/>
                <w:sz w:val="20"/>
                <w:szCs w:val="20"/>
              </w:rPr>
            </w:pPr>
          </w:p>
          <w:p w14:paraId="4D57ABD9" w14:textId="4E17E76A" w:rsidR="002942F6" w:rsidRPr="006F3CC9" w:rsidRDefault="002942F6" w:rsidP="00740CF4">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r w:rsidRPr="006F3CC9">
              <w:rPr>
                <w:rFonts w:ascii="Arial" w:hAnsi="Arial" w:cs="Arial"/>
                <w:color w:val="FF0000"/>
                <w:sz w:val="20"/>
                <w:szCs w:val="20"/>
                <w:u w:val="single"/>
              </w:rPr>
              <w:t xml:space="preserve"> </w:t>
            </w:r>
          </w:p>
          <w:p w14:paraId="4F06644D" w14:textId="77777777" w:rsidR="002942F6" w:rsidRPr="00A639C4" w:rsidRDefault="002942F6" w:rsidP="00740CF4">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73898199" w14:textId="77777777" w:rsidR="002942F6" w:rsidRPr="00A639C4" w:rsidRDefault="002942F6" w:rsidP="00740CF4">
            <w:pPr>
              <w:pStyle w:val="Teksttreci0"/>
              <w:shd w:val="clear" w:color="auto" w:fill="auto"/>
              <w:spacing w:line="240" w:lineRule="auto"/>
              <w:ind w:left="868" w:right="20" w:firstLine="0"/>
              <w:jc w:val="both"/>
              <w:rPr>
                <w:rFonts w:ascii="Arial" w:hAnsi="Arial" w:cs="Arial"/>
                <w:sz w:val="20"/>
                <w:szCs w:val="20"/>
              </w:rPr>
            </w:pPr>
          </w:p>
          <w:p w14:paraId="7D3DD20D" w14:textId="64ACE70A" w:rsidR="002942F6" w:rsidRPr="00A639C4" w:rsidRDefault="002942F6" w:rsidP="00740CF4">
            <w:pPr>
              <w:pStyle w:val="Teksttreci0"/>
              <w:numPr>
                <w:ilvl w:val="0"/>
                <w:numId w:val="4"/>
              </w:numPr>
              <w:shd w:val="clear" w:color="auto" w:fill="auto"/>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p>
          <w:p w14:paraId="0BD7330D" w14:textId="77777777" w:rsidR="002942F6" w:rsidRPr="00A639C4" w:rsidRDefault="002942F6" w:rsidP="00740CF4">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4335C07B" w14:textId="77777777" w:rsidR="002942F6" w:rsidRPr="00A639C4" w:rsidRDefault="002942F6" w:rsidP="00740CF4">
            <w:pPr>
              <w:pStyle w:val="Teksttreci0"/>
              <w:shd w:val="clear" w:color="auto" w:fill="auto"/>
              <w:spacing w:line="240" w:lineRule="auto"/>
              <w:ind w:left="868" w:right="20" w:firstLine="0"/>
              <w:jc w:val="both"/>
              <w:rPr>
                <w:rFonts w:ascii="Arial" w:hAnsi="Arial" w:cs="Arial"/>
                <w:sz w:val="20"/>
                <w:szCs w:val="20"/>
              </w:rPr>
            </w:pPr>
          </w:p>
          <w:p w14:paraId="0025F738" w14:textId="58286956" w:rsidR="002942F6" w:rsidRPr="00A639C4" w:rsidRDefault="002942F6" w:rsidP="00740CF4">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14:paraId="681D5A4A" w14:textId="59D1E043" w:rsidR="002942F6" w:rsidRPr="00A639C4" w:rsidRDefault="002942F6" w:rsidP="00740CF4">
            <w:pPr>
              <w:pStyle w:val="Teksttreci0"/>
              <w:shd w:val="clear" w:color="auto" w:fill="auto"/>
              <w:spacing w:line="240" w:lineRule="auto"/>
              <w:ind w:right="20" w:firstLine="0"/>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sidRPr="00A639C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8363A84" w14:textId="77777777" w:rsidR="002942F6" w:rsidRPr="00A639C4" w:rsidRDefault="002942F6" w:rsidP="00740CF4">
            <w:pPr>
              <w:pStyle w:val="Teksttreci0"/>
              <w:shd w:val="clear" w:color="auto" w:fill="auto"/>
              <w:spacing w:line="240" w:lineRule="auto"/>
              <w:ind w:right="20" w:firstLine="0"/>
              <w:jc w:val="both"/>
              <w:rPr>
                <w:rFonts w:ascii="Arial" w:hAnsi="Arial" w:cs="Arial"/>
                <w:sz w:val="20"/>
                <w:szCs w:val="20"/>
              </w:rPr>
            </w:pPr>
          </w:p>
          <w:p w14:paraId="6845747F" w14:textId="6794FC17" w:rsidR="002942F6" w:rsidRPr="00A639C4" w:rsidRDefault="002942F6" w:rsidP="00740CF4">
            <w:pPr>
              <w:widowControl/>
              <w:numPr>
                <w:ilvl w:val="0"/>
                <w:numId w:val="21"/>
              </w:numPr>
              <w:tabs>
                <w:tab w:val="left" w:pos="300"/>
              </w:tabs>
              <w:ind w:left="300" w:hanging="300"/>
              <w:jc w:val="both"/>
              <w:rPr>
                <w:b/>
                <w:bCs/>
                <w:color w:val="000000"/>
              </w:rPr>
            </w:pPr>
            <w:r w:rsidRPr="00A639C4">
              <w:rPr>
                <w:b/>
                <w:bCs/>
                <w:color w:val="000000"/>
              </w:rPr>
              <w:t xml:space="preserve">Doświadczenie wykonawcy </w:t>
            </w:r>
          </w:p>
          <w:p w14:paraId="4AEE6217" w14:textId="77777777" w:rsidR="00057285" w:rsidRPr="00A253D8" w:rsidRDefault="00057285" w:rsidP="00740CF4">
            <w:pPr>
              <w:jc w:val="both"/>
              <w:rPr>
                <w:color w:val="FF0000"/>
              </w:rPr>
            </w:pPr>
            <w:r>
              <w:rPr>
                <w:color w:val="000000"/>
              </w:rPr>
              <w:t xml:space="preserve">Wykonawca spełni ten warunek udziału w postępowaniu, jeżeli wykaże, że wykonał                   </w:t>
            </w:r>
            <w:r>
              <w:rPr>
                <w:spacing w:val="-6"/>
              </w:rPr>
              <w:t xml:space="preserve">w ciągu ostatnich </w:t>
            </w:r>
            <w:r w:rsidRPr="004F5FC3">
              <w:rPr>
                <w:b/>
                <w:bCs/>
                <w:spacing w:val="-6"/>
              </w:rPr>
              <w:t>5 lat</w:t>
            </w:r>
            <w:r>
              <w:rPr>
                <w:spacing w:val="-6"/>
              </w:rPr>
              <w:t xml:space="preserve"> przed upływem terminu składania ofert (a jeżeli okres prowadzenia działalności jest krótszy – w tym okresie) </w:t>
            </w:r>
            <w:r w:rsidRPr="003C44D2">
              <w:rPr>
                <w:b/>
                <w:bCs/>
              </w:rPr>
              <w:t>min. 3 500 m</w:t>
            </w:r>
            <w:r w:rsidRPr="003C44D2">
              <w:rPr>
                <w:b/>
                <w:bCs/>
                <w:vertAlign w:val="superscript"/>
              </w:rPr>
              <w:t>2</w:t>
            </w:r>
            <w:r w:rsidRPr="003C44D2">
              <w:rPr>
                <w:b/>
                <w:bCs/>
              </w:rPr>
              <w:t xml:space="preserve"> budowy lub rozbudowy                              lub przebudowy lub remontu nawierzchni drogi publicznej/dróg publicznych zrealizowanych w technologii betonów asfaltowych</w:t>
            </w:r>
            <w:r>
              <w:t xml:space="preserve"> </w:t>
            </w:r>
            <w:r w:rsidRPr="004C58AB">
              <w:t>poparte dokumentami (dowodami) potwierdzającymi, że roboty zostały wykonane należycie (np. referencje)</w:t>
            </w:r>
          </w:p>
          <w:p w14:paraId="0A7CE238" w14:textId="77777777" w:rsidR="002942F6" w:rsidRDefault="002942F6" w:rsidP="00740CF4">
            <w:pPr>
              <w:jc w:val="both"/>
              <w:rPr>
                <w:bCs/>
              </w:rPr>
            </w:pPr>
          </w:p>
          <w:p w14:paraId="4D5CB35E" w14:textId="0F92AD05" w:rsidR="002942F6" w:rsidRPr="00BF0687" w:rsidRDefault="002942F6" w:rsidP="00740CF4">
            <w:pPr>
              <w:jc w:val="both"/>
              <w:rPr>
                <w:bCs/>
              </w:rPr>
            </w:pPr>
            <w:r w:rsidRPr="00BF0687">
              <w:rPr>
                <w:bCs/>
              </w:rPr>
              <w:t>Poprzez sformułowania „budow</w:t>
            </w:r>
            <w:r>
              <w:rPr>
                <w:bCs/>
              </w:rPr>
              <w:t>a</w:t>
            </w:r>
            <w:r w:rsidRPr="00BF0687">
              <w:rPr>
                <w:bCs/>
              </w:rPr>
              <w:t>, rozbudow</w:t>
            </w:r>
            <w:r>
              <w:rPr>
                <w:bCs/>
              </w:rPr>
              <w:t>a</w:t>
            </w:r>
            <w:r w:rsidRPr="00BF0687">
              <w:rPr>
                <w:bCs/>
              </w:rPr>
              <w:t>, przebudow</w:t>
            </w:r>
            <w:r>
              <w:rPr>
                <w:bCs/>
              </w:rPr>
              <w:t>a</w:t>
            </w:r>
            <w:r w:rsidRPr="00BF0687">
              <w:rPr>
                <w:bCs/>
              </w:rPr>
              <w:t>, remont oraz dro</w:t>
            </w:r>
            <w:r>
              <w:rPr>
                <w:bCs/>
              </w:rPr>
              <w:t>ga</w:t>
            </w:r>
            <w:r w:rsidRPr="00BF0687">
              <w:rPr>
                <w:bCs/>
              </w:rPr>
              <w:t xml:space="preserve"> publiczn</w:t>
            </w:r>
            <w:r>
              <w:rPr>
                <w:bCs/>
              </w:rPr>
              <w:t>a</w:t>
            </w:r>
            <w:r w:rsidRPr="00BF0687">
              <w:rPr>
                <w:bCs/>
              </w:rPr>
              <w:t>” - Zamawiający rozumie definicje zgodne z określonymi w ustawie „prawo budowlane” i „u</w:t>
            </w:r>
            <w:r w:rsidRPr="00BF0687">
              <w:t>stawie o drogach publicznych”.</w:t>
            </w:r>
            <w:r w:rsidRPr="00BF0687">
              <w:rPr>
                <w:bCs/>
              </w:rPr>
              <w:t>.</w:t>
            </w:r>
          </w:p>
          <w:p w14:paraId="785A0C0A" w14:textId="77777777" w:rsidR="002942F6" w:rsidRPr="00BF0687" w:rsidRDefault="002942F6" w:rsidP="00740CF4">
            <w:pPr>
              <w:tabs>
                <w:tab w:val="left" w:pos="426"/>
              </w:tabs>
              <w:jc w:val="both"/>
              <w:rPr>
                <w:b/>
              </w:rPr>
            </w:pPr>
          </w:p>
          <w:p w14:paraId="318CD53E" w14:textId="77777777" w:rsidR="002942F6" w:rsidRPr="00BF0687" w:rsidRDefault="002942F6" w:rsidP="00740CF4">
            <w:pPr>
              <w:ind w:left="99"/>
              <w:jc w:val="both"/>
            </w:pPr>
            <w:r w:rsidRPr="00BF0687">
              <w:t>Zamawiający</w:t>
            </w:r>
            <w:r w:rsidRPr="00BF0687">
              <w:rPr>
                <w:b/>
              </w:rPr>
              <w:t xml:space="preserve"> </w:t>
            </w:r>
            <w:r w:rsidRPr="00BF0687">
              <w:rPr>
                <w:b/>
                <w:u w:val="single"/>
              </w:rPr>
              <w:t>nie wymaga</w:t>
            </w:r>
            <w:r w:rsidRPr="00BF0687">
              <w:rPr>
                <w:b/>
              </w:rPr>
              <w:t>,</w:t>
            </w:r>
            <w:r w:rsidRPr="00BF0687">
              <w:t xml:space="preserve"> aby </w:t>
            </w:r>
            <w:r w:rsidRPr="00BF0687">
              <w:rPr>
                <w:b/>
              </w:rPr>
              <w:t xml:space="preserve">ww. zakres </w:t>
            </w:r>
            <w:r w:rsidRPr="00BF0687">
              <w:t>był wykonany w ramach jednego zadania/ zlecenia/ zamówienia/inwestycji.</w:t>
            </w:r>
          </w:p>
          <w:p w14:paraId="02DD7DE0" w14:textId="77777777" w:rsidR="002942F6" w:rsidRPr="00BF0687" w:rsidRDefault="002942F6" w:rsidP="00740CF4">
            <w:pPr>
              <w:pStyle w:val="Teksttreci0"/>
              <w:shd w:val="clear" w:color="auto" w:fill="auto"/>
              <w:spacing w:line="240" w:lineRule="auto"/>
              <w:ind w:right="20" w:firstLine="0"/>
              <w:jc w:val="both"/>
              <w:rPr>
                <w:rFonts w:ascii="Arial" w:hAnsi="Arial" w:cs="Arial"/>
                <w:sz w:val="20"/>
                <w:szCs w:val="20"/>
              </w:rPr>
            </w:pPr>
          </w:p>
          <w:p w14:paraId="06329F65" w14:textId="77777777" w:rsidR="002942F6" w:rsidRPr="00BF0687" w:rsidRDefault="002942F6" w:rsidP="00740CF4">
            <w:pPr>
              <w:jc w:val="both"/>
              <w:rPr>
                <w:b/>
              </w:rPr>
            </w:pPr>
            <w:r w:rsidRPr="00BF0687">
              <w:rPr>
                <w:b/>
              </w:rPr>
              <w:t xml:space="preserve">Zamawiający </w:t>
            </w:r>
            <w:r w:rsidRPr="00BF0687">
              <w:rPr>
                <w:b/>
                <w:u w:val="single"/>
              </w:rPr>
              <w:t xml:space="preserve">dopuszcza </w:t>
            </w:r>
            <w:r w:rsidRPr="00BF0687">
              <w:rPr>
                <w:b/>
              </w:rPr>
              <w:t>aby ww. doświadczenie było uzyskane podczas realizacji kontraktów w systemie „zaprojektuj i wybuduj”.</w:t>
            </w:r>
          </w:p>
          <w:p w14:paraId="2EED697E" w14:textId="77777777" w:rsidR="002942F6" w:rsidRDefault="002942F6" w:rsidP="00740CF4">
            <w:pPr>
              <w:pStyle w:val="Teksttreci0"/>
              <w:shd w:val="clear" w:color="auto" w:fill="auto"/>
              <w:spacing w:line="240" w:lineRule="auto"/>
              <w:ind w:right="20" w:firstLine="0"/>
              <w:jc w:val="both"/>
              <w:rPr>
                <w:rFonts w:ascii="Arial" w:hAnsi="Arial" w:cs="Arial"/>
                <w:sz w:val="20"/>
                <w:szCs w:val="20"/>
              </w:rPr>
            </w:pPr>
          </w:p>
          <w:p w14:paraId="2A30EB35" w14:textId="74C0A5DE" w:rsidR="002942F6" w:rsidRPr="00A639C4" w:rsidRDefault="002942F6" w:rsidP="00740CF4">
            <w:pPr>
              <w:widowControl/>
              <w:numPr>
                <w:ilvl w:val="0"/>
                <w:numId w:val="21"/>
              </w:numPr>
              <w:tabs>
                <w:tab w:val="right" w:pos="284"/>
                <w:tab w:val="left" w:pos="400"/>
              </w:tabs>
              <w:ind w:left="300" w:hanging="400"/>
              <w:jc w:val="both"/>
              <w:rPr>
                <w:b/>
                <w:bCs/>
                <w:color w:val="000000"/>
              </w:rPr>
            </w:pPr>
            <w:r w:rsidRPr="00A639C4">
              <w:rPr>
                <w:b/>
                <w:bCs/>
                <w:color w:val="000000"/>
              </w:rPr>
              <w:t>Kwalifikacje zawodowe i doświadczenie osób skierowanych przez wykonawcę do realizacji zamówienia</w:t>
            </w:r>
          </w:p>
          <w:p w14:paraId="31BC06CE" w14:textId="28FFE14F" w:rsidR="002942F6" w:rsidRPr="00A639C4" w:rsidRDefault="002942F6" w:rsidP="00740CF4">
            <w:pPr>
              <w:pStyle w:val="ZLITPKTzmpktliter"/>
              <w:spacing w:line="240" w:lineRule="auto"/>
              <w:ind w:left="300" w:firstLine="0"/>
              <w:rPr>
                <w:rFonts w:ascii="Arial" w:hAnsi="Arial"/>
                <w:color w:val="000000"/>
                <w:sz w:val="20"/>
              </w:rPr>
            </w:pPr>
            <w:r w:rsidRPr="00A639C4">
              <w:rPr>
                <w:rFonts w:ascii="Arial" w:hAnsi="Arial"/>
                <w:color w:val="000000"/>
                <w:sz w:val="20"/>
              </w:rPr>
              <w:t xml:space="preserve">Wykonawca spełni ten warunek udziału w postępowaniu, jeżeli wykaże, że dysponuje </w:t>
            </w:r>
            <w:r>
              <w:rPr>
                <w:rFonts w:ascii="Arial" w:hAnsi="Arial"/>
                <w:color w:val="000000"/>
                <w:sz w:val="20"/>
              </w:rPr>
              <w:t xml:space="preserve">lub będzie dysponował </w:t>
            </w:r>
            <w:r w:rsidRPr="00A639C4">
              <w:rPr>
                <w:rFonts w:ascii="Arial" w:hAnsi="Arial"/>
                <w:color w:val="000000"/>
                <w:sz w:val="20"/>
              </w:rPr>
              <w:t>następującymi osobami:</w:t>
            </w:r>
          </w:p>
          <w:p w14:paraId="475F96BC" w14:textId="77777777" w:rsidR="002942F6" w:rsidRPr="00DA6D64" w:rsidRDefault="002942F6" w:rsidP="00740CF4">
            <w:pPr>
              <w:jc w:val="both"/>
              <w:rPr>
                <w:b/>
                <w:sz w:val="16"/>
                <w:szCs w:val="16"/>
                <w:u w:val="single"/>
              </w:rPr>
            </w:pPr>
          </w:p>
          <w:p w14:paraId="40DC3321" w14:textId="77777777" w:rsidR="002942F6" w:rsidRPr="00BF0687" w:rsidRDefault="002942F6" w:rsidP="00740CF4">
            <w:pPr>
              <w:ind w:left="284"/>
              <w:jc w:val="both"/>
              <w:rPr>
                <w:b/>
              </w:rPr>
            </w:pPr>
            <w:r w:rsidRPr="00BF0687">
              <w:rPr>
                <w:b/>
                <w:u w:val="single"/>
              </w:rPr>
              <w:t>Kierownik budowy - 1 osoba</w:t>
            </w:r>
            <w:r w:rsidRPr="00BF0687">
              <w:rPr>
                <w:b/>
              </w:rPr>
              <w:t xml:space="preserve"> </w:t>
            </w:r>
          </w:p>
          <w:p w14:paraId="5AA24198" w14:textId="77777777" w:rsidR="002942F6" w:rsidRPr="00BF0687" w:rsidRDefault="002942F6" w:rsidP="00740CF4">
            <w:pPr>
              <w:ind w:left="284"/>
              <w:jc w:val="both"/>
              <w:rPr>
                <w:b/>
              </w:rPr>
            </w:pPr>
          </w:p>
          <w:p w14:paraId="1DBB3E6F" w14:textId="77777777" w:rsidR="002942F6" w:rsidRPr="00BF0687" w:rsidRDefault="002942F6" w:rsidP="00740CF4">
            <w:pPr>
              <w:pStyle w:val="Akapitzlist"/>
              <w:ind w:left="360" w:right="3"/>
              <w:contextualSpacing/>
              <w:jc w:val="both"/>
            </w:pPr>
            <w:r w:rsidRPr="00BF0687">
              <w:rPr>
                <w:b/>
                <w:u w:val="single"/>
              </w:rPr>
              <w:t>Kwalifikacje:</w:t>
            </w:r>
          </w:p>
          <w:p w14:paraId="691339B3" w14:textId="18C8A28D" w:rsidR="002942F6" w:rsidRPr="00BF0687" w:rsidRDefault="002942F6" w:rsidP="00740CF4">
            <w:pPr>
              <w:ind w:left="360"/>
              <w:jc w:val="both"/>
              <w:rPr>
                <w:rFonts w:eastAsiaTheme="minorEastAsia"/>
              </w:rPr>
            </w:pPr>
            <w:r w:rsidRPr="00BF0687">
              <w:rPr>
                <w:rFonts w:eastAsiaTheme="minorEastAsia"/>
              </w:rPr>
              <w:t>Osoba ta musi posiadać uprawnienia budowlane w specjalności inżynieryjnej drogowej  wydane zgodnie z ustawą z dnia 07 lipca 1994r. Prawo budowlane oraz Rozporządzeniem Ministra Inwestycji i Rozwoju z dnia 29.04.2019r w sprawie przygotowania zawodowego do wykonywania samodzielnych funkcji technicznych w budownictwie, albo odpowiadające im ważne uprawnienia budowlane, które zostały wydane na podstawie wcześniej obowiązujących przepisów, które pozwalać będą na pełnienie funkcji Kierownika Budowy w zakresie niniejszego zamówienia.</w:t>
            </w:r>
          </w:p>
          <w:p w14:paraId="21996611" w14:textId="77777777" w:rsidR="002942F6" w:rsidRPr="00BF0687" w:rsidRDefault="002942F6" w:rsidP="00740CF4">
            <w:pPr>
              <w:ind w:left="360"/>
              <w:jc w:val="both"/>
              <w:rPr>
                <w:rFonts w:eastAsiaTheme="minorEastAsia"/>
              </w:rPr>
            </w:pPr>
          </w:p>
          <w:p w14:paraId="14ED4C15" w14:textId="77777777" w:rsidR="002942F6" w:rsidRPr="00BF0687" w:rsidRDefault="002942F6" w:rsidP="00740CF4">
            <w:pPr>
              <w:ind w:left="284"/>
              <w:jc w:val="both"/>
              <w:rPr>
                <w:b/>
              </w:rPr>
            </w:pPr>
            <w:r w:rsidRPr="00BF0687">
              <w:rPr>
                <w:b/>
              </w:rPr>
              <w:t>Doświadczenie:</w:t>
            </w:r>
          </w:p>
          <w:p w14:paraId="6E8C740E" w14:textId="77777777" w:rsidR="002942F6" w:rsidRPr="00BF0687" w:rsidRDefault="002942F6" w:rsidP="00740CF4">
            <w:pPr>
              <w:ind w:left="284"/>
              <w:jc w:val="both"/>
            </w:pPr>
            <w:r w:rsidRPr="00BF0687">
              <w:t xml:space="preserve">Osoba ta musi posiadać </w:t>
            </w:r>
          </w:p>
          <w:p w14:paraId="1D4D204B" w14:textId="77777777" w:rsidR="002942F6" w:rsidRPr="00BF0687" w:rsidRDefault="002942F6" w:rsidP="00740CF4">
            <w:pPr>
              <w:pStyle w:val="Akapitzlist"/>
              <w:numPr>
                <w:ilvl w:val="0"/>
                <w:numId w:val="23"/>
              </w:numPr>
              <w:jc w:val="both"/>
            </w:pPr>
            <w:r w:rsidRPr="00BF0687">
              <w:t xml:space="preserve">minimum 36 m-cy doświadczenia w pełnieniu funkcji Kierownika Budowy lub Kierownika Robót Budowlanych. </w:t>
            </w:r>
            <w:r w:rsidRPr="00BF0687">
              <w:rPr>
                <w:u w:val="single"/>
              </w:rPr>
              <w:t>Ilość lat doświadczenia należy liczyć od daty wystawienia uprawnień.</w:t>
            </w:r>
          </w:p>
          <w:p w14:paraId="146E08C9" w14:textId="77777777" w:rsidR="002942F6" w:rsidRDefault="002942F6" w:rsidP="00740CF4">
            <w:pPr>
              <w:jc w:val="both"/>
              <w:rPr>
                <w:b/>
                <w:u w:val="single"/>
              </w:rPr>
            </w:pPr>
          </w:p>
          <w:p w14:paraId="2E55B88E" w14:textId="77777777" w:rsidR="002942F6" w:rsidRPr="00A639C4" w:rsidRDefault="002942F6" w:rsidP="00740CF4">
            <w:pPr>
              <w:ind w:left="284"/>
              <w:jc w:val="both"/>
              <w:rPr>
                <w:color w:val="000000"/>
              </w:rPr>
            </w:pPr>
            <w:r w:rsidRPr="00A639C4">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374F4CCC" w14:textId="77777777" w:rsidR="002942F6" w:rsidRPr="00A639C4" w:rsidRDefault="002942F6" w:rsidP="00740CF4">
            <w:pPr>
              <w:ind w:right="3"/>
              <w:jc w:val="both"/>
              <w:rPr>
                <w:bCs/>
              </w:rPr>
            </w:pPr>
          </w:p>
        </w:tc>
      </w:tr>
      <w:tr w:rsidR="002942F6" w:rsidRPr="00A639C4" w14:paraId="1171392D" w14:textId="77777777" w:rsidTr="00A639C4">
        <w:tc>
          <w:tcPr>
            <w:tcW w:w="1384" w:type="dxa"/>
            <w:shd w:val="clear" w:color="auto" w:fill="BFBFBF" w:themeFill="background1" w:themeFillShade="BF"/>
          </w:tcPr>
          <w:p w14:paraId="1737F276" w14:textId="477871C1" w:rsidR="002942F6" w:rsidRPr="00A639C4" w:rsidRDefault="002942F6" w:rsidP="00740CF4">
            <w:pPr>
              <w:tabs>
                <w:tab w:val="left" w:pos="408"/>
              </w:tabs>
              <w:jc w:val="center"/>
              <w:rPr>
                <w:b/>
              </w:rPr>
            </w:pPr>
            <w:r w:rsidRPr="00A639C4">
              <w:rPr>
                <w:b/>
              </w:rPr>
              <w:lastRenderedPageBreak/>
              <w:t>Pkt 10.</w:t>
            </w:r>
            <w:r>
              <w:rPr>
                <w:b/>
              </w:rPr>
              <w:t>2</w:t>
            </w:r>
            <w:r w:rsidRPr="00A639C4">
              <w:rPr>
                <w:b/>
              </w:rPr>
              <w:t xml:space="preserve"> IDW</w:t>
            </w:r>
          </w:p>
        </w:tc>
        <w:tc>
          <w:tcPr>
            <w:tcW w:w="7796" w:type="dxa"/>
            <w:shd w:val="clear" w:color="auto" w:fill="BFBFBF" w:themeFill="background1" w:themeFillShade="BF"/>
          </w:tcPr>
          <w:p w14:paraId="585D6179" w14:textId="77777777" w:rsidR="002942F6" w:rsidRPr="00A639C4" w:rsidRDefault="002942F6" w:rsidP="00740CF4">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2942F6" w:rsidRPr="00A639C4" w14:paraId="6F5B374F" w14:textId="77777777" w:rsidTr="00A639C4">
        <w:tc>
          <w:tcPr>
            <w:tcW w:w="1384" w:type="dxa"/>
            <w:tcBorders>
              <w:bottom w:val="single" w:sz="4" w:space="0" w:color="auto"/>
            </w:tcBorders>
            <w:shd w:val="clear" w:color="auto" w:fill="auto"/>
          </w:tcPr>
          <w:p w14:paraId="3FAB1B23" w14:textId="77777777" w:rsidR="002942F6" w:rsidRPr="00A639C4" w:rsidRDefault="002942F6" w:rsidP="00740CF4">
            <w:pPr>
              <w:tabs>
                <w:tab w:val="left" w:pos="408"/>
              </w:tabs>
              <w:jc w:val="center"/>
              <w:rPr>
                <w:b/>
              </w:rPr>
            </w:pPr>
          </w:p>
        </w:tc>
        <w:tc>
          <w:tcPr>
            <w:tcW w:w="7796" w:type="dxa"/>
            <w:tcBorders>
              <w:bottom w:val="single" w:sz="4" w:space="0" w:color="auto"/>
            </w:tcBorders>
            <w:shd w:val="clear" w:color="auto" w:fill="auto"/>
          </w:tcPr>
          <w:p w14:paraId="215DE801" w14:textId="77777777" w:rsidR="002942F6" w:rsidRPr="00A639C4" w:rsidRDefault="002942F6" w:rsidP="00740CF4">
            <w:pPr>
              <w:jc w:val="both"/>
            </w:pPr>
          </w:p>
          <w:p w14:paraId="223CD280" w14:textId="79BF00FE" w:rsidR="002942F6" w:rsidRPr="00A639C4" w:rsidRDefault="002942F6" w:rsidP="00740CF4">
            <w:pPr>
              <w:jc w:val="both"/>
            </w:pPr>
            <w:r w:rsidRPr="00A639C4">
              <w:t xml:space="preserve">Na podstawie art. 125 ust. 1 Pzp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1264489A" w14:textId="672EA235" w:rsidR="002942F6" w:rsidRPr="00A639C4" w:rsidRDefault="002942F6" w:rsidP="00740CF4">
            <w:pPr>
              <w:widowControl/>
              <w:autoSpaceDE/>
              <w:autoSpaceDN/>
              <w:adjustRightInd/>
              <w:jc w:val="both"/>
            </w:pPr>
            <w:r w:rsidRPr="00A639C4">
              <w:t xml:space="preserve">- aktualne na dzień składania ofert oświadczenie o spełnianiu warunków udziału w postępowaniu oraz o braku podstaw do wykluczenia z postępowania (art. 125 ust. 1 Pzp)– zgodnie z </w:t>
            </w:r>
            <w:r w:rsidRPr="00A639C4">
              <w:rPr>
                <w:b/>
              </w:rPr>
              <w:t>Załącznikiem do SWZ.</w:t>
            </w:r>
          </w:p>
          <w:p w14:paraId="420F2AE8" w14:textId="77777777" w:rsidR="002942F6" w:rsidRDefault="002942F6" w:rsidP="00740CF4">
            <w:pPr>
              <w:jc w:val="both"/>
            </w:pPr>
          </w:p>
          <w:p w14:paraId="02300E88" w14:textId="77777777" w:rsidR="00740CF4" w:rsidRPr="00A639C4" w:rsidRDefault="00740CF4" w:rsidP="00740CF4">
            <w:pPr>
              <w:jc w:val="both"/>
            </w:pPr>
          </w:p>
          <w:p w14:paraId="5AEDD973" w14:textId="2E930664" w:rsidR="002942F6" w:rsidRDefault="002942F6" w:rsidP="00740CF4">
            <w:pPr>
              <w:jc w:val="both"/>
              <w:rPr>
                <w:u w:val="single"/>
              </w:rPr>
            </w:pPr>
            <w:r w:rsidRPr="00A639C4">
              <w:lastRenderedPageBreak/>
              <w:t xml:space="preserve">Na podstawie art. 273 ust 1pkt  2 Pzp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0ED5B80E" w14:textId="77777777" w:rsidR="002942F6" w:rsidRPr="00A639C4" w:rsidRDefault="002942F6" w:rsidP="00740CF4">
            <w:pPr>
              <w:jc w:val="both"/>
            </w:pPr>
          </w:p>
          <w:p w14:paraId="54B697F2" w14:textId="61A3315A" w:rsidR="002942F6" w:rsidRPr="00A07A6F" w:rsidRDefault="002942F6" w:rsidP="00740CF4">
            <w:pPr>
              <w:pStyle w:val="Akapitzlist"/>
              <w:widowControl/>
              <w:numPr>
                <w:ilvl w:val="0"/>
                <w:numId w:val="12"/>
              </w:numPr>
              <w:autoSpaceDE/>
              <w:autoSpaceDN/>
              <w:adjustRightInd/>
              <w:ind w:left="454"/>
              <w:jc w:val="both"/>
              <w:rPr>
                <w:b/>
                <w:u w:val="single"/>
              </w:rPr>
            </w:pPr>
            <w:r w:rsidRPr="00A639C4">
              <w:rPr>
                <w:b/>
              </w:rPr>
              <w:t xml:space="preserve">wykaz robót budowlanych </w:t>
            </w:r>
            <w:r w:rsidRPr="00A639C4">
              <w:t xml:space="preserve">wykonanych nie wcześniej niż w </w:t>
            </w:r>
            <w:r w:rsidRPr="00A639C4">
              <w:rPr>
                <w:b/>
              </w:rPr>
              <w:t xml:space="preserve">okresie ostatnich </w:t>
            </w:r>
            <w:r>
              <w:rPr>
                <w:b/>
              </w:rPr>
              <w:t>5</w:t>
            </w:r>
            <w:r w:rsidRPr="00A639C4">
              <w:rPr>
                <w:b/>
              </w:rPr>
              <w:t xml:space="preserve"> lat</w:t>
            </w:r>
            <w:r w:rsidRPr="00A639C4">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59DFE96E" w14:textId="77777777" w:rsidR="002942F6" w:rsidRPr="00A639C4" w:rsidRDefault="002942F6" w:rsidP="00740CF4">
            <w:pPr>
              <w:pStyle w:val="Akapitzlist"/>
              <w:widowControl/>
              <w:autoSpaceDE/>
              <w:autoSpaceDN/>
              <w:adjustRightInd/>
              <w:ind w:left="454"/>
              <w:jc w:val="both"/>
              <w:rPr>
                <w:b/>
                <w:u w:val="single"/>
              </w:rPr>
            </w:pPr>
          </w:p>
          <w:p w14:paraId="06C3C43F" w14:textId="4CA9372A" w:rsidR="002942F6" w:rsidRPr="00A639C4" w:rsidRDefault="002942F6" w:rsidP="00740CF4">
            <w:pPr>
              <w:pStyle w:val="Akapitzlist"/>
              <w:widowControl/>
              <w:numPr>
                <w:ilvl w:val="0"/>
                <w:numId w:val="12"/>
              </w:numPr>
              <w:autoSpaceDE/>
              <w:autoSpaceDN/>
              <w:adjustRightInd/>
              <w:ind w:left="454" w:hanging="357"/>
              <w:jc w:val="both"/>
              <w:rPr>
                <w:b/>
                <w:u w:val="single"/>
              </w:rPr>
            </w:pPr>
            <w:r w:rsidRPr="00A639C4">
              <w:rPr>
                <w:b/>
              </w:rPr>
              <w:t>wykaz osób</w:t>
            </w:r>
            <w:r w:rsidRPr="00A639C4">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8ABE302" w14:textId="77777777" w:rsidR="002942F6" w:rsidRPr="00A639C4" w:rsidRDefault="002942F6" w:rsidP="00740CF4">
            <w:pPr>
              <w:jc w:val="both"/>
            </w:pPr>
          </w:p>
          <w:p w14:paraId="07A30C5F" w14:textId="77777777" w:rsidR="002942F6" w:rsidRDefault="002942F6" w:rsidP="00740CF4">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12B62E90" w:rsidR="002942F6" w:rsidRPr="009D5364" w:rsidRDefault="002942F6" w:rsidP="00740CF4">
            <w:pPr>
              <w:jc w:val="both"/>
            </w:pPr>
          </w:p>
        </w:tc>
      </w:tr>
      <w:tr w:rsidR="002942F6" w:rsidRPr="00A639C4" w14:paraId="00C6F274" w14:textId="77777777" w:rsidTr="00A639C4">
        <w:tc>
          <w:tcPr>
            <w:tcW w:w="1384" w:type="dxa"/>
            <w:shd w:val="clear" w:color="auto" w:fill="BFBFBF" w:themeFill="background1" w:themeFillShade="BF"/>
          </w:tcPr>
          <w:p w14:paraId="03B16A36" w14:textId="38617079" w:rsidR="002942F6" w:rsidRPr="00A639C4" w:rsidRDefault="002942F6" w:rsidP="00740CF4">
            <w:pPr>
              <w:tabs>
                <w:tab w:val="left" w:pos="408"/>
              </w:tabs>
              <w:jc w:val="center"/>
              <w:rPr>
                <w:b/>
              </w:rPr>
            </w:pPr>
            <w:r>
              <w:rPr>
                <w:b/>
              </w:rPr>
              <w:lastRenderedPageBreak/>
              <w:t>Pkt 9.2</w:t>
            </w:r>
          </w:p>
        </w:tc>
        <w:tc>
          <w:tcPr>
            <w:tcW w:w="7796" w:type="dxa"/>
            <w:shd w:val="clear" w:color="auto" w:fill="BFBFBF" w:themeFill="background1" w:themeFillShade="BF"/>
          </w:tcPr>
          <w:p w14:paraId="484456E9" w14:textId="06D45ECA" w:rsidR="002942F6" w:rsidRPr="00A639C4" w:rsidRDefault="002942F6" w:rsidP="00740CF4">
            <w:pPr>
              <w:rPr>
                <w:b/>
              </w:rPr>
            </w:pPr>
            <w:r>
              <w:rPr>
                <w:b/>
              </w:rPr>
              <w:t>Fakultatywne p</w:t>
            </w:r>
            <w:r w:rsidRPr="00B44348">
              <w:rPr>
                <w:b/>
              </w:rPr>
              <w:t>odstawy wykluczenia z postępowania</w:t>
            </w:r>
          </w:p>
        </w:tc>
      </w:tr>
      <w:tr w:rsidR="002942F6" w:rsidRPr="00A639C4" w14:paraId="1B9DF83D" w14:textId="77777777" w:rsidTr="00B44348">
        <w:tc>
          <w:tcPr>
            <w:tcW w:w="1384" w:type="dxa"/>
            <w:shd w:val="clear" w:color="auto" w:fill="auto"/>
          </w:tcPr>
          <w:p w14:paraId="6242F48B" w14:textId="77777777" w:rsidR="002942F6" w:rsidRPr="00A639C4" w:rsidRDefault="002942F6" w:rsidP="00740CF4">
            <w:pPr>
              <w:tabs>
                <w:tab w:val="left" w:pos="408"/>
              </w:tabs>
              <w:jc w:val="center"/>
              <w:rPr>
                <w:b/>
              </w:rPr>
            </w:pPr>
          </w:p>
        </w:tc>
        <w:tc>
          <w:tcPr>
            <w:tcW w:w="7796" w:type="dxa"/>
            <w:shd w:val="clear" w:color="auto" w:fill="auto"/>
          </w:tcPr>
          <w:p w14:paraId="5B02A2AC" w14:textId="77777777" w:rsidR="002942F6" w:rsidRDefault="002942F6" w:rsidP="00740CF4">
            <w:pPr>
              <w:pStyle w:val="Teksttreci0"/>
              <w:shd w:val="clear" w:color="auto" w:fill="auto"/>
              <w:spacing w:line="240" w:lineRule="auto"/>
              <w:ind w:firstLine="0"/>
              <w:jc w:val="both"/>
              <w:rPr>
                <w:rFonts w:ascii="Arial" w:hAnsi="Arial" w:cs="Arial"/>
                <w:sz w:val="20"/>
                <w:highlight w:val="red"/>
              </w:rPr>
            </w:pPr>
          </w:p>
          <w:p w14:paraId="5D8D63FE" w14:textId="71F73EB6" w:rsidR="002942F6" w:rsidRPr="00AF6CDE" w:rsidRDefault="002942F6" w:rsidP="00740CF4">
            <w:pPr>
              <w:pStyle w:val="Teksttreci0"/>
              <w:shd w:val="clear" w:color="auto" w:fill="auto"/>
              <w:spacing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fakultatywnych przesłanek wykluczenia o których mowa w art. 109 ust.1 Pzp</w:t>
            </w:r>
            <w:r>
              <w:rPr>
                <w:rFonts w:ascii="Arial" w:hAnsi="Arial" w:cs="Arial"/>
                <w:sz w:val="20"/>
              </w:rPr>
              <w:t>.</w:t>
            </w:r>
          </w:p>
          <w:p w14:paraId="3DAC71FE" w14:textId="77777777" w:rsidR="002942F6" w:rsidRPr="00A639C4" w:rsidRDefault="002942F6" w:rsidP="00740CF4">
            <w:pPr>
              <w:pStyle w:val="Teksttreci0"/>
              <w:shd w:val="clear" w:color="auto" w:fill="auto"/>
              <w:spacing w:line="240" w:lineRule="auto"/>
              <w:ind w:firstLine="0"/>
              <w:jc w:val="both"/>
              <w:rPr>
                <w:b/>
              </w:rPr>
            </w:pPr>
          </w:p>
        </w:tc>
      </w:tr>
      <w:tr w:rsidR="002942F6" w:rsidRPr="00A639C4" w14:paraId="2B961039" w14:textId="77777777" w:rsidTr="00A639C4">
        <w:tc>
          <w:tcPr>
            <w:tcW w:w="1384" w:type="dxa"/>
            <w:shd w:val="clear" w:color="auto" w:fill="BFBFBF" w:themeFill="background1" w:themeFillShade="BF"/>
          </w:tcPr>
          <w:p w14:paraId="1965C385" w14:textId="77777777" w:rsidR="002942F6" w:rsidRPr="00A639C4" w:rsidRDefault="002942F6" w:rsidP="00740CF4">
            <w:pPr>
              <w:tabs>
                <w:tab w:val="left" w:pos="408"/>
              </w:tabs>
              <w:jc w:val="center"/>
              <w:rPr>
                <w:b/>
              </w:rPr>
            </w:pPr>
            <w:r w:rsidRPr="00A639C4">
              <w:rPr>
                <w:b/>
              </w:rPr>
              <w:t>Pkt 11.1 IDW</w:t>
            </w:r>
          </w:p>
        </w:tc>
        <w:tc>
          <w:tcPr>
            <w:tcW w:w="7796" w:type="dxa"/>
            <w:shd w:val="clear" w:color="auto" w:fill="BFBFBF" w:themeFill="background1" w:themeFillShade="BF"/>
          </w:tcPr>
          <w:p w14:paraId="5C4A5B1B" w14:textId="013F7879" w:rsidR="002942F6" w:rsidRPr="00A639C4" w:rsidRDefault="002942F6" w:rsidP="00740CF4">
            <w:pPr>
              <w:rPr>
                <w:b/>
                <w:bCs/>
                <w:color w:val="000000"/>
              </w:rPr>
            </w:pPr>
            <w:r w:rsidRPr="00A639C4">
              <w:rPr>
                <w:b/>
              </w:rPr>
              <w:t>Przedmiotowe środki dowodowe</w:t>
            </w:r>
          </w:p>
        </w:tc>
      </w:tr>
      <w:tr w:rsidR="002942F6" w:rsidRPr="00A639C4" w14:paraId="26BD9609" w14:textId="77777777" w:rsidTr="00A639C4">
        <w:tc>
          <w:tcPr>
            <w:tcW w:w="1384" w:type="dxa"/>
            <w:tcBorders>
              <w:bottom w:val="single" w:sz="4" w:space="0" w:color="auto"/>
            </w:tcBorders>
            <w:shd w:val="clear" w:color="auto" w:fill="auto"/>
          </w:tcPr>
          <w:p w14:paraId="36F92663" w14:textId="77777777" w:rsidR="002942F6" w:rsidRPr="00A639C4" w:rsidRDefault="002942F6" w:rsidP="00740CF4">
            <w:pPr>
              <w:tabs>
                <w:tab w:val="left" w:pos="408"/>
              </w:tabs>
              <w:jc w:val="center"/>
              <w:rPr>
                <w:b/>
              </w:rPr>
            </w:pPr>
          </w:p>
        </w:tc>
        <w:tc>
          <w:tcPr>
            <w:tcW w:w="7796" w:type="dxa"/>
            <w:tcBorders>
              <w:bottom w:val="single" w:sz="4" w:space="0" w:color="auto"/>
            </w:tcBorders>
            <w:shd w:val="clear" w:color="auto" w:fill="auto"/>
          </w:tcPr>
          <w:p w14:paraId="601CFB2C" w14:textId="77777777" w:rsidR="002942F6" w:rsidRDefault="002942F6" w:rsidP="00740CF4">
            <w:pPr>
              <w:jc w:val="both"/>
            </w:pPr>
          </w:p>
          <w:p w14:paraId="32806334" w14:textId="69398E82" w:rsidR="002942F6" w:rsidRPr="00BF0687" w:rsidRDefault="002942F6" w:rsidP="00740CF4">
            <w:pPr>
              <w:jc w:val="both"/>
            </w:pPr>
            <w:r w:rsidRPr="00BF0687">
              <w:t xml:space="preserve">Zamawiający </w:t>
            </w:r>
            <w:r w:rsidRPr="00BF0687">
              <w:rPr>
                <w:b/>
                <w:u w:val="single"/>
              </w:rPr>
              <w:t>nie przewiduje</w:t>
            </w:r>
            <w:r w:rsidRPr="00BF0687">
              <w:t xml:space="preserve"> wprowadzenia przedmiotowych środków dowodowych  </w:t>
            </w:r>
          </w:p>
          <w:p w14:paraId="0244DC21" w14:textId="77777777" w:rsidR="002942F6" w:rsidRPr="00A639C4" w:rsidRDefault="002942F6" w:rsidP="00740CF4">
            <w:pPr>
              <w:ind w:left="360"/>
              <w:jc w:val="center"/>
              <w:rPr>
                <w:b/>
              </w:rPr>
            </w:pPr>
          </w:p>
        </w:tc>
      </w:tr>
      <w:tr w:rsidR="002942F6" w:rsidRPr="00A639C4" w14:paraId="773C9F96" w14:textId="77777777" w:rsidTr="00A639C4">
        <w:tc>
          <w:tcPr>
            <w:tcW w:w="1384" w:type="dxa"/>
            <w:shd w:val="clear" w:color="auto" w:fill="BFBFBF" w:themeFill="background1" w:themeFillShade="BF"/>
          </w:tcPr>
          <w:p w14:paraId="5231AC04" w14:textId="77777777" w:rsidR="002942F6" w:rsidRPr="00A639C4" w:rsidRDefault="002942F6" w:rsidP="00740CF4">
            <w:pPr>
              <w:tabs>
                <w:tab w:val="left" w:pos="408"/>
              </w:tabs>
              <w:jc w:val="center"/>
              <w:rPr>
                <w:b/>
              </w:rPr>
            </w:pPr>
            <w:r w:rsidRPr="00A639C4">
              <w:rPr>
                <w:b/>
              </w:rPr>
              <w:t>Pkt 15.6 IDW</w:t>
            </w:r>
          </w:p>
        </w:tc>
        <w:tc>
          <w:tcPr>
            <w:tcW w:w="7796" w:type="dxa"/>
            <w:shd w:val="clear" w:color="auto" w:fill="BFBFBF" w:themeFill="background1" w:themeFillShade="BF"/>
          </w:tcPr>
          <w:p w14:paraId="56A0F0A4" w14:textId="77777777" w:rsidR="002942F6" w:rsidRPr="00A639C4" w:rsidRDefault="002942F6" w:rsidP="00740CF4">
            <w:pPr>
              <w:tabs>
                <w:tab w:val="left" w:pos="408"/>
              </w:tabs>
              <w:rPr>
                <w:b/>
              </w:rPr>
            </w:pPr>
            <w:r w:rsidRPr="00A639C4">
              <w:rPr>
                <w:b/>
              </w:rPr>
              <w:t>Opis sposobu przygotowania ofert oraz wymagania formalne dotyczące składanych oświadczeń i dokumentów</w:t>
            </w:r>
          </w:p>
        </w:tc>
      </w:tr>
      <w:tr w:rsidR="002942F6" w:rsidRPr="00A639C4" w14:paraId="1FDBEECD" w14:textId="77777777" w:rsidTr="00A639C4">
        <w:tc>
          <w:tcPr>
            <w:tcW w:w="1384" w:type="dxa"/>
            <w:tcBorders>
              <w:bottom w:val="single" w:sz="4" w:space="0" w:color="auto"/>
            </w:tcBorders>
            <w:shd w:val="clear" w:color="auto" w:fill="auto"/>
          </w:tcPr>
          <w:p w14:paraId="6BC33FCA" w14:textId="77777777" w:rsidR="002942F6" w:rsidRPr="00A639C4" w:rsidRDefault="002942F6" w:rsidP="00740CF4">
            <w:pPr>
              <w:tabs>
                <w:tab w:val="left" w:pos="408"/>
              </w:tabs>
              <w:jc w:val="center"/>
              <w:rPr>
                <w:b/>
              </w:rPr>
            </w:pPr>
          </w:p>
        </w:tc>
        <w:tc>
          <w:tcPr>
            <w:tcW w:w="7796" w:type="dxa"/>
            <w:tcBorders>
              <w:bottom w:val="single" w:sz="4" w:space="0" w:color="auto"/>
            </w:tcBorders>
            <w:shd w:val="clear" w:color="auto" w:fill="auto"/>
          </w:tcPr>
          <w:p w14:paraId="3C7323CA" w14:textId="77777777" w:rsidR="002942F6" w:rsidRPr="00A639C4" w:rsidRDefault="002942F6" w:rsidP="00740CF4">
            <w:pPr>
              <w:jc w:val="both"/>
              <w:rPr>
                <w:b/>
                <w:color w:val="000000"/>
                <w:u w:val="single"/>
              </w:rPr>
            </w:pPr>
            <w:r w:rsidRPr="00A639C4">
              <w:rPr>
                <w:b/>
                <w:color w:val="000000"/>
                <w:u w:val="single"/>
              </w:rPr>
              <w:t>Wykonawca wraz z ofertą jest zobowiązany złożyć:</w:t>
            </w:r>
          </w:p>
          <w:p w14:paraId="2830DC85" w14:textId="77777777" w:rsidR="002942F6" w:rsidRPr="00A639C4" w:rsidRDefault="002942F6" w:rsidP="00740CF4">
            <w:pPr>
              <w:jc w:val="both"/>
              <w:rPr>
                <w:color w:val="000000"/>
              </w:rPr>
            </w:pPr>
          </w:p>
          <w:p w14:paraId="3B0E6BB4" w14:textId="77777777" w:rsidR="002942F6" w:rsidRPr="00BF0687" w:rsidRDefault="002942F6" w:rsidP="00740CF4">
            <w:pPr>
              <w:pStyle w:val="Akapitzlist"/>
              <w:numPr>
                <w:ilvl w:val="0"/>
                <w:numId w:val="18"/>
              </w:numPr>
              <w:jc w:val="both"/>
            </w:pPr>
            <w:r w:rsidRPr="00BF0687">
              <w:t>oświadczenie o niepodleganiu wykluczeniu;</w:t>
            </w:r>
          </w:p>
          <w:p w14:paraId="3346A69E" w14:textId="77777777" w:rsidR="002942F6" w:rsidRPr="00BF0687" w:rsidRDefault="002942F6" w:rsidP="00740CF4">
            <w:pPr>
              <w:pStyle w:val="Akapitzlist"/>
              <w:numPr>
                <w:ilvl w:val="0"/>
                <w:numId w:val="18"/>
              </w:numPr>
              <w:jc w:val="both"/>
            </w:pPr>
            <w:r w:rsidRPr="00BF0687">
              <w:t>oświadczenie o spełnianiu warunków udziału w postępowaniu (o którym mowa w art. 125 ust. 2 Pzp);</w:t>
            </w:r>
          </w:p>
          <w:p w14:paraId="3872C727" w14:textId="77777777" w:rsidR="002942F6" w:rsidRPr="00BF0687" w:rsidRDefault="002942F6" w:rsidP="00740CF4">
            <w:pPr>
              <w:pStyle w:val="Akapitzlist"/>
              <w:numPr>
                <w:ilvl w:val="0"/>
                <w:numId w:val="18"/>
              </w:numPr>
              <w:jc w:val="both"/>
            </w:pPr>
            <w:r w:rsidRPr="00BF0687">
              <w:t>kosztorys ofertowy;</w:t>
            </w:r>
          </w:p>
          <w:p w14:paraId="264EEF26" w14:textId="77777777" w:rsidR="002942F6" w:rsidRPr="00BF0687" w:rsidRDefault="002942F6" w:rsidP="00740CF4">
            <w:pPr>
              <w:pStyle w:val="Akapitzlist"/>
              <w:numPr>
                <w:ilvl w:val="0"/>
                <w:numId w:val="18"/>
              </w:numPr>
              <w:jc w:val="both"/>
            </w:pPr>
            <w:r w:rsidRPr="00BF0687">
              <w:t>dowód wniesienia wadium;</w:t>
            </w:r>
          </w:p>
          <w:p w14:paraId="3D393F53" w14:textId="77777777" w:rsidR="002942F6" w:rsidRPr="00BF0687" w:rsidRDefault="002942F6" w:rsidP="00740CF4">
            <w:pPr>
              <w:pStyle w:val="Akapitzlist"/>
              <w:numPr>
                <w:ilvl w:val="0"/>
                <w:numId w:val="18"/>
              </w:numPr>
              <w:jc w:val="both"/>
            </w:pPr>
            <w:r w:rsidRPr="00BF0687">
              <w:t>zobowiązanie innego podmiotu, o którym mowa w SWZ (jeżeli dotyczy);</w:t>
            </w:r>
          </w:p>
          <w:p w14:paraId="583F27AC" w14:textId="77777777" w:rsidR="002942F6" w:rsidRPr="00BF0687" w:rsidRDefault="002942F6" w:rsidP="00740CF4">
            <w:pPr>
              <w:pStyle w:val="Akapitzlist"/>
              <w:numPr>
                <w:ilvl w:val="0"/>
                <w:numId w:val="18"/>
              </w:numPr>
              <w:jc w:val="both"/>
            </w:pPr>
            <w:r w:rsidRPr="00BF0687">
              <w:t>dokumenty, z których wynika prawo do podpisania oferty; odpowiednie pełnomocnictwa (jeżeli dotyczy);</w:t>
            </w:r>
          </w:p>
          <w:p w14:paraId="5E3CB745" w14:textId="2A992CD6" w:rsidR="002942F6" w:rsidRPr="00BF0687" w:rsidRDefault="002942F6" w:rsidP="00740CF4">
            <w:pPr>
              <w:pStyle w:val="Akapitzlist"/>
              <w:numPr>
                <w:ilvl w:val="0"/>
                <w:numId w:val="18"/>
              </w:numPr>
              <w:jc w:val="both"/>
            </w:pPr>
            <w:r w:rsidRPr="00BF0687">
              <w:t>oświadczenie na podstawie art. 117 ust. 4 (jeżeli dotyczy tj. Konsorcja, Spółki cywilne)</w:t>
            </w:r>
          </w:p>
          <w:p w14:paraId="034A5122" w14:textId="77777777" w:rsidR="002942F6" w:rsidRDefault="002942F6" w:rsidP="00740CF4">
            <w:pPr>
              <w:tabs>
                <w:tab w:val="left" w:pos="408"/>
              </w:tabs>
              <w:ind w:left="360"/>
              <w:rPr>
                <w:b/>
              </w:rPr>
            </w:pPr>
          </w:p>
          <w:p w14:paraId="77364F57" w14:textId="77777777" w:rsidR="00740CF4" w:rsidRDefault="00740CF4" w:rsidP="00740CF4">
            <w:pPr>
              <w:tabs>
                <w:tab w:val="left" w:pos="408"/>
              </w:tabs>
              <w:ind w:left="360"/>
              <w:rPr>
                <w:b/>
              </w:rPr>
            </w:pPr>
          </w:p>
          <w:p w14:paraId="738C6757" w14:textId="77777777" w:rsidR="00740CF4" w:rsidRDefault="00740CF4" w:rsidP="00740CF4">
            <w:pPr>
              <w:tabs>
                <w:tab w:val="left" w:pos="408"/>
              </w:tabs>
              <w:ind w:left="360"/>
              <w:rPr>
                <w:b/>
              </w:rPr>
            </w:pPr>
          </w:p>
          <w:p w14:paraId="7F7AAA15" w14:textId="77777777" w:rsidR="00740CF4" w:rsidRPr="00A639C4" w:rsidRDefault="00740CF4" w:rsidP="00740CF4">
            <w:pPr>
              <w:tabs>
                <w:tab w:val="left" w:pos="408"/>
              </w:tabs>
              <w:ind w:left="360"/>
              <w:rPr>
                <w:b/>
              </w:rPr>
            </w:pPr>
          </w:p>
        </w:tc>
      </w:tr>
      <w:tr w:rsidR="002942F6" w:rsidRPr="00A639C4" w14:paraId="62B183E8" w14:textId="77777777" w:rsidTr="00A639C4">
        <w:tc>
          <w:tcPr>
            <w:tcW w:w="1384" w:type="dxa"/>
            <w:shd w:val="clear" w:color="auto" w:fill="BFBFBF" w:themeFill="background1" w:themeFillShade="BF"/>
          </w:tcPr>
          <w:p w14:paraId="5364FC06" w14:textId="77777777" w:rsidR="002942F6" w:rsidRPr="00A639C4" w:rsidRDefault="002942F6" w:rsidP="00740CF4">
            <w:pPr>
              <w:tabs>
                <w:tab w:val="left" w:pos="408"/>
              </w:tabs>
              <w:jc w:val="center"/>
              <w:rPr>
                <w:b/>
              </w:rPr>
            </w:pPr>
            <w:r w:rsidRPr="00A639C4">
              <w:rPr>
                <w:b/>
              </w:rPr>
              <w:lastRenderedPageBreak/>
              <w:t>Pkt 17.1 IDW</w:t>
            </w:r>
          </w:p>
        </w:tc>
        <w:tc>
          <w:tcPr>
            <w:tcW w:w="7796" w:type="dxa"/>
            <w:shd w:val="clear" w:color="auto" w:fill="BFBFBF" w:themeFill="background1" w:themeFillShade="BF"/>
          </w:tcPr>
          <w:p w14:paraId="05DF4D9F" w14:textId="70FBCA70" w:rsidR="002942F6" w:rsidRPr="00A639C4" w:rsidRDefault="002942F6" w:rsidP="00740CF4">
            <w:pPr>
              <w:rPr>
                <w:b/>
              </w:rPr>
            </w:pPr>
            <w:r w:rsidRPr="00A639C4">
              <w:rPr>
                <w:b/>
              </w:rPr>
              <w:t>Wymagania dotyczące wadium</w:t>
            </w:r>
          </w:p>
        </w:tc>
      </w:tr>
      <w:tr w:rsidR="002942F6" w:rsidRPr="00A639C4" w14:paraId="43ADAD82" w14:textId="77777777" w:rsidTr="00A639C4">
        <w:tc>
          <w:tcPr>
            <w:tcW w:w="1384" w:type="dxa"/>
            <w:tcBorders>
              <w:bottom w:val="single" w:sz="4" w:space="0" w:color="auto"/>
            </w:tcBorders>
            <w:shd w:val="clear" w:color="auto" w:fill="auto"/>
          </w:tcPr>
          <w:p w14:paraId="4F1E4F7F" w14:textId="77777777" w:rsidR="002942F6" w:rsidRPr="00A639C4" w:rsidRDefault="002942F6" w:rsidP="00740CF4">
            <w:pPr>
              <w:tabs>
                <w:tab w:val="left" w:pos="408"/>
              </w:tabs>
              <w:jc w:val="center"/>
              <w:rPr>
                <w:b/>
              </w:rPr>
            </w:pPr>
          </w:p>
        </w:tc>
        <w:tc>
          <w:tcPr>
            <w:tcW w:w="7796" w:type="dxa"/>
            <w:tcBorders>
              <w:bottom w:val="single" w:sz="4" w:space="0" w:color="auto"/>
            </w:tcBorders>
            <w:shd w:val="clear" w:color="auto" w:fill="auto"/>
          </w:tcPr>
          <w:p w14:paraId="29079D67" w14:textId="77777777" w:rsidR="002942F6" w:rsidRPr="00BF0687" w:rsidRDefault="002942F6" w:rsidP="00740CF4">
            <w:pPr>
              <w:ind w:left="720"/>
              <w:jc w:val="both"/>
            </w:pPr>
          </w:p>
          <w:p w14:paraId="242E4931" w14:textId="777C5327" w:rsidR="002942F6" w:rsidRPr="00BF0687" w:rsidRDefault="002942F6" w:rsidP="00740CF4">
            <w:pPr>
              <w:jc w:val="both"/>
            </w:pPr>
            <w:r w:rsidRPr="00BF0687">
              <w:t xml:space="preserve">Zamawiający </w:t>
            </w:r>
            <w:r w:rsidRPr="00BF0687">
              <w:rPr>
                <w:b/>
                <w:u w:val="single"/>
              </w:rPr>
              <w:t xml:space="preserve">przewiduje </w:t>
            </w:r>
            <w:r w:rsidRPr="00BF0687">
              <w:t xml:space="preserve">obowiązek wniesienia wadium przed upływem terminu składania ofert w wysokości: </w:t>
            </w:r>
            <w:r w:rsidR="00740CF4">
              <w:rPr>
                <w:b/>
                <w:bCs/>
              </w:rPr>
              <w:t>55</w:t>
            </w:r>
            <w:r w:rsidRPr="00BF0687">
              <w:rPr>
                <w:b/>
                <w:bCs/>
              </w:rPr>
              <w:t>00,00 PLN</w:t>
            </w:r>
          </w:p>
          <w:p w14:paraId="1675E3B7" w14:textId="77777777" w:rsidR="002942F6" w:rsidRPr="00A639C4" w:rsidRDefault="002942F6" w:rsidP="00740CF4">
            <w:pPr>
              <w:tabs>
                <w:tab w:val="left" w:pos="408"/>
              </w:tabs>
              <w:rPr>
                <w:b/>
              </w:rPr>
            </w:pPr>
          </w:p>
        </w:tc>
      </w:tr>
      <w:tr w:rsidR="002942F6" w:rsidRPr="00A639C4" w14:paraId="6383B0AB" w14:textId="77777777" w:rsidTr="00A639C4">
        <w:tc>
          <w:tcPr>
            <w:tcW w:w="1384" w:type="dxa"/>
            <w:shd w:val="clear" w:color="auto" w:fill="BFBFBF" w:themeFill="background1" w:themeFillShade="BF"/>
          </w:tcPr>
          <w:p w14:paraId="68B9A715" w14:textId="77777777" w:rsidR="002942F6" w:rsidRPr="00A639C4" w:rsidRDefault="002942F6" w:rsidP="00740CF4">
            <w:pPr>
              <w:tabs>
                <w:tab w:val="left" w:pos="408"/>
              </w:tabs>
              <w:jc w:val="center"/>
              <w:rPr>
                <w:b/>
              </w:rPr>
            </w:pPr>
            <w:r w:rsidRPr="00A639C4">
              <w:rPr>
                <w:b/>
              </w:rPr>
              <w:t>Pkt 19.1 IDW</w:t>
            </w:r>
          </w:p>
          <w:p w14:paraId="3380D668" w14:textId="354BBE2D" w:rsidR="002942F6" w:rsidRPr="00A639C4" w:rsidRDefault="002942F6" w:rsidP="00740CF4">
            <w:pPr>
              <w:tabs>
                <w:tab w:val="left" w:pos="408"/>
              </w:tabs>
              <w:jc w:val="center"/>
              <w:rPr>
                <w:b/>
              </w:rPr>
            </w:pPr>
            <w:r w:rsidRPr="00A639C4">
              <w:rPr>
                <w:b/>
              </w:rPr>
              <w:t>Pkt 19.2 IDW</w:t>
            </w:r>
          </w:p>
        </w:tc>
        <w:tc>
          <w:tcPr>
            <w:tcW w:w="7796" w:type="dxa"/>
            <w:shd w:val="clear" w:color="auto" w:fill="BFBFBF" w:themeFill="background1" w:themeFillShade="BF"/>
          </w:tcPr>
          <w:p w14:paraId="70AE230E" w14:textId="35CB8D41" w:rsidR="002942F6" w:rsidRPr="00A639C4" w:rsidRDefault="002942F6" w:rsidP="00740CF4">
            <w:pPr>
              <w:tabs>
                <w:tab w:val="left" w:pos="408"/>
              </w:tabs>
              <w:rPr>
                <w:b/>
              </w:rPr>
            </w:pPr>
            <w:r w:rsidRPr="00A639C4">
              <w:rPr>
                <w:b/>
                <w:bCs/>
                <w:color w:val="000000"/>
              </w:rPr>
              <w:t>Termin składania i otwarcia ofert</w:t>
            </w:r>
          </w:p>
        </w:tc>
      </w:tr>
      <w:tr w:rsidR="002942F6" w:rsidRPr="00A639C4" w14:paraId="77F13A21" w14:textId="77777777" w:rsidTr="0075264D">
        <w:tc>
          <w:tcPr>
            <w:tcW w:w="1384" w:type="dxa"/>
            <w:shd w:val="clear" w:color="auto" w:fill="auto"/>
          </w:tcPr>
          <w:p w14:paraId="68896D38" w14:textId="77777777" w:rsidR="002942F6" w:rsidRPr="00A639C4" w:rsidRDefault="002942F6" w:rsidP="00740CF4">
            <w:pPr>
              <w:tabs>
                <w:tab w:val="left" w:pos="408"/>
              </w:tabs>
              <w:jc w:val="center"/>
              <w:rPr>
                <w:b/>
              </w:rPr>
            </w:pPr>
          </w:p>
        </w:tc>
        <w:tc>
          <w:tcPr>
            <w:tcW w:w="7796" w:type="dxa"/>
            <w:shd w:val="clear" w:color="auto" w:fill="auto"/>
          </w:tcPr>
          <w:p w14:paraId="0877EA54" w14:textId="77777777" w:rsidR="002942F6" w:rsidRDefault="002942F6" w:rsidP="00740CF4">
            <w:pPr>
              <w:widowControl/>
              <w:autoSpaceDE/>
              <w:autoSpaceDN/>
              <w:adjustRightInd/>
              <w:jc w:val="both"/>
              <w:rPr>
                <w:rFonts w:eastAsia="Calibri"/>
              </w:rPr>
            </w:pPr>
          </w:p>
          <w:p w14:paraId="5EE0A3E1" w14:textId="6A102521" w:rsidR="002942F6" w:rsidRPr="00BF0687" w:rsidRDefault="002942F6" w:rsidP="00740CF4">
            <w:pPr>
              <w:widowControl/>
              <w:autoSpaceDE/>
              <w:autoSpaceDN/>
              <w:adjustRightInd/>
              <w:jc w:val="both"/>
            </w:pPr>
            <w:r w:rsidRPr="00BF0687">
              <w:rPr>
                <w:rFonts w:eastAsia="Calibri"/>
              </w:rPr>
              <w:t xml:space="preserve">Termin składania ofert </w:t>
            </w:r>
            <w:r w:rsidR="00740CF4">
              <w:rPr>
                <w:b/>
              </w:rPr>
              <w:t>15</w:t>
            </w:r>
            <w:r w:rsidRPr="00BF0687">
              <w:rPr>
                <w:b/>
              </w:rPr>
              <w:t>.</w:t>
            </w:r>
            <w:r>
              <w:rPr>
                <w:b/>
              </w:rPr>
              <w:t>1</w:t>
            </w:r>
            <w:r w:rsidRPr="00BF0687">
              <w:rPr>
                <w:b/>
              </w:rPr>
              <w:t xml:space="preserve">0.2024 r. do godziny </w:t>
            </w:r>
            <w:r w:rsidRPr="00BF0687">
              <w:rPr>
                <w:b/>
                <w:bCs/>
                <w:caps/>
              </w:rPr>
              <w:t>09:00</w:t>
            </w:r>
            <w:r w:rsidRPr="00BF0687">
              <w:t>.</w:t>
            </w:r>
          </w:p>
          <w:p w14:paraId="650D99EE" w14:textId="77777777" w:rsidR="002942F6" w:rsidRDefault="002942F6" w:rsidP="00740CF4">
            <w:pPr>
              <w:jc w:val="both"/>
              <w:rPr>
                <w:rFonts w:eastAsia="Calibri"/>
              </w:rPr>
            </w:pPr>
          </w:p>
          <w:p w14:paraId="6AFBE6C5" w14:textId="75163441" w:rsidR="002942F6" w:rsidRPr="00BF0687" w:rsidRDefault="002942F6" w:rsidP="00740CF4">
            <w:pPr>
              <w:jc w:val="both"/>
            </w:pPr>
            <w:r w:rsidRPr="00BF0687">
              <w:rPr>
                <w:rFonts w:eastAsia="Calibri"/>
              </w:rPr>
              <w:t xml:space="preserve">Termin otwarcia ofert </w:t>
            </w:r>
            <w:r w:rsidR="00740CF4">
              <w:rPr>
                <w:rFonts w:eastAsia="Calibri"/>
                <w:b/>
                <w:bCs/>
              </w:rPr>
              <w:t>15</w:t>
            </w:r>
            <w:r w:rsidRPr="00BF0687">
              <w:rPr>
                <w:b/>
              </w:rPr>
              <w:t>.</w:t>
            </w:r>
            <w:r>
              <w:rPr>
                <w:b/>
              </w:rPr>
              <w:t>1</w:t>
            </w:r>
            <w:r w:rsidRPr="00BF0687">
              <w:rPr>
                <w:b/>
              </w:rPr>
              <w:t xml:space="preserve">0.2024 r. godzina </w:t>
            </w:r>
            <w:r w:rsidRPr="00BF0687">
              <w:rPr>
                <w:b/>
                <w:bCs/>
                <w:caps/>
              </w:rPr>
              <w:t>09:15</w:t>
            </w:r>
          </w:p>
          <w:p w14:paraId="3C5EFDB1" w14:textId="77777777" w:rsidR="002942F6" w:rsidRDefault="002942F6" w:rsidP="00740CF4">
            <w:pPr>
              <w:tabs>
                <w:tab w:val="left" w:pos="408"/>
              </w:tabs>
            </w:pPr>
          </w:p>
          <w:p w14:paraId="5CD11351" w14:textId="55D736D2" w:rsidR="002942F6" w:rsidRPr="00BF0687" w:rsidRDefault="002942F6" w:rsidP="00740CF4">
            <w:pPr>
              <w:tabs>
                <w:tab w:val="left" w:pos="408"/>
              </w:tabs>
            </w:pPr>
            <w:r w:rsidRPr="00BF0687">
              <w:t>Ofertę należy złożyć na zasadach określonych w Pzp i SWZ.</w:t>
            </w:r>
          </w:p>
          <w:p w14:paraId="7B2FE857" w14:textId="63C6DB87" w:rsidR="002942F6" w:rsidRPr="00A639C4" w:rsidRDefault="002942F6" w:rsidP="00740CF4">
            <w:pPr>
              <w:tabs>
                <w:tab w:val="left" w:pos="408"/>
              </w:tabs>
              <w:rPr>
                <w:b/>
              </w:rPr>
            </w:pPr>
          </w:p>
        </w:tc>
      </w:tr>
      <w:tr w:rsidR="002942F6" w:rsidRPr="00A639C4" w14:paraId="0F29E392" w14:textId="77777777" w:rsidTr="00A639C4">
        <w:tc>
          <w:tcPr>
            <w:tcW w:w="1384" w:type="dxa"/>
            <w:shd w:val="clear" w:color="auto" w:fill="BFBFBF" w:themeFill="background1" w:themeFillShade="BF"/>
          </w:tcPr>
          <w:p w14:paraId="78E63FBF" w14:textId="77777777" w:rsidR="002942F6" w:rsidRPr="00A639C4" w:rsidRDefault="002942F6" w:rsidP="00740CF4">
            <w:pPr>
              <w:tabs>
                <w:tab w:val="left" w:pos="408"/>
              </w:tabs>
              <w:jc w:val="center"/>
              <w:rPr>
                <w:b/>
              </w:rPr>
            </w:pPr>
            <w:r w:rsidRPr="00A639C4">
              <w:rPr>
                <w:b/>
              </w:rPr>
              <w:t>Pkt 18.1 IDW</w:t>
            </w:r>
          </w:p>
        </w:tc>
        <w:tc>
          <w:tcPr>
            <w:tcW w:w="7796" w:type="dxa"/>
            <w:shd w:val="clear" w:color="auto" w:fill="BFBFBF" w:themeFill="background1" w:themeFillShade="BF"/>
          </w:tcPr>
          <w:p w14:paraId="34287554" w14:textId="77777777" w:rsidR="002942F6" w:rsidRPr="00A639C4" w:rsidRDefault="002942F6" w:rsidP="00740CF4">
            <w:pPr>
              <w:tabs>
                <w:tab w:val="left" w:pos="408"/>
              </w:tabs>
              <w:rPr>
                <w:b/>
              </w:rPr>
            </w:pPr>
            <w:r w:rsidRPr="00A639C4">
              <w:rPr>
                <w:b/>
              </w:rPr>
              <w:t>Termin związania ofertą</w:t>
            </w:r>
          </w:p>
        </w:tc>
      </w:tr>
      <w:tr w:rsidR="002942F6" w:rsidRPr="00A639C4" w14:paraId="2C626DDD" w14:textId="77777777" w:rsidTr="00A639C4">
        <w:tc>
          <w:tcPr>
            <w:tcW w:w="1384" w:type="dxa"/>
            <w:tcBorders>
              <w:bottom w:val="single" w:sz="4" w:space="0" w:color="auto"/>
            </w:tcBorders>
            <w:shd w:val="clear" w:color="auto" w:fill="auto"/>
          </w:tcPr>
          <w:p w14:paraId="550C1987" w14:textId="77777777" w:rsidR="002942F6" w:rsidRPr="00A639C4" w:rsidRDefault="002942F6" w:rsidP="00740CF4">
            <w:pPr>
              <w:tabs>
                <w:tab w:val="left" w:pos="408"/>
              </w:tabs>
              <w:jc w:val="center"/>
              <w:rPr>
                <w:b/>
              </w:rPr>
            </w:pPr>
          </w:p>
        </w:tc>
        <w:tc>
          <w:tcPr>
            <w:tcW w:w="7796" w:type="dxa"/>
            <w:tcBorders>
              <w:bottom w:val="single" w:sz="4" w:space="0" w:color="auto"/>
            </w:tcBorders>
            <w:shd w:val="clear" w:color="auto" w:fill="auto"/>
          </w:tcPr>
          <w:p w14:paraId="3561A4EA" w14:textId="77777777" w:rsidR="002942F6" w:rsidRDefault="002942F6" w:rsidP="00740CF4">
            <w:pPr>
              <w:tabs>
                <w:tab w:val="left" w:pos="408"/>
              </w:tabs>
            </w:pPr>
          </w:p>
          <w:p w14:paraId="77100D3A" w14:textId="5D873F67" w:rsidR="002942F6" w:rsidRPr="00BF0687" w:rsidRDefault="002942F6" w:rsidP="00740CF4">
            <w:pPr>
              <w:tabs>
                <w:tab w:val="left" w:pos="408"/>
              </w:tabs>
            </w:pPr>
            <w:r w:rsidRPr="00BF0687">
              <w:t xml:space="preserve">Termin związania ofertą </w:t>
            </w:r>
            <w:r w:rsidR="00740CF4">
              <w:rPr>
                <w:b/>
                <w:bCs/>
              </w:rPr>
              <w:t>13</w:t>
            </w:r>
            <w:r w:rsidRPr="00BF0687">
              <w:rPr>
                <w:b/>
                <w:bCs/>
              </w:rPr>
              <w:t>.</w:t>
            </w:r>
            <w:r>
              <w:rPr>
                <w:b/>
                <w:bCs/>
              </w:rPr>
              <w:t>11</w:t>
            </w:r>
            <w:r w:rsidRPr="00BF0687">
              <w:rPr>
                <w:b/>
                <w:bCs/>
              </w:rPr>
              <w:t>.2024 r</w:t>
            </w:r>
            <w:r w:rsidRPr="00BF0687">
              <w:t>.</w:t>
            </w:r>
          </w:p>
          <w:p w14:paraId="51C92377" w14:textId="1FB4AF60" w:rsidR="002942F6" w:rsidRPr="00A639C4" w:rsidRDefault="002942F6" w:rsidP="00740CF4">
            <w:pPr>
              <w:tabs>
                <w:tab w:val="left" w:pos="408"/>
              </w:tabs>
            </w:pPr>
          </w:p>
        </w:tc>
      </w:tr>
      <w:tr w:rsidR="002942F6" w:rsidRPr="00A639C4" w14:paraId="19C18581" w14:textId="77777777" w:rsidTr="00A639C4">
        <w:tc>
          <w:tcPr>
            <w:tcW w:w="1384" w:type="dxa"/>
            <w:shd w:val="clear" w:color="auto" w:fill="BFBFBF" w:themeFill="background1" w:themeFillShade="BF"/>
          </w:tcPr>
          <w:p w14:paraId="19725769" w14:textId="77777777" w:rsidR="002942F6" w:rsidRPr="00A639C4" w:rsidRDefault="002942F6" w:rsidP="00740CF4">
            <w:pPr>
              <w:tabs>
                <w:tab w:val="left" w:pos="408"/>
              </w:tabs>
              <w:jc w:val="center"/>
              <w:rPr>
                <w:b/>
              </w:rPr>
            </w:pPr>
            <w:r w:rsidRPr="00A639C4">
              <w:rPr>
                <w:b/>
              </w:rPr>
              <w:t>Pkt 20.2 IDW</w:t>
            </w:r>
          </w:p>
        </w:tc>
        <w:tc>
          <w:tcPr>
            <w:tcW w:w="7796" w:type="dxa"/>
            <w:shd w:val="clear" w:color="auto" w:fill="BFBFBF" w:themeFill="background1" w:themeFillShade="BF"/>
          </w:tcPr>
          <w:p w14:paraId="7D21EE57" w14:textId="1B97F9B0" w:rsidR="002942F6" w:rsidRPr="00A639C4" w:rsidRDefault="002942F6" w:rsidP="00740CF4">
            <w:pPr>
              <w:ind w:left="360"/>
              <w:jc w:val="center"/>
              <w:rPr>
                <w:b/>
                <w:bCs/>
                <w:color w:val="000000"/>
              </w:rPr>
            </w:pPr>
            <w:r w:rsidRPr="00A639C4">
              <w:rPr>
                <w:b/>
                <w:bCs/>
                <w:color w:val="000000"/>
              </w:rPr>
              <w:t>Opis kryteriów oceny ofert, wraz z podaniem wag tych kryteriów i sposobu oceny ofert</w:t>
            </w:r>
          </w:p>
        </w:tc>
      </w:tr>
      <w:tr w:rsidR="00740CF4" w:rsidRPr="00A639C4" w14:paraId="5716D869" w14:textId="77777777" w:rsidTr="00A639C4">
        <w:tc>
          <w:tcPr>
            <w:tcW w:w="1384" w:type="dxa"/>
            <w:tcBorders>
              <w:bottom w:val="single" w:sz="4" w:space="0" w:color="auto"/>
            </w:tcBorders>
            <w:shd w:val="clear" w:color="auto" w:fill="auto"/>
          </w:tcPr>
          <w:p w14:paraId="302B701E" w14:textId="77777777" w:rsidR="00740CF4" w:rsidRPr="00A639C4" w:rsidRDefault="00740CF4" w:rsidP="00740CF4">
            <w:pPr>
              <w:tabs>
                <w:tab w:val="left" w:pos="408"/>
              </w:tabs>
              <w:jc w:val="center"/>
              <w:rPr>
                <w:b/>
              </w:rPr>
            </w:pPr>
          </w:p>
        </w:tc>
        <w:tc>
          <w:tcPr>
            <w:tcW w:w="7796" w:type="dxa"/>
            <w:tcBorders>
              <w:bottom w:val="single" w:sz="4" w:space="0" w:color="auto"/>
            </w:tcBorders>
            <w:shd w:val="clear" w:color="auto" w:fill="auto"/>
          </w:tcPr>
          <w:p w14:paraId="1BB0671D" w14:textId="77777777" w:rsidR="00740CF4" w:rsidRPr="00A639C4" w:rsidRDefault="00740CF4" w:rsidP="00740CF4">
            <w:pPr>
              <w:pStyle w:val="Akapitzlist"/>
              <w:widowControl/>
              <w:numPr>
                <w:ilvl w:val="0"/>
                <w:numId w:val="5"/>
              </w:numPr>
              <w:tabs>
                <w:tab w:val="clear" w:pos="1800"/>
              </w:tabs>
              <w:autoSpaceDE/>
              <w:autoSpaceDN/>
              <w:adjustRightInd/>
              <w:ind w:left="425" w:hanging="425"/>
              <w:jc w:val="both"/>
            </w:pPr>
            <w:r w:rsidRPr="00A639C4">
              <w:t>Przy wyborze najkorzystniejszej oferty Zamawiający będzie się kierował następującymi kryteriami oceny ofert:</w:t>
            </w:r>
          </w:p>
          <w:p w14:paraId="5970926F" w14:textId="77777777" w:rsidR="00740CF4" w:rsidRDefault="00740CF4" w:rsidP="00740CF4">
            <w:pPr>
              <w:pStyle w:val="Akapitzlist"/>
              <w:widowControl/>
              <w:autoSpaceDE/>
              <w:autoSpaceDN/>
              <w:adjustRightInd/>
              <w:ind w:left="425"/>
              <w:jc w:val="both"/>
            </w:pPr>
          </w:p>
          <w:p w14:paraId="4EAE906E" w14:textId="77777777" w:rsidR="00740CF4" w:rsidRDefault="00740CF4" w:rsidP="00740CF4">
            <w:pPr>
              <w:pStyle w:val="Akapitzlist"/>
              <w:widowControl/>
              <w:numPr>
                <w:ilvl w:val="0"/>
                <w:numId w:val="45"/>
              </w:numPr>
              <w:autoSpaceDE/>
              <w:autoSpaceDN/>
              <w:adjustRightInd/>
            </w:pPr>
            <w:r w:rsidRPr="001519B7">
              <w:rPr>
                <w:b/>
              </w:rPr>
              <w:t>Cena (C)</w:t>
            </w:r>
            <w:r w:rsidRPr="001519B7">
              <w:t xml:space="preserve"> – waga kryterium </w:t>
            </w:r>
            <w:r w:rsidRPr="00E71070">
              <w:rPr>
                <w:b/>
                <w:bCs/>
              </w:rPr>
              <w:t>60 %,</w:t>
            </w:r>
            <w:r>
              <w:t xml:space="preserve"> w tym:</w:t>
            </w:r>
          </w:p>
          <w:p w14:paraId="19E79937" w14:textId="77777777" w:rsidR="00740CF4" w:rsidRDefault="00740CF4" w:rsidP="00740CF4">
            <w:pPr>
              <w:pStyle w:val="Akapitzlist"/>
              <w:widowControl/>
              <w:autoSpaceDE/>
              <w:autoSpaceDN/>
              <w:adjustRightInd/>
              <w:ind w:left="1083"/>
              <w:rPr>
                <w:b/>
              </w:rPr>
            </w:pPr>
            <w:r>
              <w:rPr>
                <w:b/>
              </w:rPr>
              <w:t>Cena zamówienia podstawowego (CZP) – 50%</w:t>
            </w:r>
          </w:p>
          <w:p w14:paraId="64ED90DF" w14:textId="77777777" w:rsidR="00740CF4" w:rsidRDefault="00740CF4" w:rsidP="00740CF4">
            <w:pPr>
              <w:pStyle w:val="Akapitzlist"/>
              <w:widowControl/>
              <w:autoSpaceDE/>
              <w:autoSpaceDN/>
              <w:adjustRightInd/>
              <w:ind w:left="1083"/>
              <w:rPr>
                <w:b/>
              </w:rPr>
            </w:pPr>
            <w:r>
              <w:rPr>
                <w:b/>
              </w:rPr>
              <w:t>Cena zamówienia w ramach prawa opcji (CZO) – 10%</w:t>
            </w:r>
          </w:p>
          <w:p w14:paraId="08DB9634" w14:textId="77777777" w:rsidR="00740CF4" w:rsidRPr="00A639C4" w:rsidRDefault="00740CF4" w:rsidP="00740CF4">
            <w:pPr>
              <w:pStyle w:val="Akapitzlist"/>
              <w:widowControl/>
              <w:autoSpaceDE/>
              <w:autoSpaceDN/>
              <w:adjustRightInd/>
              <w:ind w:left="1083"/>
            </w:pPr>
          </w:p>
          <w:p w14:paraId="6B1DFE89" w14:textId="77777777" w:rsidR="00740CF4" w:rsidRDefault="00740CF4" w:rsidP="00740CF4">
            <w:pPr>
              <w:pStyle w:val="Akapitzlist"/>
              <w:widowControl/>
              <w:numPr>
                <w:ilvl w:val="0"/>
                <w:numId w:val="45"/>
              </w:numPr>
              <w:autoSpaceDE/>
              <w:autoSpaceDN/>
              <w:adjustRightInd/>
              <w:rPr>
                <w:b/>
                <w:bCs/>
              </w:rPr>
            </w:pPr>
            <w:r w:rsidRPr="00E10422">
              <w:rPr>
                <w:b/>
              </w:rPr>
              <w:t xml:space="preserve">Kryterium jakościowe – </w:t>
            </w:r>
            <w:r w:rsidRPr="00F74E62">
              <w:t>okres gwarancji i rękojmi  za wady</w:t>
            </w:r>
            <w:r w:rsidRPr="00E10422">
              <w:rPr>
                <w:caps/>
              </w:rPr>
              <w:t xml:space="preserve"> </w:t>
            </w:r>
            <w:r w:rsidRPr="00A639C4">
              <w:t xml:space="preserve">– waga kryterium </w:t>
            </w:r>
            <w:r w:rsidRPr="00E10422">
              <w:rPr>
                <w:b/>
                <w:bCs/>
              </w:rPr>
              <w:t>40 %</w:t>
            </w:r>
          </w:p>
          <w:p w14:paraId="1B729A8A" w14:textId="77777777" w:rsidR="00740CF4" w:rsidRDefault="00740CF4" w:rsidP="00740CF4">
            <w:pPr>
              <w:pStyle w:val="Akapitzlist"/>
              <w:widowControl/>
              <w:autoSpaceDE/>
              <w:autoSpaceDN/>
              <w:adjustRightInd/>
              <w:ind w:left="720"/>
              <w:rPr>
                <w:b/>
                <w:bCs/>
              </w:rPr>
            </w:pPr>
          </w:p>
          <w:p w14:paraId="78BAD011" w14:textId="77777777" w:rsidR="00740CF4" w:rsidRPr="00A639C4" w:rsidRDefault="00740CF4" w:rsidP="00740CF4">
            <w:pPr>
              <w:pStyle w:val="Akapitzlist"/>
              <w:widowControl/>
              <w:numPr>
                <w:ilvl w:val="0"/>
                <w:numId w:val="5"/>
              </w:numPr>
              <w:tabs>
                <w:tab w:val="clear" w:pos="1800"/>
              </w:tabs>
              <w:autoSpaceDE/>
              <w:autoSpaceDN/>
              <w:adjustRightInd/>
              <w:ind w:left="426" w:hanging="426"/>
              <w:jc w:val="both"/>
            </w:pPr>
            <w:r w:rsidRPr="00A639C4">
              <w:tab/>
              <w:t>Zasady oceny ofert w poszczególnych kryteriach:</w:t>
            </w:r>
          </w:p>
          <w:p w14:paraId="31CD1795" w14:textId="77777777" w:rsidR="00740CF4" w:rsidRDefault="00740CF4" w:rsidP="00740CF4">
            <w:pPr>
              <w:pStyle w:val="Akapitzlist"/>
              <w:widowControl/>
              <w:numPr>
                <w:ilvl w:val="0"/>
                <w:numId w:val="7"/>
              </w:numPr>
              <w:autoSpaceDE/>
              <w:autoSpaceDN/>
              <w:adjustRightInd/>
              <w:ind w:left="910" w:hanging="484"/>
              <w:contextualSpacing/>
              <w:jc w:val="both"/>
              <w:rPr>
                <w:b/>
              </w:rPr>
            </w:pPr>
            <w:r w:rsidRPr="00A639C4">
              <w:rPr>
                <w:b/>
              </w:rPr>
              <w:tab/>
              <w:t>Cena (C) – waga kryterium 60 %</w:t>
            </w:r>
          </w:p>
          <w:p w14:paraId="240E8F44" w14:textId="77777777" w:rsidR="00740CF4" w:rsidRPr="00A639C4" w:rsidRDefault="00740CF4" w:rsidP="00740CF4">
            <w:pPr>
              <w:pStyle w:val="Akapitzlist"/>
              <w:widowControl/>
              <w:autoSpaceDE/>
              <w:autoSpaceDN/>
              <w:adjustRightInd/>
              <w:ind w:left="910"/>
              <w:contextualSpacing/>
              <w:jc w:val="both"/>
              <w:rPr>
                <w:b/>
              </w:rPr>
            </w:pPr>
          </w:p>
          <w:p w14:paraId="5D9AD8E7" w14:textId="77777777" w:rsidR="00740CF4" w:rsidRPr="00832C70" w:rsidRDefault="00740CF4" w:rsidP="00740CF4">
            <w:pPr>
              <w:pStyle w:val="Akapitzlist"/>
              <w:widowControl/>
              <w:autoSpaceDE/>
              <w:autoSpaceDN/>
              <w:adjustRightInd/>
              <w:ind w:left="1068"/>
              <w:contextualSpacing/>
              <w:jc w:val="both"/>
              <w:rPr>
                <w:b/>
              </w:rPr>
            </w:pPr>
            <w:r w:rsidRPr="00832C70">
              <w:rPr>
                <w:b/>
              </w:rPr>
              <w:t>Cena (C) (CZP + CZO) – waga kryterium 60 %</w:t>
            </w:r>
          </w:p>
          <w:p w14:paraId="187FEE69" w14:textId="77777777" w:rsidR="00740CF4" w:rsidRDefault="00740CF4" w:rsidP="00740CF4">
            <w:pPr>
              <w:pStyle w:val="ZTIRPKTzmpkttiret"/>
              <w:spacing w:line="240" w:lineRule="auto"/>
              <w:ind w:left="360" w:firstLine="0"/>
              <w:rPr>
                <w:rFonts w:ascii="Arial" w:hAnsi="Arial"/>
                <w:sz w:val="20"/>
              </w:rPr>
            </w:pPr>
            <w:r w:rsidRPr="00832C70">
              <w:rPr>
                <w:rFonts w:ascii="Arial" w:hAnsi="Arial"/>
                <w:sz w:val="20"/>
              </w:rPr>
              <w:t>Opis sposobu obliczenia punktów:</w:t>
            </w:r>
          </w:p>
          <w:p w14:paraId="7EE9F979" w14:textId="77777777" w:rsidR="00740CF4" w:rsidRPr="00832C70" w:rsidRDefault="00740CF4" w:rsidP="00740CF4">
            <w:pPr>
              <w:pStyle w:val="ZTIRPKTzmpkttiret"/>
              <w:spacing w:line="240" w:lineRule="auto"/>
              <w:ind w:left="0" w:firstLine="0"/>
              <w:rPr>
                <w:rFonts w:ascii="Arial" w:hAnsi="Arial"/>
                <w:sz w:val="20"/>
              </w:rPr>
            </w:pPr>
          </w:p>
          <w:p w14:paraId="71149429" w14:textId="77777777" w:rsidR="00740CF4" w:rsidRPr="00832C70" w:rsidRDefault="00740CF4" w:rsidP="00740CF4">
            <w:pPr>
              <w:pStyle w:val="ZTIRPKTzmpkttiret"/>
              <w:spacing w:line="240" w:lineRule="auto"/>
              <w:ind w:left="360" w:firstLine="0"/>
              <w:rPr>
                <w:rFonts w:ascii="Arial" w:hAnsi="Arial"/>
                <w:b/>
                <w:sz w:val="20"/>
              </w:rPr>
            </w:pPr>
            <w:r w:rsidRPr="00832C70">
              <w:rPr>
                <w:rFonts w:ascii="Arial" w:hAnsi="Arial"/>
                <w:b/>
                <w:sz w:val="20"/>
              </w:rPr>
              <w:t>Cena zamówienia podstawowego (CZP):</w:t>
            </w:r>
          </w:p>
          <w:p w14:paraId="3D84D6D1" w14:textId="77777777" w:rsidR="00740CF4" w:rsidRPr="00832C70" w:rsidRDefault="00740CF4" w:rsidP="00740CF4">
            <w:pPr>
              <w:pStyle w:val="Akapitzlist"/>
              <w:ind w:left="1452"/>
              <w:rPr>
                <w:b/>
              </w:rPr>
            </w:pPr>
            <w:r w:rsidRPr="00832C70">
              <w:rPr>
                <w:b/>
              </w:rPr>
              <w:t>cena najniższa brutto zamówienia podstawowego</w:t>
            </w:r>
            <w:r w:rsidRPr="00832C70">
              <w:rPr>
                <w:b/>
              </w:rPr>
              <w:br/>
              <w:t xml:space="preserve">spośród wszystkich złożonych ofert </w:t>
            </w:r>
            <w:r w:rsidRPr="00832C70">
              <w:rPr>
                <w:b/>
              </w:rPr>
              <w:br/>
              <w:t>niepodlegających odrzuceniu</w:t>
            </w:r>
          </w:p>
          <w:p w14:paraId="2C31D563" w14:textId="77777777" w:rsidR="00740CF4" w:rsidRPr="00832C70" w:rsidRDefault="00740CF4" w:rsidP="00740CF4">
            <w:pPr>
              <w:pStyle w:val="Akapitzlist"/>
              <w:ind w:left="1080"/>
              <w:jc w:val="both"/>
            </w:pPr>
            <w:r w:rsidRPr="00832C70">
              <w:rPr>
                <w:b/>
              </w:rPr>
              <w:t>CZP =</w:t>
            </w:r>
            <w:r w:rsidRPr="00832C70">
              <w:t xml:space="preserve"> </w:t>
            </w:r>
            <w:r w:rsidRPr="00832C70">
              <w:rPr>
                <w:strike/>
              </w:rPr>
              <w:t xml:space="preserve">------------------------------------------------ </w:t>
            </w:r>
            <w:r w:rsidRPr="00832C70">
              <w:t xml:space="preserve">  </w:t>
            </w:r>
            <w:r w:rsidRPr="00832C70">
              <w:rPr>
                <w:b/>
              </w:rPr>
              <w:t xml:space="preserve">x 100 pkt x </w:t>
            </w:r>
            <w:r>
              <w:rPr>
                <w:b/>
              </w:rPr>
              <w:t>50</w:t>
            </w:r>
            <w:r w:rsidRPr="00832C70">
              <w:rPr>
                <w:b/>
              </w:rPr>
              <w:t xml:space="preserve"> %</w:t>
            </w:r>
          </w:p>
          <w:p w14:paraId="0ED3F90E" w14:textId="77777777" w:rsidR="00740CF4" w:rsidRDefault="00740CF4" w:rsidP="00740CF4">
            <w:pPr>
              <w:pStyle w:val="Akapitzlist"/>
              <w:ind w:left="1452"/>
              <w:jc w:val="both"/>
              <w:rPr>
                <w:b/>
              </w:rPr>
            </w:pPr>
            <w:r w:rsidRPr="00832C70">
              <w:rPr>
                <w:b/>
              </w:rPr>
              <w:t>cena oferty ocenianej zamówienia podstawowego brutto</w:t>
            </w:r>
          </w:p>
          <w:p w14:paraId="75064980" w14:textId="77777777" w:rsidR="00740CF4" w:rsidRPr="003F06A1" w:rsidRDefault="00740CF4" w:rsidP="00740CF4">
            <w:pPr>
              <w:pStyle w:val="Akapitzlist"/>
              <w:ind w:left="1452"/>
              <w:jc w:val="both"/>
              <w:rPr>
                <w:b/>
              </w:rPr>
            </w:pPr>
          </w:p>
          <w:p w14:paraId="0D3EB547" w14:textId="77777777" w:rsidR="00740CF4" w:rsidRPr="00832C70" w:rsidRDefault="00740CF4" w:rsidP="00740CF4">
            <w:pPr>
              <w:pStyle w:val="Akapitzlist"/>
              <w:ind w:left="360"/>
              <w:jc w:val="both"/>
              <w:rPr>
                <w:b/>
              </w:rPr>
            </w:pPr>
            <w:r w:rsidRPr="00832C70">
              <w:rPr>
                <w:b/>
              </w:rPr>
              <w:t>Cena zamówienia w ramach prawa opcji (CZO):</w:t>
            </w:r>
          </w:p>
          <w:p w14:paraId="39BD2F59" w14:textId="77777777" w:rsidR="00740CF4" w:rsidRPr="00832C70" w:rsidRDefault="00740CF4" w:rsidP="00740CF4">
            <w:pPr>
              <w:pStyle w:val="Akapitzlist"/>
              <w:ind w:left="1452"/>
              <w:rPr>
                <w:b/>
              </w:rPr>
            </w:pPr>
            <w:r w:rsidRPr="00832C70">
              <w:rPr>
                <w:b/>
              </w:rPr>
              <w:t>cena najniższa brutto zamówienia w ramach prawa opcji</w:t>
            </w:r>
            <w:r w:rsidRPr="00832C70">
              <w:rPr>
                <w:b/>
              </w:rPr>
              <w:br/>
              <w:t xml:space="preserve">spośród wszystkich złożonych ofert </w:t>
            </w:r>
            <w:r w:rsidRPr="00832C70">
              <w:rPr>
                <w:b/>
              </w:rPr>
              <w:br/>
              <w:t>niepodlegających odrzuceniu</w:t>
            </w:r>
          </w:p>
          <w:p w14:paraId="29CE38E8" w14:textId="77777777" w:rsidR="00740CF4" w:rsidRPr="00832C70" w:rsidRDefault="00740CF4" w:rsidP="00740CF4">
            <w:pPr>
              <w:pStyle w:val="Akapitzlist"/>
              <w:ind w:left="1080"/>
              <w:jc w:val="both"/>
            </w:pPr>
            <w:r w:rsidRPr="00832C70">
              <w:rPr>
                <w:b/>
              </w:rPr>
              <w:t>CZO =</w:t>
            </w:r>
            <w:r w:rsidRPr="00832C70">
              <w:t xml:space="preserve"> </w:t>
            </w:r>
            <w:r w:rsidRPr="00832C70">
              <w:rPr>
                <w:strike/>
              </w:rPr>
              <w:t xml:space="preserve">------------------------------------------------ </w:t>
            </w:r>
            <w:r w:rsidRPr="00832C70">
              <w:t xml:space="preserve">  </w:t>
            </w:r>
            <w:r w:rsidRPr="00832C70">
              <w:rPr>
                <w:b/>
              </w:rPr>
              <w:t xml:space="preserve">x 100 pkt x </w:t>
            </w:r>
            <w:r>
              <w:rPr>
                <w:b/>
              </w:rPr>
              <w:t>10</w:t>
            </w:r>
            <w:r w:rsidRPr="00832C70">
              <w:rPr>
                <w:b/>
              </w:rPr>
              <w:t xml:space="preserve"> %</w:t>
            </w:r>
          </w:p>
          <w:p w14:paraId="6769F25F" w14:textId="77777777" w:rsidR="00740CF4" w:rsidRPr="00497E7D" w:rsidRDefault="00740CF4" w:rsidP="00740CF4">
            <w:pPr>
              <w:pStyle w:val="Akapitzlist"/>
              <w:ind w:left="1452"/>
              <w:jc w:val="both"/>
              <w:rPr>
                <w:b/>
              </w:rPr>
            </w:pPr>
            <w:r w:rsidRPr="00832C70">
              <w:rPr>
                <w:b/>
              </w:rPr>
              <w:t>cena oferty ocenianej w ramach prawa opcji brutto</w:t>
            </w:r>
          </w:p>
          <w:p w14:paraId="66841B66" w14:textId="77777777" w:rsidR="00740CF4" w:rsidRPr="00A639C4" w:rsidRDefault="00740CF4" w:rsidP="00740CF4">
            <w:pPr>
              <w:widowControl/>
              <w:autoSpaceDE/>
              <w:autoSpaceDN/>
              <w:adjustRightInd/>
              <w:contextualSpacing/>
              <w:jc w:val="both"/>
            </w:pPr>
            <w:r w:rsidRPr="00A639C4">
              <w:lastRenderedPageBreak/>
              <w:t>Podstawą przyznania punktów w kryterium „cena” będzie cena ofertowa brutto podana przez Wykonawcę w Formularzu Ofertowym.</w:t>
            </w:r>
          </w:p>
          <w:p w14:paraId="751BFFAD" w14:textId="77777777" w:rsidR="00740CF4" w:rsidRPr="00A639C4" w:rsidRDefault="00740CF4" w:rsidP="00740CF4">
            <w:pPr>
              <w:widowControl/>
              <w:autoSpaceDE/>
              <w:autoSpaceDN/>
              <w:adjustRightInd/>
              <w:contextualSpacing/>
              <w:jc w:val="both"/>
            </w:pPr>
            <w:r w:rsidRPr="00A639C4">
              <w:t>Cena ofertowa brutto musi uwzględniać wszelkie koszty jakie Wykonawca poniesie</w:t>
            </w:r>
            <w:r>
              <w:t xml:space="preserve">                  </w:t>
            </w:r>
            <w:r w:rsidRPr="00A639C4">
              <w:t xml:space="preserve"> w związku z realizacją przedmiotu zamówienia.</w:t>
            </w:r>
          </w:p>
          <w:p w14:paraId="4E2C9811" w14:textId="77777777" w:rsidR="00740CF4" w:rsidRPr="00A639C4" w:rsidRDefault="00740CF4" w:rsidP="00740CF4">
            <w:pPr>
              <w:pStyle w:val="Akapitzlist"/>
              <w:widowControl/>
              <w:autoSpaceDE/>
              <w:autoSpaceDN/>
              <w:adjustRightInd/>
              <w:ind w:left="1358"/>
              <w:contextualSpacing/>
              <w:jc w:val="both"/>
            </w:pPr>
          </w:p>
          <w:p w14:paraId="1FD2A6B5" w14:textId="77777777" w:rsidR="00740CF4" w:rsidRPr="00A639C4" w:rsidRDefault="00740CF4" w:rsidP="00740CF4">
            <w:pPr>
              <w:pStyle w:val="Akapitzlist"/>
              <w:widowControl/>
              <w:numPr>
                <w:ilvl w:val="0"/>
                <w:numId w:val="7"/>
              </w:numPr>
              <w:autoSpaceDE/>
              <w:autoSpaceDN/>
              <w:adjustRightInd/>
              <w:ind w:left="910" w:hanging="484"/>
              <w:contextualSpacing/>
              <w:jc w:val="both"/>
              <w:rPr>
                <w:b/>
              </w:rPr>
            </w:pPr>
            <w:r w:rsidRPr="00A639C4">
              <w:rPr>
                <w:b/>
              </w:rPr>
              <w:t>Kryterium jakościowe – okres gwarancji i rękojmi</w:t>
            </w:r>
            <w:r>
              <w:rPr>
                <w:b/>
              </w:rPr>
              <w:t xml:space="preserve"> za wady</w:t>
            </w:r>
            <w:r w:rsidRPr="00A639C4">
              <w:t xml:space="preserve">  </w:t>
            </w:r>
            <w:r>
              <w:t xml:space="preserve">                          </w:t>
            </w:r>
            <w:r w:rsidRPr="00A639C4">
              <w:rPr>
                <w:caps/>
              </w:rPr>
              <w:t xml:space="preserve"> </w:t>
            </w:r>
            <w:r w:rsidRPr="00A639C4">
              <w:rPr>
                <w:b/>
              </w:rPr>
              <w:t>– waga kryterium 40 %</w:t>
            </w:r>
          </w:p>
          <w:p w14:paraId="41BF8D55" w14:textId="77777777" w:rsidR="00740CF4" w:rsidRPr="00A639C4" w:rsidRDefault="00740CF4" w:rsidP="00740CF4">
            <w:pPr>
              <w:pStyle w:val="ZTIRPKTzmpkttiret"/>
              <w:spacing w:line="240" w:lineRule="auto"/>
              <w:ind w:left="0" w:firstLine="0"/>
              <w:rPr>
                <w:rFonts w:ascii="Arial" w:hAnsi="Arial"/>
                <w:sz w:val="20"/>
              </w:rPr>
            </w:pPr>
            <w:r w:rsidRPr="00A639C4">
              <w:rPr>
                <w:rFonts w:ascii="Arial" w:hAnsi="Arial"/>
                <w:sz w:val="20"/>
              </w:rPr>
              <w:t>Opis sposobu obliczenia punktów:</w:t>
            </w:r>
          </w:p>
          <w:p w14:paraId="6C9DC946" w14:textId="77777777" w:rsidR="00740CF4" w:rsidRPr="00A639C4" w:rsidRDefault="00740CF4" w:rsidP="00740CF4">
            <w:pPr>
              <w:jc w:val="both"/>
            </w:pPr>
            <w:r w:rsidRPr="00A639C4">
              <w:t>W tym kryterium zostanie przyznana następująca liczba punktów:</w:t>
            </w:r>
          </w:p>
          <w:p w14:paraId="7C3F62A2" w14:textId="77777777" w:rsidR="00740CF4" w:rsidRPr="00A639C4" w:rsidRDefault="00740CF4" w:rsidP="00740CF4">
            <w:pPr>
              <w:ind w:left="851"/>
              <w:jc w:val="both"/>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740CF4" w:rsidRPr="00A639C4" w14:paraId="52FC526F" w14:textId="77777777" w:rsidTr="004D005C">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26B7E9BF" w14:textId="77777777" w:rsidR="00740CF4" w:rsidRPr="00A639C4" w:rsidRDefault="00740CF4" w:rsidP="001D050F">
                  <w:pPr>
                    <w:framePr w:hSpace="141" w:wrap="around" w:vAnchor="text" w:hAnchor="text" w:x="392" w:y="1"/>
                    <w:suppressOverlap/>
                    <w:jc w:val="center"/>
                    <w:rPr>
                      <w:b/>
                      <w:bCs/>
                    </w:rPr>
                  </w:pPr>
                  <w:r w:rsidRPr="00A639C4">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788F18D4" w14:textId="77777777" w:rsidR="00740CF4" w:rsidRPr="00A639C4" w:rsidRDefault="00740CF4" w:rsidP="001D050F">
                  <w:pPr>
                    <w:framePr w:hSpace="141" w:wrap="around" w:vAnchor="text" w:hAnchor="text" w:x="392" w:y="1"/>
                    <w:suppressOverlap/>
                    <w:jc w:val="center"/>
                    <w:rPr>
                      <w:b/>
                      <w:bCs/>
                    </w:rPr>
                  </w:pPr>
                  <w:r w:rsidRPr="00A639C4">
                    <w:rPr>
                      <w:b/>
                      <w:bC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24B8720E" w14:textId="77777777" w:rsidR="00740CF4" w:rsidRPr="00A639C4" w:rsidRDefault="00740CF4" w:rsidP="001D050F">
                  <w:pPr>
                    <w:framePr w:hSpace="141" w:wrap="around" w:vAnchor="text" w:hAnchor="text" w:x="392" w:y="1"/>
                    <w:suppressOverlap/>
                    <w:jc w:val="center"/>
                    <w:rPr>
                      <w:b/>
                      <w:bCs/>
                    </w:rPr>
                  </w:pPr>
                  <w:r w:rsidRPr="00A639C4">
                    <w:rPr>
                      <w:b/>
                      <w:bCs/>
                    </w:rPr>
                    <w:t>punkty</w:t>
                  </w:r>
                </w:p>
              </w:tc>
            </w:tr>
            <w:tr w:rsidR="00740CF4" w:rsidRPr="00A639C4" w14:paraId="15E9BF88" w14:textId="77777777" w:rsidTr="004D005C">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34F353E0" w14:textId="77777777" w:rsidR="00740CF4" w:rsidRPr="00A639C4" w:rsidRDefault="00740CF4" w:rsidP="001D050F">
                  <w:pPr>
                    <w:framePr w:hSpace="141" w:wrap="around" w:vAnchor="text" w:hAnchor="text" w:x="392" w:y="1"/>
                    <w:suppressOverlap/>
                    <w:jc w:val="center"/>
                    <w:rPr>
                      <w:bCs/>
                    </w:rPr>
                  </w:pPr>
                  <w:r w:rsidRPr="00A639C4">
                    <w:rPr>
                      <w:bCs/>
                    </w:rPr>
                    <w:t>1.</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75E59343" w14:textId="77777777" w:rsidR="00740CF4" w:rsidRPr="00A639C4" w:rsidRDefault="00740CF4" w:rsidP="001D050F">
                  <w:pPr>
                    <w:framePr w:hSpace="141" w:wrap="around" w:vAnchor="text" w:hAnchor="text" w:x="392" w:y="1"/>
                    <w:suppressOverlap/>
                    <w:rPr>
                      <w:bCs/>
                    </w:rPr>
                  </w:pPr>
                  <w:r w:rsidRPr="00A639C4">
                    <w:rPr>
                      <w:bCs/>
                    </w:rPr>
                    <w:t xml:space="preserve">Okres gwarancji i rękojmi </w:t>
                  </w:r>
                  <w:r>
                    <w:rPr>
                      <w:bCs/>
                    </w:rPr>
                    <w:t xml:space="preserve">za wady </w:t>
                  </w:r>
                  <w:r w:rsidRPr="00E63467">
                    <w:rPr>
                      <w:bCs/>
                    </w:rPr>
                    <w:t>5</w:t>
                  </w:r>
                  <w:r>
                    <w:rPr>
                      <w:bCs/>
                    </w:rPr>
                    <w:t xml:space="preserve"> lat</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034F57D9" w14:textId="77777777" w:rsidR="00740CF4" w:rsidRPr="00A639C4" w:rsidRDefault="00740CF4" w:rsidP="001D050F">
                  <w:pPr>
                    <w:framePr w:hSpace="141" w:wrap="around" w:vAnchor="text" w:hAnchor="text" w:x="392" w:y="1"/>
                    <w:suppressOverlap/>
                    <w:jc w:val="center"/>
                    <w:rPr>
                      <w:bCs/>
                    </w:rPr>
                  </w:pPr>
                  <w:r>
                    <w:rPr>
                      <w:bCs/>
                    </w:rPr>
                    <w:t xml:space="preserve">0 </w:t>
                  </w:r>
                  <w:r w:rsidRPr="00A639C4">
                    <w:rPr>
                      <w:bCs/>
                    </w:rPr>
                    <w:t>pkt.</w:t>
                  </w:r>
                </w:p>
              </w:tc>
            </w:tr>
            <w:tr w:rsidR="00740CF4" w:rsidRPr="00A639C4" w14:paraId="7A317E36" w14:textId="77777777" w:rsidTr="004D005C">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43657184" w14:textId="77777777" w:rsidR="00740CF4" w:rsidRPr="00A639C4" w:rsidRDefault="00740CF4" w:rsidP="001D050F">
                  <w:pPr>
                    <w:framePr w:hSpace="141" w:wrap="around" w:vAnchor="text" w:hAnchor="text" w:x="392" w:y="1"/>
                    <w:suppressOverlap/>
                    <w:jc w:val="center"/>
                    <w:rPr>
                      <w:bCs/>
                    </w:rPr>
                  </w:pPr>
                  <w:r w:rsidRPr="00A639C4">
                    <w:rPr>
                      <w:bCs/>
                    </w:rPr>
                    <w:t>2.</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25C0ACC5" w14:textId="77777777" w:rsidR="00740CF4" w:rsidRPr="00A639C4" w:rsidRDefault="00740CF4" w:rsidP="001D050F">
                  <w:pPr>
                    <w:framePr w:hSpace="141" w:wrap="around" w:vAnchor="text" w:hAnchor="text" w:x="392" w:y="1"/>
                    <w:suppressOverlap/>
                    <w:rPr>
                      <w:bCs/>
                    </w:rPr>
                  </w:pPr>
                  <w:r w:rsidRPr="00A639C4">
                    <w:rPr>
                      <w:bCs/>
                    </w:rPr>
                    <w:t xml:space="preserve">Okres gwarancji i rękojmi </w:t>
                  </w:r>
                  <w:r>
                    <w:rPr>
                      <w:bCs/>
                    </w:rPr>
                    <w:t xml:space="preserve">za wady </w:t>
                  </w:r>
                  <w:r w:rsidRPr="00E63467">
                    <w:rPr>
                      <w:bCs/>
                    </w:rPr>
                    <w:t>6</w:t>
                  </w:r>
                  <w:r>
                    <w:rPr>
                      <w:bCs/>
                    </w:rPr>
                    <w:t xml:space="preserve"> lat</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6BB0D6E8" w14:textId="77777777" w:rsidR="00740CF4" w:rsidRPr="00A639C4" w:rsidRDefault="00740CF4" w:rsidP="001D050F">
                  <w:pPr>
                    <w:framePr w:hSpace="141" w:wrap="around" w:vAnchor="text" w:hAnchor="text" w:x="392" w:y="1"/>
                    <w:suppressOverlap/>
                    <w:jc w:val="center"/>
                    <w:rPr>
                      <w:bCs/>
                    </w:rPr>
                  </w:pPr>
                  <w:r>
                    <w:rPr>
                      <w:bCs/>
                    </w:rPr>
                    <w:t>40</w:t>
                  </w:r>
                  <w:r w:rsidRPr="00A639C4">
                    <w:rPr>
                      <w:bCs/>
                    </w:rPr>
                    <w:t xml:space="preserve"> pkt.</w:t>
                  </w:r>
                </w:p>
              </w:tc>
            </w:tr>
          </w:tbl>
          <w:p w14:paraId="57C3C83D" w14:textId="77777777" w:rsidR="00740CF4" w:rsidRPr="00A639C4" w:rsidRDefault="00740CF4" w:rsidP="00740CF4">
            <w:pPr>
              <w:tabs>
                <w:tab w:val="left" w:pos="408"/>
              </w:tabs>
              <w:ind w:left="360"/>
              <w:jc w:val="center"/>
              <w:rPr>
                <w:b/>
              </w:rPr>
            </w:pPr>
          </w:p>
          <w:p w14:paraId="0F700259" w14:textId="69A780CC" w:rsidR="00740CF4" w:rsidRPr="00A639C4" w:rsidRDefault="00740CF4" w:rsidP="00740CF4">
            <w:pPr>
              <w:tabs>
                <w:tab w:val="left" w:pos="408"/>
              </w:tabs>
              <w:jc w:val="both"/>
              <w:rPr>
                <w:b/>
              </w:rPr>
            </w:pPr>
          </w:p>
        </w:tc>
      </w:tr>
      <w:tr w:rsidR="00740CF4" w:rsidRPr="00A639C4" w14:paraId="4AD9CE2B" w14:textId="77777777" w:rsidTr="00A639C4">
        <w:tc>
          <w:tcPr>
            <w:tcW w:w="1384" w:type="dxa"/>
            <w:shd w:val="clear" w:color="auto" w:fill="BFBFBF" w:themeFill="background1" w:themeFillShade="BF"/>
          </w:tcPr>
          <w:p w14:paraId="22792A4F" w14:textId="77777777" w:rsidR="00740CF4" w:rsidRPr="00A639C4" w:rsidRDefault="00740CF4" w:rsidP="00740CF4">
            <w:pPr>
              <w:tabs>
                <w:tab w:val="left" w:pos="408"/>
              </w:tabs>
              <w:jc w:val="center"/>
              <w:rPr>
                <w:b/>
              </w:rPr>
            </w:pPr>
            <w:r w:rsidRPr="00A639C4">
              <w:rPr>
                <w:b/>
              </w:rPr>
              <w:lastRenderedPageBreak/>
              <w:t>Pkt 22.1 IDW</w:t>
            </w:r>
          </w:p>
        </w:tc>
        <w:tc>
          <w:tcPr>
            <w:tcW w:w="7796" w:type="dxa"/>
            <w:shd w:val="clear" w:color="auto" w:fill="BFBFBF" w:themeFill="background1" w:themeFillShade="BF"/>
          </w:tcPr>
          <w:p w14:paraId="752FEE67" w14:textId="601D41E4" w:rsidR="00740CF4" w:rsidRPr="00A639C4" w:rsidRDefault="00740CF4" w:rsidP="00740CF4">
            <w:pPr>
              <w:rPr>
                <w:b/>
                <w:color w:val="000000"/>
              </w:rPr>
            </w:pPr>
            <w:r w:rsidRPr="00A639C4">
              <w:rPr>
                <w:b/>
                <w:color w:val="000000"/>
              </w:rPr>
              <w:t>Zabezpieczenie należytego wykonania umowy</w:t>
            </w:r>
          </w:p>
        </w:tc>
      </w:tr>
      <w:tr w:rsidR="00740CF4" w:rsidRPr="00A639C4" w14:paraId="3E502C15" w14:textId="77777777" w:rsidTr="00A639C4">
        <w:tc>
          <w:tcPr>
            <w:tcW w:w="1384" w:type="dxa"/>
            <w:tcBorders>
              <w:bottom w:val="single" w:sz="4" w:space="0" w:color="auto"/>
            </w:tcBorders>
            <w:shd w:val="clear" w:color="auto" w:fill="auto"/>
          </w:tcPr>
          <w:p w14:paraId="20C71F11" w14:textId="77777777" w:rsidR="00740CF4" w:rsidRPr="00A639C4" w:rsidRDefault="00740CF4" w:rsidP="00740CF4">
            <w:pPr>
              <w:tabs>
                <w:tab w:val="left" w:pos="408"/>
              </w:tabs>
              <w:jc w:val="center"/>
              <w:rPr>
                <w:b/>
              </w:rPr>
            </w:pPr>
          </w:p>
        </w:tc>
        <w:tc>
          <w:tcPr>
            <w:tcW w:w="7796" w:type="dxa"/>
            <w:tcBorders>
              <w:bottom w:val="single" w:sz="4" w:space="0" w:color="auto"/>
            </w:tcBorders>
            <w:shd w:val="clear" w:color="auto" w:fill="auto"/>
          </w:tcPr>
          <w:p w14:paraId="113C8168" w14:textId="77777777" w:rsidR="00740CF4" w:rsidRDefault="00740CF4" w:rsidP="00740CF4">
            <w:pPr>
              <w:contextualSpacing/>
              <w:jc w:val="both"/>
            </w:pPr>
          </w:p>
          <w:p w14:paraId="4ED7CC4E" w14:textId="50D8337F" w:rsidR="00740CF4" w:rsidRPr="00B07530" w:rsidRDefault="00740CF4" w:rsidP="00740CF4">
            <w:pPr>
              <w:contextualSpacing/>
              <w:jc w:val="both"/>
            </w:pPr>
            <w:r w:rsidRPr="00B07530">
              <w:t xml:space="preserve">Zamawiający </w:t>
            </w:r>
            <w:r w:rsidRPr="00B07530">
              <w:rPr>
                <w:b/>
                <w:u w:val="single"/>
              </w:rPr>
              <w:t>przewiduje obowiązek wniesienia zabezpieczenia</w:t>
            </w:r>
            <w:r w:rsidRPr="00B07530">
              <w:t xml:space="preserve"> należytego wykonania umowy:</w:t>
            </w:r>
          </w:p>
          <w:p w14:paraId="47C5A5BA" w14:textId="77777777" w:rsidR="00740CF4" w:rsidRPr="00B07530" w:rsidRDefault="00740CF4" w:rsidP="00740CF4">
            <w:pPr>
              <w:contextualSpacing/>
              <w:jc w:val="both"/>
            </w:pPr>
            <w:r w:rsidRPr="00B07530">
              <w:t>Wysokość zabezpieczenia zostaje  ustalona w wysokości 4% ceny całkowitej podanej w ofercie.</w:t>
            </w:r>
          </w:p>
          <w:p w14:paraId="04739ECD" w14:textId="77777777" w:rsidR="00740CF4" w:rsidRDefault="00740CF4" w:rsidP="00740CF4">
            <w:pPr>
              <w:contextualSpacing/>
              <w:jc w:val="both"/>
              <w:rPr>
                <w:b/>
              </w:rPr>
            </w:pPr>
            <w:r w:rsidRPr="00B07530">
              <w:rPr>
                <w:b/>
              </w:rPr>
              <w:t>Termin wniesienia zabezpieczenia – przed podpisaniem umowy.</w:t>
            </w:r>
          </w:p>
          <w:p w14:paraId="19F46386" w14:textId="77777777" w:rsidR="00740CF4" w:rsidRDefault="00740CF4" w:rsidP="00740CF4">
            <w:pPr>
              <w:jc w:val="both"/>
              <w:rPr>
                <w:noProof/>
              </w:rPr>
            </w:pPr>
            <w:r w:rsidRPr="0044214E">
              <w:rPr>
                <w:noProof/>
              </w:rPr>
              <w:t>W prz</w:t>
            </w:r>
            <w:r>
              <w:rPr>
                <w:noProof/>
              </w:rPr>
              <w:t>y</w:t>
            </w:r>
            <w:r w:rsidRPr="0044214E">
              <w:rPr>
                <w:noProof/>
              </w:rPr>
              <w:t>padku wniesienia zabezpieczenia należytego wykonania umowy w formie poręczeń lub gwarancji o których mowa w art 450 Pzp  Zamawiający oczekuje aby treść przedmiotowych poręczeń lub gwarancji była zgodna ze wzorem dołączonym do SWZ.</w:t>
            </w:r>
          </w:p>
          <w:p w14:paraId="6FEBA61A" w14:textId="629FC3DC" w:rsidR="00740CF4" w:rsidRPr="00A639C4" w:rsidRDefault="00740CF4" w:rsidP="00740CF4">
            <w:pPr>
              <w:jc w:val="both"/>
              <w:rPr>
                <w:b/>
              </w:rPr>
            </w:pPr>
          </w:p>
        </w:tc>
      </w:tr>
      <w:tr w:rsidR="00740CF4" w:rsidRPr="00A639C4" w14:paraId="0579EB5D" w14:textId="77777777" w:rsidTr="00A639C4">
        <w:tc>
          <w:tcPr>
            <w:tcW w:w="1384" w:type="dxa"/>
            <w:shd w:val="clear" w:color="auto" w:fill="BFBFBF" w:themeFill="background1" w:themeFillShade="BF"/>
          </w:tcPr>
          <w:p w14:paraId="24B7E631" w14:textId="77777777" w:rsidR="00740CF4" w:rsidRPr="00A639C4" w:rsidRDefault="00740CF4" w:rsidP="00740CF4">
            <w:pPr>
              <w:tabs>
                <w:tab w:val="left" w:pos="408"/>
              </w:tabs>
              <w:jc w:val="center"/>
              <w:rPr>
                <w:b/>
              </w:rPr>
            </w:pPr>
            <w:r w:rsidRPr="00A639C4">
              <w:rPr>
                <w:b/>
              </w:rPr>
              <w:t>Pkt 23.3 IDW</w:t>
            </w:r>
          </w:p>
        </w:tc>
        <w:tc>
          <w:tcPr>
            <w:tcW w:w="7796" w:type="dxa"/>
            <w:shd w:val="clear" w:color="auto" w:fill="BFBFBF" w:themeFill="background1" w:themeFillShade="BF"/>
          </w:tcPr>
          <w:p w14:paraId="1F5B1D26" w14:textId="27E8E538" w:rsidR="00740CF4" w:rsidRPr="00A639C4" w:rsidRDefault="00740CF4" w:rsidP="00740CF4">
            <w:pPr>
              <w:rPr>
                <w:b/>
                <w:color w:val="000000"/>
              </w:rPr>
            </w:pPr>
            <w:r w:rsidRPr="00A639C4">
              <w:rPr>
                <w:b/>
                <w:color w:val="000000"/>
              </w:rPr>
              <w:t>Informacje o treści zawieranej umowy oraz możliwości jej zmiany</w:t>
            </w:r>
          </w:p>
        </w:tc>
      </w:tr>
      <w:tr w:rsidR="00740CF4" w:rsidRPr="00A639C4" w14:paraId="523E0016" w14:textId="77777777" w:rsidTr="00A639C4">
        <w:tc>
          <w:tcPr>
            <w:tcW w:w="1384" w:type="dxa"/>
            <w:shd w:val="clear" w:color="auto" w:fill="auto"/>
          </w:tcPr>
          <w:p w14:paraId="3146F6DF" w14:textId="77777777" w:rsidR="00740CF4" w:rsidRPr="00A639C4" w:rsidRDefault="00740CF4" w:rsidP="00740CF4">
            <w:pPr>
              <w:tabs>
                <w:tab w:val="left" w:pos="408"/>
              </w:tabs>
              <w:rPr>
                <w:b/>
              </w:rPr>
            </w:pPr>
          </w:p>
        </w:tc>
        <w:tc>
          <w:tcPr>
            <w:tcW w:w="7796" w:type="dxa"/>
            <w:shd w:val="clear" w:color="auto" w:fill="auto"/>
          </w:tcPr>
          <w:p w14:paraId="00EBD046" w14:textId="77777777" w:rsidR="00740CF4" w:rsidRDefault="00740CF4" w:rsidP="00740CF4">
            <w:pPr>
              <w:tabs>
                <w:tab w:val="left" w:pos="408"/>
              </w:tabs>
              <w:jc w:val="both"/>
            </w:pPr>
            <w:r w:rsidRPr="00A639C4">
              <w:t xml:space="preserve">Zamawiający przewiduje możliwość zmiany zawartej umowy w stosunku do treści wybranej oferty w zakresie uregulowanym w art. 454-455 Pzp.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w:t>
            </w:r>
            <w:r>
              <w:br/>
            </w:r>
            <w:r w:rsidRPr="00A639C4">
              <w:t>z jego zobowiązaniem zawartym w ofercie. Zgodnie z art. 455. ust. 1. Pzp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IV SWZ umieszcza jasne, precyzyjne i jednoznaczne postanowienia umowne, które obejmują postanowienia dotyczące zasad wprowadzania zmian.</w:t>
            </w:r>
          </w:p>
          <w:p w14:paraId="786EEB18" w14:textId="15D2AF2A" w:rsidR="00740CF4" w:rsidRPr="00740CF4" w:rsidRDefault="00740CF4" w:rsidP="00740CF4">
            <w:pPr>
              <w:tabs>
                <w:tab w:val="left" w:pos="408"/>
              </w:tabs>
              <w:jc w:val="both"/>
            </w:pPr>
          </w:p>
        </w:tc>
      </w:tr>
      <w:tr w:rsidR="00740CF4" w:rsidRPr="00A639C4" w14:paraId="51138BCA" w14:textId="77777777" w:rsidTr="00A639C4">
        <w:tc>
          <w:tcPr>
            <w:tcW w:w="1384" w:type="dxa"/>
            <w:shd w:val="clear" w:color="auto" w:fill="BFBFBF" w:themeFill="background1" w:themeFillShade="BF"/>
          </w:tcPr>
          <w:p w14:paraId="6E98FFAE" w14:textId="32CCD497" w:rsidR="00740CF4" w:rsidRPr="00A639C4" w:rsidRDefault="00740CF4" w:rsidP="00740CF4">
            <w:pPr>
              <w:tabs>
                <w:tab w:val="left" w:pos="408"/>
              </w:tabs>
              <w:jc w:val="center"/>
              <w:rPr>
                <w:b/>
              </w:rPr>
            </w:pPr>
            <w:r w:rsidRPr="00A639C4">
              <w:rPr>
                <w:b/>
              </w:rPr>
              <w:t>Pkt 1.8 IDW</w:t>
            </w:r>
          </w:p>
        </w:tc>
        <w:tc>
          <w:tcPr>
            <w:tcW w:w="7796" w:type="dxa"/>
            <w:shd w:val="clear" w:color="auto" w:fill="BFBFBF" w:themeFill="background1" w:themeFillShade="BF"/>
          </w:tcPr>
          <w:p w14:paraId="7E95BA28" w14:textId="77047639" w:rsidR="00740CF4" w:rsidRPr="00A639C4" w:rsidRDefault="00740CF4" w:rsidP="00740CF4">
            <w:pPr>
              <w:tabs>
                <w:tab w:val="left" w:pos="408"/>
              </w:tabs>
            </w:pPr>
            <w:r w:rsidRPr="00A639C4">
              <w:rPr>
                <w:b/>
              </w:rPr>
              <w:t>Wskazanie osób uprawnionych do komunikowania się z wykonawcami;</w:t>
            </w:r>
          </w:p>
        </w:tc>
      </w:tr>
      <w:tr w:rsidR="00740CF4" w:rsidRPr="00A639C4" w14:paraId="42CE9A98" w14:textId="77777777" w:rsidTr="00A639C4">
        <w:tc>
          <w:tcPr>
            <w:tcW w:w="1384" w:type="dxa"/>
            <w:shd w:val="clear" w:color="auto" w:fill="auto"/>
          </w:tcPr>
          <w:p w14:paraId="642FABC7" w14:textId="77777777" w:rsidR="00740CF4" w:rsidRPr="00A639C4" w:rsidRDefault="00740CF4" w:rsidP="00740CF4">
            <w:pPr>
              <w:tabs>
                <w:tab w:val="left" w:pos="408"/>
              </w:tabs>
              <w:rPr>
                <w:b/>
              </w:rPr>
            </w:pPr>
          </w:p>
        </w:tc>
        <w:tc>
          <w:tcPr>
            <w:tcW w:w="7796" w:type="dxa"/>
            <w:shd w:val="clear" w:color="auto" w:fill="auto"/>
          </w:tcPr>
          <w:p w14:paraId="013872F4" w14:textId="3A984121" w:rsidR="00740CF4" w:rsidRPr="00A639C4" w:rsidRDefault="00740CF4" w:rsidP="00740CF4">
            <w:pPr>
              <w:jc w:val="both"/>
            </w:pPr>
            <w:r w:rsidRPr="00A639C4">
              <w:t>Do komunikowania się z wykonawcami uprawnione są następujące osoby:</w:t>
            </w:r>
          </w:p>
          <w:p w14:paraId="7C483E08" w14:textId="77777777" w:rsidR="00740CF4" w:rsidRPr="00A639C4" w:rsidRDefault="00740CF4" w:rsidP="00740CF4">
            <w:pPr>
              <w:jc w:val="both"/>
              <w:rPr>
                <w:b/>
              </w:rPr>
            </w:pPr>
            <w:r w:rsidRPr="00A639C4">
              <w:rPr>
                <w:b/>
              </w:rPr>
              <w:t>Organizacja postępowania:</w:t>
            </w:r>
          </w:p>
          <w:p w14:paraId="32227A73" w14:textId="77777777" w:rsidR="00740CF4" w:rsidRPr="00BF0687" w:rsidRDefault="00740CF4" w:rsidP="00740CF4">
            <w:pPr>
              <w:pStyle w:val="Akapitzlist"/>
              <w:numPr>
                <w:ilvl w:val="0"/>
                <w:numId w:val="27"/>
              </w:numPr>
              <w:jc w:val="both"/>
            </w:pPr>
            <w:r w:rsidRPr="00BF0687">
              <w:t>Mariusz Górak – Naczelnik Wydziału Zamówień Publicznych</w:t>
            </w:r>
          </w:p>
          <w:p w14:paraId="6FC069B6" w14:textId="77777777" w:rsidR="00740CF4" w:rsidRPr="00BF0687" w:rsidRDefault="00740CF4" w:rsidP="00740CF4">
            <w:pPr>
              <w:pStyle w:val="Akapitzlist"/>
              <w:numPr>
                <w:ilvl w:val="0"/>
                <w:numId w:val="27"/>
              </w:numPr>
              <w:jc w:val="both"/>
            </w:pPr>
            <w:r w:rsidRPr="00BF0687">
              <w:t>Adam Homa -  Sekretarz Komisji Przetargowej</w:t>
            </w:r>
          </w:p>
          <w:p w14:paraId="13DDE609" w14:textId="4F90BA66" w:rsidR="00740CF4" w:rsidRPr="00A639C4" w:rsidRDefault="00740CF4" w:rsidP="00740CF4">
            <w:pPr>
              <w:tabs>
                <w:tab w:val="left" w:pos="408"/>
              </w:tabs>
            </w:pPr>
          </w:p>
        </w:tc>
      </w:tr>
      <w:tr w:rsidR="00740CF4" w:rsidRPr="00A639C4" w14:paraId="011CBCE6" w14:textId="77777777" w:rsidTr="00621C71">
        <w:tc>
          <w:tcPr>
            <w:tcW w:w="9180" w:type="dxa"/>
            <w:gridSpan w:val="2"/>
            <w:shd w:val="clear" w:color="auto" w:fill="auto"/>
          </w:tcPr>
          <w:p w14:paraId="65BF90A3" w14:textId="068FA3EF" w:rsidR="00740CF4" w:rsidRPr="00A639C4" w:rsidRDefault="00740CF4" w:rsidP="00740CF4">
            <w:pPr>
              <w:jc w:val="center"/>
            </w:pPr>
            <w:bookmarkStart w:id="5" w:name="_Hlk155339952"/>
            <w:r>
              <w:t>Koniec PIDP</w:t>
            </w:r>
          </w:p>
        </w:tc>
      </w:tr>
      <w:bookmarkEnd w:id="5"/>
    </w:tbl>
    <w:p w14:paraId="1D7F26FD" w14:textId="6192075A" w:rsidR="00304FB8" w:rsidRPr="000E368E" w:rsidRDefault="00304FB8" w:rsidP="00740CF4"/>
    <w:sectPr w:rsidR="00304FB8" w:rsidRPr="000E368E" w:rsidSect="00A639C4">
      <w:headerReference w:type="default" r:id="rId10"/>
      <w:footerReference w:type="default" r:id="rId11"/>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277FF" w14:textId="77777777" w:rsidR="00EA5CD9" w:rsidRDefault="00EA5CD9" w:rsidP="00235CCF">
      <w:r>
        <w:separator/>
      </w:r>
    </w:p>
  </w:endnote>
  <w:endnote w:type="continuationSeparator" w:id="0">
    <w:p w14:paraId="6DF3EB18" w14:textId="77777777" w:rsidR="00EA5CD9" w:rsidRDefault="00EA5CD9"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6027DA47" w:rsidR="00621C71" w:rsidRPr="0022552B" w:rsidRDefault="00621C71">
    <w:pPr>
      <w:pStyle w:val="Stopka"/>
      <w:jc w:val="right"/>
    </w:pPr>
    <w:r>
      <w:t>(w</w:t>
    </w:r>
    <w:r w:rsidRPr="0022552B">
      <w:t>ersja</w:t>
    </w:r>
    <w:r w:rsidR="009E661D">
      <w:t xml:space="preserve"> 3 z</w:t>
    </w:r>
    <w:r w:rsidRPr="0022552B">
      <w:t xml:space="preserve"> 2024</w:t>
    </w:r>
    <w:r>
      <w:t>)</w:t>
    </w:r>
  </w:p>
  <w:sdt>
    <w:sdtPr>
      <w:id w:val="845062845"/>
      <w:docPartObj>
        <w:docPartGallery w:val="Page Numbers (Bottom of Page)"/>
        <w:docPartUnique/>
      </w:docPartObj>
    </w:sdtPr>
    <w:sdtContent>
      <w:sdt>
        <w:sdtPr>
          <w:id w:val="-1769616900"/>
          <w:docPartObj>
            <w:docPartGallery w:val="Page Numbers (Top of Page)"/>
            <w:docPartUnique/>
          </w:docPartObj>
        </w:sdtPr>
        <w:sdtContent>
          <w:p w14:paraId="2410B217" w14:textId="42B7A711" w:rsidR="00621C71" w:rsidRPr="0022552B" w:rsidRDefault="00621C71">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00177E74">
              <w:rPr>
                <w:b/>
                <w:bCs/>
                <w:noProof/>
              </w:rPr>
              <w:t>1</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00177E74">
              <w:rPr>
                <w:b/>
                <w:bCs/>
                <w:noProof/>
              </w:rPr>
              <w:t>18</w:t>
            </w:r>
            <w:r w:rsidRPr="0022552B">
              <w:rPr>
                <w:b/>
                <w:bCs/>
              </w:rPr>
              <w:fldChar w:fldCharType="end"/>
            </w:r>
          </w:p>
        </w:sdtContent>
      </w:sdt>
    </w:sdtContent>
  </w:sdt>
  <w:p w14:paraId="01792C6C" w14:textId="4A2FC379" w:rsidR="00621C71" w:rsidRDefault="00621C71"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0BADE" w14:textId="77777777" w:rsidR="00EA5CD9" w:rsidRDefault="00EA5CD9" w:rsidP="00235CCF">
      <w:r>
        <w:separator/>
      </w:r>
    </w:p>
  </w:footnote>
  <w:footnote w:type="continuationSeparator" w:id="0">
    <w:p w14:paraId="3E58E4A8" w14:textId="77777777" w:rsidR="00EA5CD9" w:rsidRDefault="00EA5CD9"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680"/>
      <w:gridCol w:w="5277"/>
    </w:tblGrid>
    <w:tr w:rsidR="00621C71" w:rsidRPr="00B74C3B" w14:paraId="57D9EA9A" w14:textId="77777777" w:rsidTr="00A639C4">
      <w:trPr>
        <w:trHeight w:val="296"/>
      </w:trPr>
      <w:tc>
        <w:tcPr>
          <w:tcW w:w="3680" w:type="dxa"/>
          <w:shd w:val="clear" w:color="auto" w:fill="FFFFFF"/>
        </w:tcPr>
        <w:p w14:paraId="27D43C0D" w14:textId="6FCACC98" w:rsidR="00621C71" w:rsidRPr="00B74C3B" w:rsidRDefault="00621C71" w:rsidP="009E1376">
          <w:pPr>
            <w:tabs>
              <w:tab w:val="left" w:pos="408"/>
            </w:tabs>
            <w:ind w:left="360"/>
            <w:jc w:val="center"/>
            <w:rPr>
              <w:b/>
            </w:rPr>
          </w:pPr>
          <w:bookmarkStart w:id="6"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534" w:type="dxa"/>
          <w:shd w:val="clear" w:color="auto" w:fill="FFFFFF"/>
          <w:vAlign w:val="center"/>
        </w:tcPr>
        <w:p w14:paraId="1905F66A" w14:textId="74E0F672"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177E74">
            <w:rPr>
              <w:b/>
              <w:color w:val="000000"/>
              <w:spacing w:val="-12"/>
              <w:lang w:eastAsia="x-none"/>
            </w:rPr>
            <w:t xml:space="preserve"> </w:t>
          </w:r>
          <w:r w:rsidRPr="00EA37E4">
            <w:rPr>
              <w:b/>
              <w:color w:val="000000"/>
              <w:spacing w:val="-12"/>
              <w:lang w:val="x-none" w:eastAsia="x-none"/>
            </w:rPr>
            <w:t xml:space="preserve">WARIANT </w:t>
          </w:r>
          <w:r w:rsidR="00710664">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Pzp)</w:t>
          </w:r>
        </w:p>
        <w:p w14:paraId="14107EB7" w14:textId="0C26D8C7" w:rsidR="00621C71" w:rsidRPr="00B74C3B" w:rsidRDefault="00621C71" w:rsidP="009E1376">
          <w:pPr>
            <w:pStyle w:val="Nagwek"/>
            <w:jc w:val="center"/>
            <w:rPr>
              <w:b/>
            </w:rPr>
          </w:pPr>
          <w:r w:rsidRPr="00B74C3B">
            <w:rPr>
              <w:bCs/>
            </w:rPr>
            <w:t>Numer referencyjny:</w:t>
          </w:r>
          <w:r w:rsidRPr="00B74C3B">
            <w:rPr>
              <w:b/>
              <w:bCs/>
            </w:rPr>
            <w:t xml:space="preserve"> PZDW/WZP/243/</w:t>
          </w:r>
          <w:r w:rsidR="006F3CC9">
            <w:rPr>
              <w:b/>
              <w:bCs/>
            </w:rPr>
            <w:t>W</w:t>
          </w:r>
          <w:r w:rsidR="000E401B">
            <w:rPr>
              <w:b/>
              <w:bCs/>
            </w:rPr>
            <w:t>D</w:t>
          </w:r>
          <w:r w:rsidR="006F3CC9">
            <w:rPr>
              <w:b/>
              <w:bCs/>
            </w:rPr>
            <w:t>/</w:t>
          </w:r>
          <w:r w:rsidR="000E401B">
            <w:rPr>
              <w:b/>
              <w:bCs/>
            </w:rPr>
            <w:t>107</w:t>
          </w:r>
          <w:r w:rsidR="006F3CC9">
            <w:rPr>
              <w:b/>
              <w:bCs/>
            </w:rPr>
            <w:t>/2024</w:t>
          </w:r>
        </w:p>
      </w:tc>
    </w:tr>
    <w:tr w:rsidR="00621C71" w:rsidRPr="00B74C3B" w14:paraId="5389A671" w14:textId="77777777" w:rsidTr="00B74C3B">
      <w:trPr>
        <w:trHeight w:val="707"/>
      </w:trPr>
      <w:tc>
        <w:tcPr>
          <w:tcW w:w="9214" w:type="dxa"/>
          <w:gridSpan w:val="2"/>
          <w:shd w:val="clear" w:color="auto" w:fill="FFFFFF"/>
        </w:tcPr>
        <w:p w14:paraId="225E9889" w14:textId="12838502"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ROZDZIAŁ I - INSTRUKCJA DLA WYKONAWCÓW (IDW)</w:t>
          </w:r>
        </w:p>
        <w:p w14:paraId="62D18362" w14:textId="77777777"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p>
        <w:p w14:paraId="44037418" w14:textId="7B3AF6B0" w:rsidR="00621C71" w:rsidRPr="00B74C3B" w:rsidRDefault="00621C71"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6"/>
  </w:tbl>
  <w:p w14:paraId="76352D6B" w14:textId="77777777" w:rsidR="00621C71" w:rsidRPr="00B74C3B" w:rsidRDefault="00621C71" w:rsidP="00235CCF">
    <w:pPr>
      <w:pStyle w:val="Nagwek"/>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B5175F"/>
    <w:multiLevelType w:val="hybridMultilevel"/>
    <w:tmpl w:val="54BAE366"/>
    <w:lvl w:ilvl="0" w:tplc="45680BDA">
      <w:start w:val="1"/>
      <w:numFmt w:val="decimal"/>
      <w:lvlText w:val="%1)"/>
      <w:lvlJc w:val="left"/>
      <w:pPr>
        <w:ind w:left="72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5"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F23C61"/>
    <w:multiLevelType w:val="hybridMultilevel"/>
    <w:tmpl w:val="31108F0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3"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35232F"/>
    <w:multiLevelType w:val="hybridMultilevel"/>
    <w:tmpl w:val="D13C8310"/>
    <w:lvl w:ilvl="0" w:tplc="668472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7101931"/>
    <w:multiLevelType w:val="hybridMultilevel"/>
    <w:tmpl w:val="034A7F7C"/>
    <w:lvl w:ilvl="0" w:tplc="632274A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8"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7F14BA6"/>
    <w:multiLevelType w:val="hybridMultilevel"/>
    <w:tmpl w:val="A60E0E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A742A3"/>
    <w:multiLevelType w:val="hybridMultilevel"/>
    <w:tmpl w:val="F8F6A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2"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7"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0" w15:restartNumberingAfterBreak="0">
    <w:nsid w:val="76CF380D"/>
    <w:multiLevelType w:val="hybridMultilevel"/>
    <w:tmpl w:val="D4BEF99C"/>
    <w:lvl w:ilvl="0" w:tplc="04150001">
      <w:start w:val="1"/>
      <w:numFmt w:val="bullet"/>
      <w:lvlText w:val=""/>
      <w:lvlJc w:val="left"/>
      <w:pPr>
        <w:ind w:left="-169" w:hanging="360"/>
      </w:pPr>
      <w:rPr>
        <w:rFonts w:ascii="Symbol" w:hAnsi="Symbol" w:hint="default"/>
      </w:rPr>
    </w:lvl>
    <w:lvl w:ilvl="1" w:tplc="04150003" w:tentative="1">
      <w:start w:val="1"/>
      <w:numFmt w:val="bullet"/>
      <w:lvlText w:val="o"/>
      <w:lvlJc w:val="left"/>
      <w:pPr>
        <w:ind w:left="551" w:hanging="360"/>
      </w:pPr>
      <w:rPr>
        <w:rFonts w:ascii="Courier New" w:hAnsi="Courier New" w:cs="Courier New" w:hint="default"/>
      </w:rPr>
    </w:lvl>
    <w:lvl w:ilvl="2" w:tplc="04150005" w:tentative="1">
      <w:start w:val="1"/>
      <w:numFmt w:val="bullet"/>
      <w:lvlText w:val=""/>
      <w:lvlJc w:val="left"/>
      <w:pPr>
        <w:ind w:left="1271" w:hanging="360"/>
      </w:pPr>
      <w:rPr>
        <w:rFonts w:ascii="Wingdings" w:hAnsi="Wingdings" w:hint="default"/>
      </w:rPr>
    </w:lvl>
    <w:lvl w:ilvl="3" w:tplc="04150001" w:tentative="1">
      <w:start w:val="1"/>
      <w:numFmt w:val="bullet"/>
      <w:lvlText w:val=""/>
      <w:lvlJc w:val="left"/>
      <w:pPr>
        <w:ind w:left="1991" w:hanging="360"/>
      </w:pPr>
      <w:rPr>
        <w:rFonts w:ascii="Symbol" w:hAnsi="Symbol" w:hint="default"/>
      </w:rPr>
    </w:lvl>
    <w:lvl w:ilvl="4" w:tplc="04150003" w:tentative="1">
      <w:start w:val="1"/>
      <w:numFmt w:val="bullet"/>
      <w:lvlText w:val="o"/>
      <w:lvlJc w:val="left"/>
      <w:pPr>
        <w:ind w:left="2711" w:hanging="360"/>
      </w:pPr>
      <w:rPr>
        <w:rFonts w:ascii="Courier New" w:hAnsi="Courier New" w:cs="Courier New" w:hint="default"/>
      </w:rPr>
    </w:lvl>
    <w:lvl w:ilvl="5" w:tplc="04150005" w:tentative="1">
      <w:start w:val="1"/>
      <w:numFmt w:val="bullet"/>
      <w:lvlText w:val=""/>
      <w:lvlJc w:val="left"/>
      <w:pPr>
        <w:ind w:left="3431" w:hanging="360"/>
      </w:pPr>
      <w:rPr>
        <w:rFonts w:ascii="Wingdings" w:hAnsi="Wingdings" w:hint="default"/>
      </w:rPr>
    </w:lvl>
    <w:lvl w:ilvl="6" w:tplc="04150001" w:tentative="1">
      <w:start w:val="1"/>
      <w:numFmt w:val="bullet"/>
      <w:lvlText w:val=""/>
      <w:lvlJc w:val="left"/>
      <w:pPr>
        <w:ind w:left="4151" w:hanging="360"/>
      </w:pPr>
      <w:rPr>
        <w:rFonts w:ascii="Symbol" w:hAnsi="Symbol" w:hint="default"/>
      </w:rPr>
    </w:lvl>
    <w:lvl w:ilvl="7" w:tplc="04150003" w:tentative="1">
      <w:start w:val="1"/>
      <w:numFmt w:val="bullet"/>
      <w:lvlText w:val="o"/>
      <w:lvlJc w:val="left"/>
      <w:pPr>
        <w:ind w:left="4871" w:hanging="360"/>
      </w:pPr>
      <w:rPr>
        <w:rFonts w:ascii="Courier New" w:hAnsi="Courier New" w:cs="Courier New" w:hint="default"/>
      </w:rPr>
    </w:lvl>
    <w:lvl w:ilvl="8" w:tplc="04150005" w:tentative="1">
      <w:start w:val="1"/>
      <w:numFmt w:val="bullet"/>
      <w:lvlText w:val=""/>
      <w:lvlJc w:val="left"/>
      <w:pPr>
        <w:ind w:left="5591" w:hanging="360"/>
      </w:pPr>
      <w:rPr>
        <w:rFonts w:ascii="Wingdings" w:hAnsi="Wingdings" w:hint="default"/>
      </w:rPr>
    </w:lvl>
  </w:abstractNum>
  <w:abstractNum w:abstractNumId="41" w15:restartNumberingAfterBreak="0">
    <w:nsid w:val="79B02E67"/>
    <w:multiLevelType w:val="hybridMultilevel"/>
    <w:tmpl w:val="B1CEE0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3" w15:restartNumberingAfterBreak="0">
    <w:nsid w:val="7FAF2A59"/>
    <w:multiLevelType w:val="multilevel"/>
    <w:tmpl w:val="D7F800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09957777">
    <w:abstractNumId w:val="20"/>
  </w:num>
  <w:num w:numId="2" w16cid:durableId="290785916">
    <w:abstractNumId w:val="10"/>
  </w:num>
  <w:num w:numId="3" w16cid:durableId="1354646395">
    <w:abstractNumId w:val="7"/>
  </w:num>
  <w:num w:numId="4" w16cid:durableId="1586260662">
    <w:abstractNumId w:val="25"/>
  </w:num>
  <w:num w:numId="5" w16cid:durableId="546068561">
    <w:abstractNumId w:val="16"/>
  </w:num>
  <w:num w:numId="6" w16cid:durableId="618534357">
    <w:abstractNumId w:val="36"/>
  </w:num>
  <w:num w:numId="7" w16cid:durableId="9451365">
    <w:abstractNumId w:val="31"/>
  </w:num>
  <w:num w:numId="8" w16cid:durableId="217127630">
    <w:abstractNumId w:val="12"/>
  </w:num>
  <w:num w:numId="9" w16cid:durableId="234291538">
    <w:abstractNumId w:val="8"/>
  </w:num>
  <w:num w:numId="10" w16cid:durableId="998770605">
    <w:abstractNumId w:val="11"/>
  </w:num>
  <w:num w:numId="11" w16cid:durableId="2145190874">
    <w:abstractNumId w:val="35"/>
  </w:num>
  <w:num w:numId="12" w16cid:durableId="1515799407">
    <w:abstractNumId w:val="24"/>
  </w:num>
  <w:num w:numId="13" w16cid:durableId="823009616">
    <w:abstractNumId w:val="42"/>
  </w:num>
  <w:num w:numId="14" w16cid:durableId="2051881119">
    <w:abstractNumId w:val="37"/>
  </w:num>
  <w:num w:numId="15" w16cid:durableId="1872766414">
    <w:abstractNumId w:val="21"/>
  </w:num>
  <w:num w:numId="16" w16cid:durableId="512306400">
    <w:abstractNumId w:val="4"/>
  </w:num>
  <w:num w:numId="17" w16cid:durableId="1803232976">
    <w:abstractNumId w:val="39"/>
  </w:num>
  <w:num w:numId="18" w16cid:durableId="1885872131">
    <w:abstractNumId w:val="13"/>
  </w:num>
  <w:num w:numId="19" w16cid:durableId="1041171506">
    <w:abstractNumId w:val="2"/>
  </w:num>
  <w:num w:numId="20" w16cid:durableId="1864900100">
    <w:abstractNumId w:val="27"/>
  </w:num>
  <w:num w:numId="21" w16cid:durableId="765926026">
    <w:abstractNumId w:val="3"/>
  </w:num>
  <w:num w:numId="22" w16cid:durableId="811992288">
    <w:abstractNumId w:val="5"/>
  </w:num>
  <w:num w:numId="23" w16cid:durableId="86430">
    <w:abstractNumId w:val="15"/>
  </w:num>
  <w:num w:numId="24" w16cid:durableId="1386300408">
    <w:abstractNumId w:val="34"/>
  </w:num>
  <w:num w:numId="25" w16cid:durableId="1581058946">
    <w:abstractNumId w:val="30"/>
  </w:num>
  <w:num w:numId="26" w16cid:durableId="1497648428">
    <w:abstractNumId w:val="33"/>
  </w:num>
  <w:num w:numId="27" w16cid:durableId="476991840">
    <w:abstractNumId w:val="6"/>
  </w:num>
  <w:num w:numId="28" w16cid:durableId="21372178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35520931">
    <w:abstractNumId w:val="38"/>
  </w:num>
  <w:num w:numId="30" w16cid:durableId="828181435">
    <w:abstractNumId w:val="18"/>
  </w:num>
  <w:num w:numId="31" w16cid:durableId="1282803276">
    <w:abstractNumId w:val="23"/>
  </w:num>
  <w:num w:numId="32" w16cid:durableId="251158516">
    <w:abstractNumId w:val="26"/>
  </w:num>
  <w:num w:numId="33" w16cid:durableId="1034845495">
    <w:abstractNumId w:val="22"/>
  </w:num>
  <w:num w:numId="34" w16cid:durableId="730691440">
    <w:abstractNumId w:val="43"/>
  </w:num>
  <w:num w:numId="35" w16cid:durableId="428736566">
    <w:abstractNumId w:val="40"/>
  </w:num>
  <w:num w:numId="36" w16cid:durableId="1922451421">
    <w:abstractNumId w:val="41"/>
  </w:num>
  <w:num w:numId="37" w16cid:durableId="632908523">
    <w:abstractNumId w:val="28"/>
  </w:num>
  <w:num w:numId="38" w16cid:durableId="1871915210">
    <w:abstractNumId w:val="19"/>
  </w:num>
  <w:num w:numId="39" w16cid:durableId="968241951">
    <w:abstractNumId w:val="32"/>
  </w:num>
  <w:num w:numId="40" w16cid:durableId="1268536715">
    <w:abstractNumId w:val="0"/>
  </w:num>
  <w:num w:numId="41" w16cid:durableId="1204054706">
    <w:abstractNumId w:val="17"/>
  </w:num>
  <w:num w:numId="42" w16cid:durableId="110830093">
    <w:abstractNumId w:val="9"/>
  </w:num>
  <w:num w:numId="43" w16cid:durableId="313413434">
    <w:abstractNumId w:val="14"/>
  </w:num>
  <w:num w:numId="44" w16cid:durableId="103236794">
    <w:abstractNumId w:val="29"/>
  </w:num>
  <w:num w:numId="45" w16cid:durableId="116825244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34973"/>
    <w:rsid w:val="00045E74"/>
    <w:rsid w:val="00057285"/>
    <w:rsid w:val="0006539D"/>
    <w:rsid w:val="00065F58"/>
    <w:rsid w:val="00071195"/>
    <w:rsid w:val="00072D2C"/>
    <w:rsid w:val="000816BE"/>
    <w:rsid w:val="00084922"/>
    <w:rsid w:val="0008508B"/>
    <w:rsid w:val="000A58DC"/>
    <w:rsid w:val="000B4C05"/>
    <w:rsid w:val="000B4F9D"/>
    <w:rsid w:val="000C4078"/>
    <w:rsid w:val="000C7735"/>
    <w:rsid w:val="000D1ED7"/>
    <w:rsid w:val="000D206E"/>
    <w:rsid w:val="000D26AD"/>
    <w:rsid w:val="000D4DDC"/>
    <w:rsid w:val="000D5B40"/>
    <w:rsid w:val="000D7441"/>
    <w:rsid w:val="000D7EA9"/>
    <w:rsid w:val="000E368E"/>
    <w:rsid w:val="000E401B"/>
    <w:rsid w:val="000E530E"/>
    <w:rsid w:val="000E6CEC"/>
    <w:rsid w:val="000E7715"/>
    <w:rsid w:val="000F0CE7"/>
    <w:rsid w:val="000F162D"/>
    <w:rsid w:val="000F6CE6"/>
    <w:rsid w:val="00101EC8"/>
    <w:rsid w:val="00104E64"/>
    <w:rsid w:val="00111750"/>
    <w:rsid w:val="00111CEF"/>
    <w:rsid w:val="001159E7"/>
    <w:rsid w:val="00123087"/>
    <w:rsid w:val="001309B2"/>
    <w:rsid w:val="00136766"/>
    <w:rsid w:val="00143B08"/>
    <w:rsid w:val="00144954"/>
    <w:rsid w:val="00144D03"/>
    <w:rsid w:val="00146563"/>
    <w:rsid w:val="00146E98"/>
    <w:rsid w:val="00150796"/>
    <w:rsid w:val="001552AA"/>
    <w:rsid w:val="00155987"/>
    <w:rsid w:val="001579D9"/>
    <w:rsid w:val="00157D9E"/>
    <w:rsid w:val="001655FA"/>
    <w:rsid w:val="0016738F"/>
    <w:rsid w:val="00177E74"/>
    <w:rsid w:val="00182F94"/>
    <w:rsid w:val="0018419A"/>
    <w:rsid w:val="001844C7"/>
    <w:rsid w:val="00187645"/>
    <w:rsid w:val="00190335"/>
    <w:rsid w:val="001A1707"/>
    <w:rsid w:val="001A6986"/>
    <w:rsid w:val="001A7B19"/>
    <w:rsid w:val="001A7BAA"/>
    <w:rsid w:val="001B0BC7"/>
    <w:rsid w:val="001B4E66"/>
    <w:rsid w:val="001C3B71"/>
    <w:rsid w:val="001C4751"/>
    <w:rsid w:val="001C5BDB"/>
    <w:rsid w:val="001D050F"/>
    <w:rsid w:val="001D59B2"/>
    <w:rsid w:val="001D5EDC"/>
    <w:rsid w:val="001D6CF8"/>
    <w:rsid w:val="001D742C"/>
    <w:rsid w:val="001E2DD1"/>
    <w:rsid w:val="001E436F"/>
    <w:rsid w:val="001F3677"/>
    <w:rsid w:val="00213EB6"/>
    <w:rsid w:val="00214F88"/>
    <w:rsid w:val="002219CB"/>
    <w:rsid w:val="0022361E"/>
    <w:rsid w:val="0022552B"/>
    <w:rsid w:val="00225807"/>
    <w:rsid w:val="00226FE5"/>
    <w:rsid w:val="002275C7"/>
    <w:rsid w:val="0023368E"/>
    <w:rsid w:val="00235716"/>
    <w:rsid w:val="00235CCF"/>
    <w:rsid w:val="00242D36"/>
    <w:rsid w:val="00244510"/>
    <w:rsid w:val="00250C58"/>
    <w:rsid w:val="00255583"/>
    <w:rsid w:val="0026125D"/>
    <w:rsid w:val="00265C7D"/>
    <w:rsid w:val="002709B0"/>
    <w:rsid w:val="0027230C"/>
    <w:rsid w:val="002731E2"/>
    <w:rsid w:val="00274B1B"/>
    <w:rsid w:val="0028200F"/>
    <w:rsid w:val="0028430E"/>
    <w:rsid w:val="0028668E"/>
    <w:rsid w:val="002878F2"/>
    <w:rsid w:val="0029048B"/>
    <w:rsid w:val="002942F6"/>
    <w:rsid w:val="002A31E4"/>
    <w:rsid w:val="002B5D84"/>
    <w:rsid w:val="002B7221"/>
    <w:rsid w:val="002C2C0D"/>
    <w:rsid w:val="002D3583"/>
    <w:rsid w:val="002D5360"/>
    <w:rsid w:val="002D6127"/>
    <w:rsid w:val="002E0079"/>
    <w:rsid w:val="002E0E10"/>
    <w:rsid w:val="002F113A"/>
    <w:rsid w:val="00304FB8"/>
    <w:rsid w:val="003061D7"/>
    <w:rsid w:val="0031102F"/>
    <w:rsid w:val="00311429"/>
    <w:rsid w:val="003204B6"/>
    <w:rsid w:val="00322BF1"/>
    <w:rsid w:val="00325CB4"/>
    <w:rsid w:val="00325D2B"/>
    <w:rsid w:val="00336A07"/>
    <w:rsid w:val="00337503"/>
    <w:rsid w:val="00341A82"/>
    <w:rsid w:val="0034485C"/>
    <w:rsid w:val="00347D74"/>
    <w:rsid w:val="00351738"/>
    <w:rsid w:val="003532A1"/>
    <w:rsid w:val="003544E6"/>
    <w:rsid w:val="00357737"/>
    <w:rsid w:val="003672FC"/>
    <w:rsid w:val="00377145"/>
    <w:rsid w:val="003847B5"/>
    <w:rsid w:val="00387614"/>
    <w:rsid w:val="0039128C"/>
    <w:rsid w:val="0039136B"/>
    <w:rsid w:val="00392859"/>
    <w:rsid w:val="00393CBA"/>
    <w:rsid w:val="00394375"/>
    <w:rsid w:val="003953F4"/>
    <w:rsid w:val="003A273F"/>
    <w:rsid w:val="003A3BB8"/>
    <w:rsid w:val="003A6CA4"/>
    <w:rsid w:val="003A7019"/>
    <w:rsid w:val="003B447D"/>
    <w:rsid w:val="003C0F1E"/>
    <w:rsid w:val="003C2AEE"/>
    <w:rsid w:val="003C56BD"/>
    <w:rsid w:val="003C6953"/>
    <w:rsid w:val="003D020A"/>
    <w:rsid w:val="003D1D50"/>
    <w:rsid w:val="003E38AA"/>
    <w:rsid w:val="003E3C90"/>
    <w:rsid w:val="003E5CE7"/>
    <w:rsid w:val="003F0E4F"/>
    <w:rsid w:val="003F1745"/>
    <w:rsid w:val="003F3297"/>
    <w:rsid w:val="003F5A3A"/>
    <w:rsid w:val="003F6CD3"/>
    <w:rsid w:val="00415327"/>
    <w:rsid w:val="004169D9"/>
    <w:rsid w:val="00430759"/>
    <w:rsid w:val="0043294F"/>
    <w:rsid w:val="00435575"/>
    <w:rsid w:val="00440A52"/>
    <w:rsid w:val="0044214E"/>
    <w:rsid w:val="00443B1A"/>
    <w:rsid w:val="00444C22"/>
    <w:rsid w:val="00450F04"/>
    <w:rsid w:val="004530E7"/>
    <w:rsid w:val="00453DE6"/>
    <w:rsid w:val="00456139"/>
    <w:rsid w:val="0045749E"/>
    <w:rsid w:val="004808FC"/>
    <w:rsid w:val="004919B6"/>
    <w:rsid w:val="00493B97"/>
    <w:rsid w:val="00495ACA"/>
    <w:rsid w:val="00495B15"/>
    <w:rsid w:val="004A440C"/>
    <w:rsid w:val="004A6BC6"/>
    <w:rsid w:val="004A7A77"/>
    <w:rsid w:val="004B205A"/>
    <w:rsid w:val="004C13DA"/>
    <w:rsid w:val="004C6385"/>
    <w:rsid w:val="004D2272"/>
    <w:rsid w:val="004D402B"/>
    <w:rsid w:val="004E1F51"/>
    <w:rsid w:val="004E4A14"/>
    <w:rsid w:val="004E631D"/>
    <w:rsid w:val="004F679B"/>
    <w:rsid w:val="00500E86"/>
    <w:rsid w:val="00505683"/>
    <w:rsid w:val="00507A4A"/>
    <w:rsid w:val="00510BFD"/>
    <w:rsid w:val="0052782E"/>
    <w:rsid w:val="00532309"/>
    <w:rsid w:val="005411B1"/>
    <w:rsid w:val="00546118"/>
    <w:rsid w:val="0055496E"/>
    <w:rsid w:val="005762DB"/>
    <w:rsid w:val="00586363"/>
    <w:rsid w:val="005926B6"/>
    <w:rsid w:val="00595414"/>
    <w:rsid w:val="005B231D"/>
    <w:rsid w:val="005D0F64"/>
    <w:rsid w:val="005D18BA"/>
    <w:rsid w:val="005D6002"/>
    <w:rsid w:val="005D698C"/>
    <w:rsid w:val="005E58F2"/>
    <w:rsid w:val="005E7210"/>
    <w:rsid w:val="005E726D"/>
    <w:rsid w:val="005F0726"/>
    <w:rsid w:val="005F3B4B"/>
    <w:rsid w:val="005F5680"/>
    <w:rsid w:val="005F6497"/>
    <w:rsid w:val="00601A19"/>
    <w:rsid w:val="006020D6"/>
    <w:rsid w:val="0061385E"/>
    <w:rsid w:val="0061673C"/>
    <w:rsid w:val="00621C71"/>
    <w:rsid w:val="00622270"/>
    <w:rsid w:val="00623AEF"/>
    <w:rsid w:val="0062767B"/>
    <w:rsid w:val="00630025"/>
    <w:rsid w:val="00630FB6"/>
    <w:rsid w:val="00633019"/>
    <w:rsid w:val="006430F5"/>
    <w:rsid w:val="00643475"/>
    <w:rsid w:val="00647472"/>
    <w:rsid w:val="00655FAE"/>
    <w:rsid w:val="00660E1B"/>
    <w:rsid w:val="0066585A"/>
    <w:rsid w:val="00691CEC"/>
    <w:rsid w:val="00692728"/>
    <w:rsid w:val="006936D7"/>
    <w:rsid w:val="0069427C"/>
    <w:rsid w:val="00695ECC"/>
    <w:rsid w:val="006A586A"/>
    <w:rsid w:val="006B1DF3"/>
    <w:rsid w:val="006C0CA9"/>
    <w:rsid w:val="006C1752"/>
    <w:rsid w:val="006C2AC7"/>
    <w:rsid w:val="006C3181"/>
    <w:rsid w:val="006C451B"/>
    <w:rsid w:val="006C5EA2"/>
    <w:rsid w:val="006D0499"/>
    <w:rsid w:val="006D112A"/>
    <w:rsid w:val="006D4580"/>
    <w:rsid w:val="006D73AC"/>
    <w:rsid w:val="006E2D53"/>
    <w:rsid w:val="006E2E75"/>
    <w:rsid w:val="006E4B8D"/>
    <w:rsid w:val="006F26E0"/>
    <w:rsid w:val="006F276B"/>
    <w:rsid w:val="006F3BCE"/>
    <w:rsid w:val="006F3CC9"/>
    <w:rsid w:val="006F6586"/>
    <w:rsid w:val="007006DB"/>
    <w:rsid w:val="0070256A"/>
    <w:rsid w:val="00704746"/>
    <w:rsid w:val="00706B12"/>
    <w:rsid w:val="00710546"/>
    <w:rsid w:val="00710664"/>
    <w:rsid w:val="00711EA9"/>
    <w:rsid w:val="007137B3"/>
    <w:rsid w:val="00715C52"/>
    <w:rsid w:val="00724EDB"/>
    <w:rsid w:val="00725114"/>
    <w:rsid w:val="00727219"/>
    <w:rsid w:val="00731C88"/>
    <w:rsid w:val="00740CF4"/>
    <w:rsid w:val="00741189"/>
    <w:rsid w:val="007505EA"/>
    <w:rsid w:val="00750BE5"/>
    <w:rsid w:val="0075264D"/>
    <w:rsid w:val="00752C87"/>
    <w:rsid w:val="00753D3B"/>
    <w:rsid w:val="00754C2B"/>
    <w:rsid w:val="00756FEC"/>
    <w:rsid w:val="00761644"/>
    <w:rsid w:val="00762ACD"/>
    <w:rsid w:val="00764E22"/>
    <w:rsid w:val="00770862"/>
    <w:rsid w:val="007720E9"/>
    <w:rsid w:val="00776E02"/>
    <w:rsid w:val="00781724"/>
    <w:rsid w:val="007847A4"/>
    <w:rsid w:val="00791570"/>
    <w:rsid w:val="0079311F"/>
    <w:rsid w:val="00797B6F"/>
    <w:rsid w:val="007A3225"/>
    <w:rsid w:val="007A419A"/>
    <w:rsid w:val="007B5970"/>
    <w:rsid w:val="007B6D41"/>
    <w:rsid w:val="007B7294"/>
    <w:rsid w:val="007B7325"/>
    <w:rsid w:val="007B75D4"/>
    <w:rsid w:val="007C6ED3"/>
    <w:rsid w:val="007D0FA9"/>
    <w:rsid w:val="007E0508"/>
    <w:rsid w:val="007E1A08"/>
    <w:rsid w:val="007E61D1"/>
    <w:rsid w:val="007F18D9"/>
    <w:rsid w:val="007F6F4E"/>
    <w:rsid w:val="00803B03"/>
    <w:rsid w:val="00803B2B"/>
    <w:rsid w:val="00804ABE"/>
    <w:rsid w:val="00805709"/>
    <w:rsid w:val="00805ADD"/>
    <w:rsid w:val="00807B52"/>
    <w:rsid w:val="008142B1"/>
    <w:rsid w:val="00824109"/>
    <w:rsid w:val="00824583"/>
    <w:rsid w:val="00833FE6"/>
    <w:rsid w:val="008360BC"/>
    <w:rsid w:val="00841BEA"/>
    <w:rsid w:val="008452FA"/>
    <w:rsid w:val="008467CF"/>
    <w:rsid w:val="008501B7"/>
    <w:rsid w:val="00851676"/>
    <w:rsid w:val="008517C7"/>
    <w:rsid w:val="008537C3"/>
    <w:rsid w:val="00864869"/>
    <w:rsid w:val="0087222F"/>
    <w:rsid w:val="00882E7B"/>
    <w:rsid w:val="00890C36"/>
    <w:rsid w:val="00893669"/>
    <w:rsid w:val="0089722D"/>
    <w:rsid w:val="008A62FE"/>
    <w:rsid w:val="008B11D8"/>
    <w:rsid w:val="008B5BE5"/>
    <w:rsid w:val="008D17A1"/>
    <w:rsid w:val="008D64CB"/>
    <w:rsid w:val="008D7044"/>
    <w:rsid w:val="008E0C69"/>
    <w:rsid w:val="008E65F2"/>
    <w:rsid w:val="008F6691"/>
    <w:rsid w:val="009008C0"/>
    <w:rsid w:val="009021D4"/>
    <w:rsid w:val="00920050"/>
    <w:rsid w:val="0093019C"/>
    <w:rsid w:val="00931EBD"/>
    <w:rsid w:val="00936769"/>
    <w:rsid w:val="009367F5"/>
    <w:rsid w:val="0094133F"/>
    <w:rsid w:val="00952BFC"/>
    <w:rsid w:val="009619B4"/>
    <w:rsid w:val="00963CA8"/>
    <w:rsid w:val="00967E45"/>
    <w:rsid w:val="00987E31"/>
    <w:rsid w:val="0099406A"/>
    <w:rsid w:val="009A2D45"/>
    <w:rsid w:val="009B298D"/>
    <w:rsid w:val="009B76CD"/>
    <w:rsid w:val="009C520F"/>
    <w:rsid w:val="009C6825"/>
    <w:rsid w:val="009D5364"/>
    <w:rsid w:val="009E1376"/>
    <w:rsid w:val="009E2DF6"/>
    <w:rsid w:val="009E661D"/>
    <w:rsid w:val="009E7B3F"/>
    <w:rsid w:val="009F7C8A"/>
    <w:rsid w:val="00A07A6F"/>
    <w:rsid w:val="00A13178"/>
    <w:rsid w:val="00A14FF0"/>
    <w:rsid w:val="00A312CD"/>
    <w:rsid w:val="00A33015"/>
    <w:rsid w:val="00A3373E"/>
    <w:rsid w:val="00A3636A"/>
    <w:rsid w:val="00A37420"/>
    <w:rsid w:val="00A42AA6"/>
    <w:rsid w:val="00A464F6"/>
    <w:rsid w:val="00A47857"/>
    <w:rsid w:val="00A47CCE"/>
    <w:rsid w:val="00A56D35"/>
    <w:rsid w:val="00A639C4"/>
    <w:rsid w:val="00A6454D"/>
    <w:rsid w:val="00A7088C"/>
    <w:rsid w:val="00A85A12"/>
    <w:rsid w:val="00A91EB5"/>
    <w:rsid w:val="00A91F26"/>
    <w:rsid w:val="00A926DE"/>
    <w:rsid w:val="00A94552"/>
    <w:rsid w:val="00A9568F"/>
    <w:rsid w:val="00A9741D"/>
    <w:rsid w:val="00AA0169"/>
    <w:rsid w:val="00AA30C3"/>
    <w:rsid w:val="00AA39A4"/>
    <w:rsid w:val="00AA5048"/>
    <w:rsid w:val="00AA6102"/>
    <w:rsid w:val="00AB436A"/>
    <w:rsid w:val="00AB5590"/>
    <w:rsid w:val="00AC6605"/>
    <w:rsid w:val="00AC79C6"/>
    <w:rsid w:val="00AD019C"/>
    <w:rsid w:val="00AD141F"/>
    <w:rsid w:val="00AE5642"/>
    <w:rsid w:val="00AF0167"/>
    <w:rsid w:val="00AF6CDE"/>
    <w:rsid w:val="00B02DEE"/>
    <w:rsid w:val="00B03A63"/>
    <w:rsid w:val="00B03D3D"/>
    <w:rsid w:val="00B10C20"/>
    <w:rsid w:val="00B1334C"/>
    <w:rsid w:val="00B13A24"/>
    <w:rsid w:val="00B32CA0"/>
    <w:rsid w:val="00B33E43"/>
    <w:rsid w:val="00B352AD"/>
    <w:rsid w:val="00B40243"/>
    <w:rsid w:val="00B44041"/>
    <w:rsid w:val="00B44348"/>
    <w:rsid w:val="00B554B9"/>
    <w:rsid w:val="00B612FE"/>
    <w:rsid w:val="00B6410C"/>
    <w:rsid w:val="00B64B7F"/>
    <w:rsid w:val="00B65B7A"/>
    <w:rsid w:val="00B67FD1"/>
    <w:rsid w:val="00B71C90"/>
    <w:rsid w:val="00B72965"/>
    <w:rsid w:val="00B74C3B"/>
    <w:rsid w:val="00B7708D"/>
    <w:rsid w:val="00B80D33"/>
    <w:rsid w:val="00B83680"/>
    <w:rsid w:val="00B8507F"/>
    <w:rsid w:val="00B97903"/>
    <w:rsid w:val="00BA4922"/>
    <w:rsid w:val="00BA4DD4"/>
    <w:rsid w:val="00BA7B93"/>
    <w:rsid w:val="00BB13EA"/>
    <w:rsid w:val="00BC2677"/>
    <w:rsid w:val="00BC6974"/>
    <w:rsid w:val="00BD2AE4"/>
    <w:rsid w:val="00BD2B22"/>
    <w:rsid w:val="00BD6A75"/>
    <w:rsid w:val="00BE50F4"/>
    <w:rsid w:val="00BE7884"/>
    <w:rsid w:val="00C11DC2"/>
    <w:rsid w:val="00C12399"/>
    <w:rsid w:val="00C152B8"/>
    <w:rsid w:val="00C15AB7"/>
    <w:rsid w:val="00C16536"/>
    <w:rsid w:val="00C178B9"/>
    <w:rsid w:val="00C30CF6"/>
    <w:rsid w:val="00C368B6"/>
    <w:rsid w:val="00C47FE9"/>
    <w:rsid w:val="00C5504B"/>
    <w:rsid w:val="00C72982"/>
    <w:rsid w:val="00C77AA4"/>
    <w:rsid w:val="00C87D25"/>
    <w:rsid w:val="00CA5F17"/>
    <w:rsid w:val="00CB1FEE"/>
    <w:rsid w:val="00CB44F6"/>
    <w:rsid w:val="00CB5219"/>
    <w:rsid w:val="00CB52EB"/>
    <w:rsid w:val="00CB6F73"/>
    <w:rsid w:val="00CB72EF"/>
    <w:rsid w:val="00CD12EF"/>
    <w:rsid w:val="00CD2200"/>
    <w:rsid w:val="00CD55EA"/>
    <w:rsid w:val="00CF3C0C"/>
    <w:rsid w:val="00CF5590"/>
    <w:rsid w:val="00CF579B"/>
    <w:rsid w:val="00D101E2"/>
    <w:rsid w:val="00D13E8D"/>
    <w:rsid w:val="00D262FC"/>
    <w:rsid w:val="00D32FC9"/>
    <w:rsid w:val="00D33DFF"/>
    <w:rsid w:val="00D34BD4"/>
    <w:rsid w:val="00D44056"/>
    <w:rsid w:val="00D45B6A"/>
    <w:rsid w:val="00D4706C"/>
    <w:rsid w:val="00D664EC"/>
    <w:rsid w:val="00D70EF4"/>
    <w:rsid w:val="00D74B4E"/>
    <w:rsid w:val="00D836FF"/>
    <w:rsid w:val="00D9147C"/>
    <w:rsid w:val="00D92581"/>
    <w:rsid w:val="00DA2BA0"/>
    <w:rsid w:val="00DA3A45"/>
    <w:rsid w:val="00DB4B29"/>
    <w:rsid w:val="00DC3B64"/>
    <w:rsid w:val="00DC6A53"/>
    <w:rsid w:val="00DD0FE7"/>
    <w:rsid w:val="00DD2CDF"/>
    <w:rsid w:val="00DD3C2E"/>
    <w:rsid w:val="00DD4849"/>
    <w:rsid w:val="00DE23D4"/>
    <w:rsid w:val="00DF2F32"/>
    <w:rsid w:val="00DF4DE2"/>
    <w:rsid w:val="00E13462"/>
    <w:rsid w:val="00E14E37"/>
    <w:rsid w:val="00E15A75"/>
    <w:rsid w:val="00E21E0F"/>
    <w:rsid w:val="00E220AB"/>
    <w:rsid w:val="00E22DAE"/>
    <w:rsid w:val="00E246FD"/>
    <w:rsid w:val="00E261AA"/>
    <w:rsid w:val="00E30967"/>
    <w:rsid w:val="00E3598B"/>
    <w:rsid w:val="00E36E12"/>
    <w:rsid w:val="00E37622"/>
    <w:rsid w:val="00E51FB6"/>
    <w:rsid w:val="00E62CDB"/>
    <w:rsid w:val="00E64F31"/>
    <w:rsid w:val="00E7136F"/>
    <w:rsid w:val="00E75174"/>
    <w:rsid w:val="00E82CD6"/>
    <w:rsid w:val="00E93F87"/>
    <w:rsid w:val="00EA37E4"/>
    <w:rsid w:val="00EA5CD9"/>
    <w:rsid w:val="00EB6695"/>
    <w:rsid w:val="00EC1B44"/>
    <w:rsid w:val="00EC5274"/>
    <w:rsid w:val="00ED48C8"/>
    <w:rsid w:val="00ED4C77"/>
    <w:rsid w:val="00EE065C"/>
    <w:rsid w:val="00EE6B70"/>
    <w:rsid w:val="00EF4C34"/>
    <w:rsid w:val="00F04755"/>
    <w:rsid w:val="00F0644D"/>
    <w:rsid w:val="00F06819"/>
    <w:rsid w:val="00F176B7"/>
    <w:rsid w:val="00F21635"/>
    <w:rsid w:val="00F34662"/>
    <w:rsid w:val="00F36E9D"/>
    <w:rsid w:val="00F403CE"/>
    <w:rsid w:val="00F4236A"/>
    <w:rsid w:val="00F45F54"/>
    <w:rsid w:val="00F50499"/>
    <w:rsid w:val="00F5199E"/>
    <w:rsid w:val="00F53556"/>
    <w:rsid w:val="00F6231D"/>
    <w:rsid w:val="00F626BE"/>
    <w:rsid w:val="00F7793D"/>
    <w:rsid w:val="00F8218A"/>
    <w:rsid w:val="00FA18C3"/>
    <w:rsid w:val="00FA49C7"/>
    <w:rsid w:val="00FA5E35"/>
    <w:rsid w:val="00FC549A"/>
    <w:rsid w:val="00FC5EB1"/>
    <w:rsid w:val="00FC60BC"/>
    <w:rsid w:val="00FD5E2F"/>
    <w:rsid w:val="00FD6C27"/>
    <w:rsid w:val="00FE0510"/>
    <w:rsid w:val="00FE43F5"/>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CBB1A-0677-4EF9-8FD0-B24C6926F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12</Pages>
  <Words>4595</Words>
  <Characters>27573</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Adam Homa</cp:lastModifiedBy>
  <cp:revision>29</cp:revision>
  <cp:lastPrinted>2024-09-27T08:55:00Z</cp:lastPrinted>
  <dcterms:created xsi:type="dcterms:W3CDTF">2024-01-17T13:39:00Z</dcterms:created>
  <dcterms:modified xsi:type="dcterms:W3CDTF">2024-09-27T08:58:00Z</dcterms:modified>
</cp:coreProperties>
</file>