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9A444" w14:textId="11D4102A" w:rsidR="00530E69" w:rsidRDefault="00530E69" w:rsidP="003640EF">
      <w:pPr>
        <w:pStyle w:val="Nagwek2"/>
        <w:tabs>
          <w:tab w:val="num" w:pos="1800"/>
        </w:tabs>
        <w:jc w:val="both"/>
        <w:rPr>
          <w:rFonts w:ascii="Times New Roman" w:hAnsi="Times New Roman" w:cs="Times New Roman"/>
          <w:bCs w:val="0"/>
          <w:i w:val="0"/>
          <w:sz w:val="24"/>
          <w:szCs w:val="24"/>
        </w:rPr>
      </w:pPr>
      <w:r>
        <w:rPr>
          <w:rFonts w:ascii="Times New Roman" w:hAnsi="Times New Roman" w:cs="Times New Roman"/>
          <w:bCs w:val="0"/>
          <w:i w:val="0"/>
          <w:sz w:val="24"/>
          <w:szCs w:val="24"/>
        </w:rPr>
        <w:t xml:space="preserve">                                 </w:t>
      </w:r>
      <w:r w:rsidR="00E74D6D">
        <w:rPr>
          <w:rFonts w:ascii="Times New Roman" w:hAnsi="Times New Roman" w:cs="Times New Roman"/>
          <w:bCs w:val="0"/>
          <w:i w:val="0"/>
          <w:noProof/>
          <w:sz w:val="24"/>
          <w:szCs w:val="24"/>
        </w:rPr>
        <w:drawing>
          <wp:inline distT="0" distB="0" distL="0" distR="0" wp14:anchorId="2EB76FAF" wp14:editId="6C3D96EE">
            <wp:extent cx="2038350" cy="628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8350" cy="628650"/>
                    </a:xfrm>
                    <a:prstGeom prst="rect">
                      <a:avLst/>
                    </a:prstGeom>
                    <a:noFill/>
                  </pic:spPr>
                </pic:pic>
              </a:graphicData>
            </a:graphic>
          </wp:inline>
        </w:drawing>
      </w:r>
      <w:r>
        <w:rPr>
          <w:rFonts w:ascii="Times New Roman" w:hAnsi="Times New Roman" w:cs="Times New Roman"/>
          <w:bCs w:val="0"/>
          <w:i w:val="0"/>
          <w:sz w:val="24"/>
          <w:szCs w:val="24"/>
        </w:rPr>
        <w:t xml:space="preserve">                       </w:t>
      </w:r>
      <w:r>
        <w:rPr>
          <w:rFonts w:ascii="Times New Roman" w:hAnsi="Times New Roman" w:cs="Times New Roman"/>
          <w:bCs w:val="0"/>
          <w:i w:val="0"/>
          <w:noProof/>
          <w:sz w:val="24"/>
          <w:szCs w:val="24"/>
        </w:rPr>
        <w:drawing>
          <wp:inline distT="0" distB="0" distL="0" distR="0" wp14:anchorId="01D51B53" wp14:editId="600F2B5F">
            <wp:extent cx="1552575" cy="5524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2575" cy="552450"/>
                    </a:xfrm>
                    <a:prstGeom prst="rect">
                      <a:avLst/>
                    </a:prstGeom>
                    <a:noFill/>
                  </pic:spPr>
                </pic:pic>
              </a:graphicData>
            </a:graphic>
          </wp:inline>
        </w:drawing>
      </w:r>
    </w:p>
    <w:p w14:paraId="741A6B76" w14:textId="77777777" w:rsidR="00530E69" w:rsidRDefault="00530E69" w:rsidP="003640EF">
      <w:pPr>
        <w:pStyle w:val="Nagwek2"/>
        <w:tabs>
          <w:tab w:val="num" w:pos="1800"/>
        </w:tabs>
        <w:jc w:val="both"/>
        <w:rPr>
          <w:rFonts w:ascii="Times New Roman" w:hAnsi="Times New Roman" w:cs="Times New Roman"/>
          <w:bCs w:val="0"/>
          <w:i w:val="0"/>
          <w:sz w:val="24"/>
          <w:szCs w:val="24"/>
        </w:rPr>
      </w:pPr>
    </w:p>
    <w:p w14:paraId="309BC3F9" w14:textId="2DDF8C69" w:rsidR="003640EF" w:rsidRPr="003731CB" w:rsidRDefault="003640EF" w:rsidP="003640EF">
      <w:pPr>
        <w:pStyle w:val="Nagwek2"/>
        <w:tabs>
          <w:tab w:val="num" w:pos="1800"/>
        </w:tabs>
        <w:jc w:val="both"/>
        <w:rPr>
          <w:rFonts w:ascii="Times New Roman" w:hAnsi="Times New Roman" w:cs="Times New Roman"/>
          <w:bCs w:val="0"/>
          <w:i w:val="0"/>
          <w:sz w:val="24"/>
          <w:szCs w:val="24"/>
        </w:rPr>
      </w:pPr>
      <w:r w:rsidRPr="003731CB">
        <w:rPr>
          <w:rFonts w:ascii="Times New Roman" w:hAnsi="Times New Roman" w:cs="Times New Roman"/>
          <w:bCs w:val="0"/>
          <w:i w:val="0"/>
          <w:sz w:val="24"/>
          <w:szCs w:val="24"/>
        </w:rPr>
        <w:t>Załącznik nr 1 do SWZ  –  Szczegółowy opis przedmiotu zamówienia</w:t>
      </w:r>
    </w:p>
    <w:p w14:paraId="62B9FE4C" w14:textId="77777777" w:rsidR="003640EF" w:rsidRPr="003731CB" w:rsidRDefault="003640EF" w:rsidP="003640EF">
      <w:pPr>
        <w:rPr>
          <w:lang w:val="x-none" w:eastAsia="x-none"/>
        </w:rPr>
      </w:pPr>
    </w:p>
    <w:p w14:paraId="145D9775" w14:textId="77777777" w:rsidR="003640EF" w:rsidRPr="003731CB" w:rsidRDefault="003640EF" w:rsidP="003640EF">
      <w:pPr>
        <w:pStyle w:val="Akapitzlist"/>
        <w:tabs>
          <w:tab w:val="left" w:pos="426"/>
        </w:tabs>
        <w:ind w:left="0"/>
        <w:jc w:val="both"/>
        <w:rPr>
          <w:rFonts w:ascii="Times New Roman" w:eastAsiaTheme="majorEastAsia" w:hAnsi="Times New Roman" w:cs="Times New Roman"/>
          <w:sz w:val="24"/>
          <w:szCs w:val="24"/>
        </w:rPr>
      </w:pPr>
      <w:r w:rsidRPr="003731CB">
        <w:rPr>
          <w:rFonts w:ascii="Times New Roman" w:hAnsi="Times New Roman" w:cs="Times New Roman"/>
          <w:sz w:val="24"/>
          <w:szCs w:val="24"/>
        </w:rPr>
        <w:t xml:space="preserve">Przedmiotem zamówienia jest </w:t>
      </w:r>
      <w:r w:rsidRPr="003731CB">
        <w:rPr>
          <w:rFonts w:ascii="Times New Roman" w:eastAsiaTheme="majorEastAsia" w:hAnsi="Times New Roman" w:cs="Times New Roman"/>
          <w:sz w:val="24"/>
          <w:szCs w:val="24"/>
        </w:rPr>
        <w:t>dostawa materiałów edukacyjnych oraz pomocy dydaktycznych z rozszerzoną rzeczywistością dla uczniów szkół podstawowych, która obejmować będzie:</w:t>
      </w:r>
    </w:p>
    <w:p w14:paraId="658821EB" w14:textId="77777777" w:rsidR="003640EF" w:rsidRPr="003731CB" w:rsidRDefault="003640EF" w:rsidP="003640EF">
      <w:pPr>
        <w:pStyle w:val="Akapitzlist"/>
        <w:tabs>
          <w:tab w:val="left" w:pos="426"/>
        </w:tabs>
        <w:ind w:left="0"/>
        <w:jc w:val="both"/>
        <w:rPr>
          <w:rFonts w:ascii="Times New Roman" w:eastAsiaTheme="majorEastAsia" w:hAnsi="Times New Roman" w:cs="Times New Roman"/>
          <w:sz w:val="24"/>
          <w:szCs w:val="24"/>
        </w:rPr>
      </w:pPr>
    </w:p>
    <w:p w14:paraId="328A19FA" w14:textId="77777777" w:rsidR="003640EF" w:rsidRPr="003731CB" w:rsidRDefault="003640EF" w:rsidP="003640EF">
      <w:pPr>
        <w:pStyle w:val="Akapitzlist"/>
        <w:numPr>
          <w:ilvl w:val="1"/>
          <w:numId w:val="2"/>
        </w:numPr>
        <w:tabs>
          <w:tab w:val="left" w:pos="426"/>
        </w:tabs>
        <w:ind w:left="0"/>
        <w:jc w:val="both"/>
        <w:rPr>
          <w:rFonts w:ascii="Times New Roman" w:eastAsiaTheme="majorEastAsia" w:hAnsi="Times New Roman" w:cs="Times New Roman"/>
          <w:sz w:val="24"/>
          <w:szCs w:val="24"/>
        </w:rPr>
      </w:pPr>
      <w:r w:rsidRPr="003731CB">
        <w:rPr>
          <w:rFonts w:ascii="Times New Roman" w:eastAsiaTheme="majorEastAsia" w:hAnsi="Times New Roman" w:cs="Times New Roman"/>
          <w:b/>
          <w:sz w:val="24"/>
          <w:szCs w:val="24"/>
        </w:rPr>
        <w:t>Przygotowanie do druku.</w:t>
      </w:r>
    </w:p>
    <w:p w14:paraId="77134AFB" w14:textId="77777777" w:rsidR="003640EF" w:rsidRPr="003731CB" w:rsidRDefault="003640EF" w:rsidP="003640EF">
      <w:pPr>
        <w:pStyle w:val="Akapitzlist"/>
        <w:tabs>
          <w:tab w:val="left" w:pos="426"/>
        </w:tabs>
        <w:ind w:left="0"/>
        <w:jc w:val="both"/>
        <w:rPr>
          <w:rFonts w:ascii="Times New Roman" w:eastAsiaTheme="majorEastAsia" w:hAnsi="Times New Roman" w:cs="Times New Roman"/>
          <w:sz w:val="24"/>
          <w:szCs w:val="24"/>
        </w:rPr>
      </w:pPr>
      <w:r w:rsidRPr="003731CB">
        <w:rPr>
          <w:rFonts w:ascii="Times New Roman" w:eastAsiaTheme="majorEastAsia" w:hAnsi="Times New Roman" w:cs="Times New Roman"/>
          <w:sz w:val="24"/>
          <w:szCs w:val="24"/>
        </w:rPr>
        <w:t>Na podstawie treści zawartej w plikach, które zostaną udostępnione przez Zamawiającego w celu odwzorowania graficznego z zachowaniem formy zgodnej z dokumentami oryginalnymi oraz z uwzględnieniem wszystkich zawartych w nich elementów, Wykonawca przygotuje do druku pliki, które będą zawierać treści, grafiki, kody QR oraz znaczniki (zdjęcia, rysunki) wyzwalające rozszerzoną rzeczywistość AR (ang. augmented reality). Materiały te będą miały dodatkowy, interaktywny kanał multimedialny poprzez zastosowanie technologii rzeczywistości rozszerzonej, co pozwoli odbiorcy, po najechaniu urządzeniem (np. tabletem lub smartfonem) z odpowiednim oprogramowaniem na wybrane elementy, zobaczyć dodatkowe informacje w postaci filmu, animacji lub obrazu. Efekt AR będzie wywoływany przez zaprogramowany obraz lub znacznik rozpoznawany przez aplikację mobilną zainstalowaną na urządzeniu odbiorcy. Zamawiający dysponuje materiałami kompatybilnymi z aplikacją obsługującą rozszerzoną rzeczywistość firmy Runvido Sp z o.o. ul. Twarda 18, 00-105 Warszawa, Polska. Wykonawca będzie zobowiązany do utrzymania funkcji rozszerzonej rzeczywistości poprzez zastosowanie alternatywnych aplikacji o równoważnych lub wyższych parametrach oraz funkcjonalności lub poprzez uzyskanie licencji od firmy Runvido Sp z o.o. ul. Twarda 18, 00-105 Warszawa, Polska. Uzyskanie licencji oraz wszelkich porozumień z firmą Runvido Sp z o.o. ul. Twarda 18, 00-105 Warszawa, Polska</w:t>
      </w:r>
      <w:r w:rsidRPr="003731CB" w:rsidDel="000B2BA3">
        <w:rPr>
          <w:rFonts w:ascii="Times New Roman" w:eastAsiaTheme="majorEastAsia" w:hAnsi="Times New Roman" w:cs="Times New Roman"/>
          <w:sz w:val="24"/>
          <w:szCs w:val="24"/>
        </w:rPr>
        <w:t xml:space="preserve"> </w:t>
      </w:r>
      <w:r w:rsidRPr="003731CB">
        <w:rPr>
          <w:rFonts w:ascii="Times New Roman" w:eastAsiaTheme="majorEastAsia" w:hAnsi="Times New Roman" w:cs="Times New Roman"/>
          <w:sz w:val="24"/>
          <w:szCs w:val="24"/>
        </w:rPr>
        <w:t>leży po stronie Wykonawcy i jest realizowane na jego koszt.</w:t>
      </w:r>
    </w:p>
    <w:p w14:paraId="3A30841B" w14:textId="77777777" w:rsidR="003640EF" w:rsidRPr="003731CB" w:rsidRDefault="003640EF" w:rsidP="003640EF">
      <w:pPr>
        <w:pStyle w:val="Akapitzlist"/>
        <w:tabs>
          <w:tab w:val="left" w:pos="426"/>
        </w:tabs>
        <w:ind w:left="0"/>
        <w:jc w:val="both"/>
        <w:rPr>
          <w:rFonts w:ascii="Times New Roman" w:eastAsiaTheme="majorEastAsia" w:hAnsi="Times New Roman" w:cs="Times New Roman"/>
          <w:sz w:val="24"/>
          <w:szCs w:val="24"/>
        </w:rPr>
      </w:pPr>
    </w:p>
    <w:p w14:paraId="7248E2A3" w14:textId="77777777" w:rsidR="003640EF" w:rsidRPr="003731CB" w:rsidRDefault="003640EF" w:rsidP="003640EF">
      <w:pPr>
        <w:pStyle w:val="Akapitzlist"/>
        <w:tabs>
          <w:tab w:val="left" w:pos="426"/>
        </w:tabs>
        <w:ind w:left="0"/>
        <w:jc w:val="both"/>
        <w:rPr>
          <w:rFonts w:ascii="Times New Roman" w:eastAsiaTheme="majorEastAsia" w:hAnsi="Times New Roman" w:cs="Times New Roman"/>
          <w:sz w:val="24"/>
          <w:szCs w:val="24"/>
        </w:rPr>
      </w:pPr>
      <w:bookmarkStart w:id="0" w:name="_Hlk177372030"/>
      <w:r w:rsidRPr="003731CB">
        <w:rPr>
          <w:rFonts w:ascii="Times New Roman" w:eastAsiaTheme="majorEastAsia" w:hAnsi="Times New Roman" w:cs="Times New Roman"/>
          <w:sz w:val="24"/>
          <w:szCs w:val="24"/>
        </w:rPr>
        <w:t>Informacje techniczne dotyczące zastosowania rozszerzonej rzeczywistości w poszczególnych materiałach:</w:t>
      </w:r>
    </w:p>
    <w:p w14:paraId="712B7774" w14:textId="77777777" w:rsidR="003640EF" w:rsidRPr="003731CB" w:rsidRDefault="003640EF" w:rsidP="003640EF">
      <w:pPr>
        <w:pStyle w:val="Akapitzlist"/>
        <w:numPr>
          <w:ilvl w:val="1"/>
          <w:numId w:val="1"/>
        </w:numPr>
        <w:ind w:left="426"/>
        <w:jc w:val="both"/>
        <w:rPr>
          <w:rFonts w:ascii="Times New Roman" w:eastAsiaTheme="majorEastAsia" w:hAnsi="Times New Roman" w:cs="Times New Roman"/>
          <w:sz w:val="24"/>
          <w:szCs w:val="24"/>
        </w:rPr>
      </w:pPr>
      <w:r w:rsidRPr="003731CB">
        <w:rPr>
          <w:rFonts w:ascii="Times New Roman" w:eastAsiaTheme="majorEastAsia" w:hAnsi="Times New Roman" w:cs="Times New Roman"/>
          <w:sz w:val="24"/>
          <w:szCs w:val="24"/>
        </w:rPr>
        <w:t>Przewodnik metodyczny „Junior-Edu-Żywienie” z rozszerzoną rzeczywistością</w:t>
      </w:r>
      <w:r w:rsidRPr="003731CB">
        <w:rPr>
          <w:rFonts w:ascii="Times New Roman" w:eastAsiaTheme="majorEastAsia" w:hAnsi="Times New Roman" w:cs="Times New Roman"/>
          <w:sz w:val="24"/>
          <w:szCs w:val="24"/>
        </w:rPr>
        <w:br/>
      </w:r>
    </w:p>
    <w:p w14:paraId="2B92A13E" w14:textId="77777777" w:rsidR="003640EF" w:rsidRPr="003731CB" w:rsidRDefault="003640EF" w:rsidP="003640EF">
      <w:pPr>
        <w:pStyle w:val="Akapitzlist"/>
        <w:ind w:left="426" w:hanging="360"/>
        <w:jc w:val="both"/>
        <w:rPr>
          <w:rFonts w:ascii="Times New Roman" w:eastAsiaTheme="majorEastAsia" w:hAnsi="Times New Roman" w:cs="Times New Roman"/>
          <w:sz w:val="24"/>
          <w:szCs w:val="24"/>
        </w:rPr>
      </w:pPr>
      <w:r w:rsidRPr="003731CB">
        <w:rPr>
          <w:rFonts w:ascii="Times New Roman" w:eastAsiaTheme="majorEastAsia" w:hAnsi="Times New Roman" w:cs="Times New Roman"/>
          <w:sz w:val="24"/>
          <w:szCs w:val="24"/>
        </w:rPr>
        <w:t>Umieszczone wyzwalacze w postaci kodów QR przenoszące do serwisu YouTube.</w:t>
      </w:r>
    </w:p>
    <w:p w14:paraId="334083FE" w14:textId="77777777" w:rsidR="003640EF" w:rsidRPr="003731CB" w:rsidRDefault="003640EF" w:rsidP="003640EF">
      <w:pPr>
        <w:pStyle w:val="Akapitzlist"/>
        <w:ind w:left="426" w:hanging="360"/>
        <w:jc w:val="both"/>
        <w:rPr>
          <w:rFonts w:ascii="Times New Roman" w:eastAsiaTheme="majorEastAsia" w:hAnsi="Times New Roman" w:cs="Times New Roman"/>
          <w:sz w:val="24"/>
          <w:szCs w:val="24"/>
        </w:rPr>
      </w:pPr>
    </w:p>
    <w:p w14:paraId="4D147127" w14:textId="77777777" w:rsidR="003640EF" w:rsidRPr="003731CB" w:rsidRDefault="003640EF" w:rsidP="003640EF">
      <w:pPr>
        <w:pStyle w:val="Akapitzlist"/>
        <w:numPr>
          <w:ilvl w:val="1"/>
          <w:numId w:val="1"/>
        </w:numPr>
        <w:ind w:left="426"/>
        <w:jc w:val="both"/>
        <w:rPr>
          <w:rFonts w:ascii="Times New Roman" w:eastAsiaTheme="majorEastAsia" w:hAnsi="Times New Roman" w:cs="Times New Roman"/>
          <w:sz w:val="24"/>
          <w:szCs w:val="24"/>
        </w:rPr>
      </w:pPr>
      <w:r w:rsidRPr="003731CB">
        <w:rPr>
          <w:rFonts w:ascii="Times New Roman" w:hAnsi="Times New Roman" w:cs="Times New Roman"/>
          <w:sz w:val="24"/>
          <w:szCs w:val="24"/>
        </w:rPr>
        <w:t>Książka kucharska z rozszerzoną rzeczywistością</w:t>
      </w:r>
    </w:p>
    <w:p w14:paraId="2445C2C1" w14:textId="77777777" w:rsidR="003640EF" w:rsidRPr="003731CB" w:rsidRDefault="003640EF" w:rsidP="003640EF">
      <w:pPr>
        <w:tabs>
          <w:tab w:val="left" w:pos="426"/>
        </w:tabs>
        <w:ind w:left="426" w:hanging="360"/>
        <w:jc w:val="both"/>
        <w:rPr>
          <w:rFonts w:eastAsiaTheme="majorEastAsia"/>
        </w:rPr>
      </w:pPr>
      <w:r w:rsidRPr="003731CB">
        <w:rPr>
          <w:rFonts w:eastAsiaTheme="majorEastAsia"/>
        </w:rPr>
        <w:t>W książce kucharskiej została zastosowana rozszerzona rzeczywistość w postaci prezentacji filmowej jak przygotować daną potrawę. Umieszczono 27 filmów zapisanych w formacie .mp4 o wielkościach od 5 MB do 87 MB</w:t>
      </w:r>
    </w:p>
    <w:p w14:paraId="234D3AEF" w14:textId="77777777" w:rsidR="003640EF" w:rsidRPr="003731CB" w:rsidRDefault="003640EF" w:rsidP="003640EF">
      <w:pPr>
        <w:tabs>
          <w:tab w:val="left" w:pos="426"/>
        </w:tabs>
        <w:ind w:left="426" w:hanging="360"/>
        <w:jc w:val="both"/>
        <w:rPr>
          <w:rFonts w:eastAsiaTheme="majorEastAsia"/>
        </w:rPr>
      </w:pPr>
      <w:r w:rsidRPr="003731CB">
        <w:rPr>
          <w:rFonts w:eastAsiaTheme="majorEastAsia"/>
        </w:rPr>
        <w:t>•</w:t>
      </w:r>
      <w:r w:rsidRPr="003731CB">
        <w:rPr>
          <w:rFonts w:eastAsiaTheme="majorEastAsia"/>
        </w:rPr>
        <w:tab/>
        <w:t>wymiary zdjęć: Format: PNG. Szerokość: 538px Wysokość: 273px</w:t>
      </w:r>
    </w:p>
    <w:p w14:paraId="64DAADFA" w14:textId="77777777" w:rsidR="003640EF" w:rsidRPr="003731CB" w:rsidRDefault="003640EF" w:rsidP="003640EF">
      <w:pPr>
        <w:tabs>
          <w:tab w:val="left" w:pos="426"/>
        </w:tabs>
        <w:ind w:left="426" w:hanging="360"/>
        <w:jc w:val="both"/>
        <w:rPr>
          <w:rFonts w:eastAsiaTheme="majorEastAsia"/>
        </w:rPr>
      </w:pPr>
      <w:r w:rsidRPr="003731CB">
        <w:rPr>
          <w:rFonts w:eastAsiaTheme="majorEastAsia"/>
        </w:rPr>
        <w:t>•</w:t>
      </w:r>
      <w:r w:rsidRPr="003731CB">
        <w:rPr>
          <w:rFonts w:eastAsiaTheme="majorEastAsia"/>
        </w:rPr>
        <w:tab/>
        <w:t>wymiary filmów: Format: MP4 Szerokość: 1920px Wysokość: 1080px</w:t>
      </w:r>
    </w:p>
    <w:p w14:paraId="345130C7" w14:textId="77777777" w:rsidR="003640EF" w:rsidRPr="003731CB" w:rsidRDefault="003640EF" w:rsidP="003640EF">
      <w:pPr>
        <w:tabs>
          <w:tab w:val="left" w:pos="426"/>
        </w:tabs>
        <w:ind w:left="426" w:hanging="360"/>
        <w:jc w:val="both"/>
        <w:rPr>
          <w:rFonts w:eastAsiaTheme="majorEastAsia"/>
        </w:rPr>
      </w:pPr>
      <w:r w:rsidRPr="003731CB">
        <w:rPr>
          <w:rFonts w:eastAsiaTheme="majorEastAsia"/>
        </w:rPr>
        <w:t xml:space="preserve"> </w:t>
      </w:r>
    </w:p>
    <w:p w14:paraId="29C91DC8" w14:textId="77777777" w:rsidR="003640EF" w:rsidRPr="003731CB" w:rsidRDefault="003640EF" w:rsidP="003640EF">
      <w:pPr>
        <w:pStyle w:val="Akapitzlist"/>
        <w:numPr>
          <w:ilvl w:val="1"/>
          <w:numId w:val="1"/>
        </w:numPr>
        <w:tabs>
          <w:tab w:val="left" w:pos="426"/>
        </w:tabs>
        <w:ind w:left="426"/>
        <w:jc w:val="both"/>
        <w:rPr>
          <w:rFonts w:ascii="Times New Roman" w:eastAsiaTheme="majorEastAsia" w:hAnsi="Times New Roman" w:cs="Times New Roman"/>
          <w:sz w:val="24"/>
          <w:szCs w:val="24"/>
        </w:rPr>
      </w:pPr>
      <w:r w:rsidRPr="003731CB">
        <w:rPr>
          <w:rFonts w:ascii="Times New Roman" w:eastAsiaTheme="majorEastAsia" w:hAnsi="Times New Roman" w:cs="Times New Roman"/>
          <w:sz w:val="24"/>
          <w:szCs w:val="24"/>
        </w:rPr>
        <w:lastRenderedPageBreak/>
        <w:t>Komiks dla dzieci z zakresu tematyki prawidłowego żywienia z rozszerzoną rzeczywistością</w:t>
      </w:r>
    </w:p>
    <w:p w14:paraId="2388532E" w14:textId="77777777" w:rsidR="003640EF" w:rsidRPr="003731CB" w:rsidRDefault="003640EF" w:rsidP="003640EF">
      <w:pPr>
        <w:tabs>
          <w:tab w:val="left" w:pos="426"/>
        </w:tabs>
        <w:ind w:left="426" w:hanging="360"/>
        <w:jc w:val="both"/>
        <w:rPr>
          <w:rFonts w:eastAsiaTheme="majorEastAsia"/>
        </w:rPr>
      </w:pPr>
      <w:r w:rsidRPr="003731CB">
        <w:rPr>
          <w:rFonts w:eastAsiaTheme="majorEastAsia"/>
        </w:rPr>
        <w:t>W komiksie zostały zastosowane ułatwienia i możliwość sprawdzenia poprawności rozwiązania krzyżówek, rebusów itp.</w:t>
      </w:r>
    </w:p>
    <w:p w14:paraId="3FEBD72A" w14:textId="77777777" w:rsidR="003640EF" w:rsidRPr="003731CB" w:rsidRDefault="003640EF" w:rsidP="003640EF">
      <w:pPr>
        <w:tabs>
          <w:tab w:val="left" w:pos="426"/>
        </w:tabs>
        <w:ind w:left="426" w:hanging="360"/>
        <w:jc w:val="both"/>
        <w:rPr>
          <w:rFonts w:eastAsiaTheme="majorEastAsia"/>
        </w:rPr>
      </w:pPr>
      <w:r w:rsidRPr="003731CB">
        <w:rPr>
          <w:rFonts w:eastAsiaTheme="majorEastAsia"/>
        </w:rPr>
        <w:t>•</w:t>
      </w:r>
      <w:r w:rsidRPr="003731CB">
        <w:rPr>
          <w:rFonts w:eastAsiaTheme="majorEastAsia"/>
        </w:rPr>
        <w:tab/>
        <w:t>Krzyżówki, rebusy itp: Format: JPG. Szerokość: 891px Wysokość: 1292px</w:t>
      </w:r>
    </w:p>
    <w:p w14:paraId="55AA3CB9" w14:textId="77777777" w:rsidR="003640EF" w:rsidRPr="003731CB" w:rsidRDefault="003640EF" w:rsidP="003640EF">
      <w:pPr>
        <w:tabs>
          <w:tab w:val="left" w:pos="426"/>
        </w:tabs>
        <w:ind w:left="426" w:hanging="360"/>
        <w:jc w:val="both"/>
        <w:rPr>
          <w:rFonts w:eastAsiaTheme="majorEastAsia"/>
        </w:rPr>
      </w:pPr>
      <w:r w:rsidRPr="003731CB">
        <w:rPr>
          <w:rFonts w:eastAsiaTheme="majorEastAsia"/>
        </w:rPr>
        <w:t>•</w:t>
      </w:r>
      <w:r w:rsidRPr="003731CB">
        <w:rPr>
          <w:rFonts w:eastAsiaTheme="majorEastAsia"/>
        </w:rPr>
        <w:tab/>
        <w:t>24 rozwiązania krzyżówek i rebusów</w:t>
      </w:r>
    </w:p>
    <w:p w14:paraId="7EE87692" w14:textId="77777777" w:rsidR="003640EF" w:rsidRPr="003731CB" w:rsidRDefault="003640EF" w:rsidP="003640EF">
      <w:pPr>
        <w:tabs>
          <w:tab w:val="left" w:pos="426"/>
        </w:tabs>
        <w:jc w:val="both"/>
        <w:rPr>
          <w:rFonts w:eastAsiaTheme="majorEastAsia"/>
        </w:rPr>
      </w:pPr>
    </w:p>
    <w:p w14:paraId="3719B86C" w14:textId="77777777" w:rsidR="003640EF" w:rsidRPr="003731CB" w:rsidRDefault="003640EF" w:rsidP="003640EF">
      <w:pPr>
        <w:tabs>
          <w:tab w:val="left" w:pos="426"/>
        </w:tabs>
        <w:jc w:val="both"/>
        <w:rPr>
          <w:rFonts w:eastAsiaTheme="majorEastAsia"/>
        </w:rPr>
      </w:pPr>
    </w:p>
    <w:bookmarkEnd w:id="0"/>
    <w:p w14:paraId="70C4EAF6" w14:textId="77777777" w:rsidR="003640EF" w:rsidRPr="003731CB" w:rsidRDefault="003640EF" w:rsidP="003640EF">
      <w:pPr>
        <w:pStyle w:val="Akapitzlist"/>
        <w:tabs>
          <w:tab w:val="left" w:pos="426"/>
        </w:tabs>
        <w:ind w:left="0"/>
        <w:jc w:val="both"/>
        <w:rPr>
          <w:rFonts w:ascii="Times New Roman" w:eastAsiaTheme="majorEastAsia" w:hAnsi="Times New Roman" w:cs="Times New Roman"/>
          <w:sz w:val="24"/>
          <w:szCs w:val="24"/>
        </w:rPr>
      </w:pPr>
      <w:r w:rsidRPr="003731CB">
        <w:rPr>
          <w:rFonts w:ascii="Times New Roman" w:eastAsiaTheme="majorEastAsia" w:hAnsi="Times New Roman" w:cs="Times New Roman"/>
          <w:sz w:val="24"/>
          <w:szCs w:val="24"/>
        </w:rPr>
        <w:t>Wykonawca zobowiązuje się do wykonania drobnych korekt edytorskich związanych z uaktualnieniem logotypów, podtytułów i innych poprawek wskazanych przez Zamawiającego. Wykonawca przekaże każdorazowo Zamawiającemu do akceptacji wykonaną korektę.</w:t>
      </w:r>
    </w:p>
    <w:p w14:paraId="4D76D681" w14:textId="77777777" w:rsidR="003640EF" w:rsidRPr="003731CB" w:rsidRDefault="003640EF" w:rsidP="003640EF">
      <w:pPr>
        <w:pStyle w:val="Akapitzlist"/>
        <w:tabs>
          <w:tab w:val="left" w:pos="426"/>
        </w:tabs>
        <w:ind w:left="0"/>
        <w:jc w:val="both"/>
        <w:rPr>
          <w:rFonts w:ascii="Times New Roman" w:eastAsiaTheme="majorEastAsia" w:hAnsi="Times New Roman" w:cs="Times New Roman"/>
          <w:sz w:val="24"/>
          <w:szCs w:val="24"/>
        </w:rPr>
      </w:pPr>
      <w:r w:rsidRPr="003731CB">
        <w:rPr>
          <w:rFonts w:ascii="Times New Roman" w:eastAsiaTheme="majorEastAsia" w:hAnsi="Times New Roman" w:cs="Times New Roman"/>
          <w:sz w:val="24"/>
          <w:szCs w:val="24"/>
        </w:rPr>
        <w:t>Przygotowanie materiałów nastąpi zgodnie ze specyfikacją wskazaną w</w:t>
      </w:r>
      <w:r w:rsidRPr="003731CB">
        <w:rPr>
          <w:rFonts w:ascii="Times New Roman" w:eastAsiaTheme="majorEastAsia" w:hAnsi="Times New Roman" w:cs="Times New Roman"/>
          <w:iCs/>
          <w:sz w:val="24"/>
          <w:szCs w:val="24"/>
        </w:rPr>
        <w:t xml:space="preserve"> pkt. 2.</w:t>
      </w:r>
    </w:p>
    <w:p w14:paraId="630FE582" w14:textId="77777777" w:rsidR="003640EF" w:rsidRPr="003731CB" w:rsidRDefault="003640EF" w:rsidP="003640EF">
      <w:pPr>
        <w:pStyle w:val="Akapitzlist"/>
        <w:tabs>
          <w:tab w:val="left" w:pos="426"/>
        </w:tabs>
        <w:ind w:left="0"/>
        <w:jc w:val="both"/>
        <w:rPr>
          <w:rFonts w:ascii="Times New Roman" w:eastAsiaTheme="majorEastAsia" w:hAnsi="Times New Roman" w:cs="Times New Roman"/>
          <w:sz w:val="24"/>
          <w:szCs w:val="24"/>
        </w:rPr>
      </w:pPr>
      <w:r w:rsidRPr="003731CB">
        <w:rPr>
          <w:rFonts w:ascii="Times New Roman" w:eastAsiaTheme="majorEastAsia" w:hAnsi="Times New Roman" w:cs="Times New Roman"/>
          <w:sz w:val="24"/>
          <w:szCs w:val="24"/>
        </w:rPr>
        <w:t>Zamawiający przekaże Wykonawcy pliki PDF oraz materiały multimedialne i graficzne.</w:t>
      </w:r>
    </w:p>
    <w:p w14:paraId="73E4937A" w14:textId="77777777" w:rsidR="003640EF" w:rsidRPr="003731CB" w:rsidRDefault="003640EF" w:rsidP="003640EF">
      <w:pPr>
        <w:pStyle w:val="Akapitzlist"/>
        <w:tabs>
          <w:tab w:val="left" w:pos="426"/>
        </w:tabs>
        <w:ind w:left="0"/>
        <w:jc w:val="both"/>
        <w:rPr>
          <w:rFonts w:ascii="Times New Roman" w:eastAsiaTheme="majorEastAsia" w:hAnsi="Times New Roman" w:cs="Times New Roman"/>
          <w:sz w:val="24"/>
          <w:szCs w:val="24"/>
        </w:rPr>
      </w:pPr>
    </w:p>
    <w:p w14:paraId="22FA94B3" w14:textId="77777777" w:rsidR="003640EF" w:rsidRPr="003731CB" w:rsidRDefault="003640EF" w:rsidP="003640EF">
      <w:pPr>
        <w:pStyle w:val="Akapitzlist"/>
        <w:numPr>
          <w:ilvl w:val="1"/>
          <w:numId w:val="2"/>
        </w:numPr>
        <w:tabs>
          <w:tab w:val="left" w:pos="426"/>
        </w:tabs>
        <w:ind w:left="0"/>
        <w:jc w:val="both"/>
        <w:rPr>
          <w:rFonts w:ascii="Times New Roman" w:eastAsiaTheme="majorEastAsia" w:hAnsi="Times New Roman" w:cs="Times New Roman"/>
          <w:b/>
          <w:sz w:val="24"/>
          <w:szCs w:val="24"/>
        </w:rPr>
      </w:pPr>
      <w:r w:rsidRPr="003731CB">
        <w:rPr>
          <w:rFonts w:ascii="Times New Roman" w:eastAsiaTheme="majorEastAsia" w:hAnsi="Times New Roman" w:cs="Times New Roman"/>
          <w:b/>
          <w:sz w:val="24"/>
          <w:szCs w:val="24"/>
        </w:rPr>
        <w:t>Druk.</w:t>
      </w:r>
    </w:p>
    <w:p w14:paraId="022767BB" w14:textId="77777777" w:rsidR="003640EF" w:rsidRPr="003731CB" w:rsidRDefault="003640EF" w:rsidP="003640EF">
      <w:pPr>
        <w:pStyle w:val="Akapitzlist"/>
        <w:spacing w:line="252" w:lineRule="auto"/>
        <w:ind w:left="0"/>
        <w:jc w:val="both"/>
        <w:rPr>
          <w:rFonts w:ascii="Times New Roman" w:eastAsiaTheme="majorEastAsia" w:hAnsi="Times New Roman" w:cs="Times New Roman"/>
          <w:iCs/>
          <w:sz w:val="24"/>
          <w:szCs w:val="24"/>
        </w:rPr>
      </w:pPr>
      <w:r w:rsidRPr="003731CB">
        <w:rPr>
          <w:rFonts w:ascii="Times New Roman" w:eastAsiaTheme="majorEastAsia" w:hAnsi="Times New Roman" w:cs="Times New Roman"/>
          <w:iCs/>
          <w:sz w:val="24"/>
          <w:szCs w:val="24"/>
        </w:rPr>
        <w:t>Wykonanie druku oraz</w:t>
      </w:r>
      <w:r w:rsidRPr="003731CB">
        <w:rPr>
          <w:rFonts w:ascii="Times New Roman" w:hAnsi="Times New Roman" w:cs="Times New Roman"/>
          <w:sz w:val="24"/>
          <w:szCs w:val="24"/>
        </w:rPr>
        <w:t xml:space="preserve"> </w:t>
      </w:r>
      <w:r w:rsidRPr="003731CB">
        <w:rPr>
          <w:rFonts w:ascii="Times New Roman" w:eastAsiaTheme="majorEastAsia" w:hAnsi="Times New Roman" w:cs="Times New Roman"/>
          <w:iCs/>
          <w:sz w:val="24"/>
          <w:szCs w:val="24"/>
        </w:rPr>
        <w:t>oprawa w nakładzie wskazanym w poniższej specyfikacji:</w:t>
      </w:r>
    </w:p>
    <w:p w14:paraId="3CC31619" w14:textId="77777777" w:rsidR="003640EF" w:rsidRPr="003731CB" w:rsidRDefault="003640EF" w:rsidP="003640EF">
      <w:pPr>
        <w:pStyle w:val="Akapitzlist"/>
        <w:spacing w:line="252" w:lineRule="auto"/>
        <w:jc w:val="both"/>
        <w:rPr>
          <w:rFonts w:ascii="Times New Roman" w:eastAsiaTheme="majorEastAsia" w:hAnsi="Times New Roman" w:cs="Times New Roman"/>
          <w:iCs/>
          <w:sz w:val="24"/>
          <w:szCs w:val="24"/>
        </w:rPr>
      </w:pPr>
    </w:p>
    <w:p w14:paraId="23339A86" w14:textId="77777777" w:rsidR="003640EF" w:rsidRPr="003731CB" w:rsidRDefault="003640EF" w:rsidP="003640EF">
      <w:pPr>
        <w:pStyle w:val="Akapitzlist"/>
        <w:numPr>
          <w:ilvl w:val="0"/>
          <w:numId w:val="4"/>
        </w:numPr>
        <w:tabs>
          <w:tab w:val="left" w:pos="426"/>
        </w:tabs>
        <w:jc w:val="both"/>
        <w:rPr>
          <w:rFonts w:ascii="Times New Roman" w:hAnsi="Times New Roman" w:cs="Times New Roman"/>
          <w:sz w:val="24"/>
          <w:szCs w:val="24"/>
        </w:rPr>
      </w:pPr>
      <w:r w:rsidRPr="003731CB">
        <w:rPr>
          <w:rFonts w:ascii="Times New Roman" w:hAnsi="Times New Roman" w:cs="Times New Roman"/>
          <w:sz w:val="24"/>
          <w:szCs w:val="24"/>
        </w:rPr>
        <w:t>Przewodnik metodyczny „Junior-Edu-Żywienie” z rozszerzoną rzeczywistością:</w:t>
      </w:r>
    </w:p>
    <w:p w14:paraId="0DBBBE34" w14:textId="77777777" w:rsidR="003640EF" w:rsidRPr="003731CB" w:rsidRDefault="003640EF" w:rsidP="003640EF">
      <w:pPr>
        <w:pStyle w:val="Akapitzlist"/>
        <w:tabs>
          <w:tab w:val="left" w:pos="426"/>
        </w:tabs>
        <w:ind w:left="0"/>
        <w:jc w:val="both"/>
        <w:rPr>
          <w:rFonts w:ascii="Times New Roman" w:hAnsi="Times New Roman" w:cs="Times New Roman"/>
          <w:sz w:val="24"/>
          <w:szCs w:val="24"/>
        </w:rPr>
      </w:pPr>
      <w:r w:rsidRPr="003731CB">
        <w:rPr>
          <w:rFonts w:ascii="Times New Roman" w:hAnsi="Times New Roman" w:cs="Times New Roman"/>
          <w:sz w:val="24"/>
          <w:szCs w:val="24"/>
        </w:rPr>
        <w:t xml:space="preserve">Wydanie w formie monografii, 24 scenariuszy lekcji pod wspólnym tytułem „Przewodnik metodyczny „Junior-Edu-Żywienie”. </w:t>
      </w:r>
    </w:p>
    <w:p w14:paraId="767C9B37" w14:textId="77777777" w:rsidR="003640EF" w:rsidRPr="003731CB" w:rsidRDefault="003640EF" w:rsidP="003640EF">
      <w:pPr>
        <w:tabs>
          <w:tab w:val="left" w:pos="426"/>
        </w:tabs>
        <w:spacing w:line="276" w:lineRule="auto"/>
        <w:jc w:val="both"/>
      </w:pPr>
      <w:r w:rsidRPr="003731CB">
        <w:t>Format monografii: 168 x 235 mm;</w:t>
      </w:r>
    </w:p>
    <w:p w14:paraId="255B9461" w14:textId="77777777" w:rsidR="003640EF" w:rsidRPr="003731CB" w:rsidRDefault="003640EF" w:rsidP="003640EF">
      <w:pPr>
        <w:spacing w:line="276" w:lineRule="auto"/>
        <w:jc w:val="both"/>
      </w:pPr>
      <w:r w:rsidRPr="003731CB">
        <w:t>Rodzaj papieru: kreda, mat;</w:t>
      </w:r>
    </w:p>
    <w:p w14:paraId="45580968" w14:textId="77777777" w:rsidR="003640EF" w:rsidRPr="003731CB" w:rsidRDefault="003640EF" w:rsidP="003640EF">
      <w:pPr>
        <w:spacing w:line="276" w:lineRule="auto"/>
        <w:jc w:val="both"/>
      </w:pPr>
      <w:r w:rsidRPr="003731CB">
        <w:t>Gramatura papieru wnętrza: 170 g/m2 (+/-10%);</w:t>
      </w:r>
    </w:p>
    <w:p w14:paraId="5D6DAF26" w14:textId="77777777" w:rsidR="003640EF" w:rsidRPr="003731CB" w:rsidRDefault="003640EF" w:rsidP="003640EF">
      <w:pPr>
        <w:spacing w:line="276" w:lineRule="auto"/>
        <w:jc w:val="both"/>
      </w:pPr>
      <w:r w:rsidRPr="003731CB">
        <w:t>Kolor wydruku: CMYK 4+4;</w:t>
      </w:r>
    </w:p>
    <w:p w14:paraId="53E532E0" w14:textId="77777777" w:rsidR="003640EF" w:rsidRPr="003731CB" w:rsidRDefault="003640EF" w:rsidP="003640EF">
      <w:pPr>
        <w:spacing w:line="276" w:lineRule="auto"/>
        <w:jc w:val="both"/>
      </w:pPr>
      <w:r w:rsidRPr="003731CB">
        <w:t>Papier okładkowy: karton wielowarstwowy, gramatura minimum 300 g/m2 (+/-10%);</w:t>
      </w:r>
    </w:p>
    <w:p w14:paraId="1ADD8EB3" w14:textId="77777777" w:rsidR="003640EF" w:rsidRPr="003731CB" w:rsidRDefault="003640EF" w:rsidP="003640EF">
      <w:pPr>
        <w:spacing w:line="276" w:lineRule="auto"/>
        <w:jc w:val="both"/>
      </w:pPr>
      <w:r w:rsidRPr="003731CB">
        <w:t>Oprawa: miękka, foliowana (błyszcząca) lub lakierowana, spiralowana</w:t>
      </w:r>
    </w:p>
    <w:p w14:paraId="40B81BE7" w14:textId="77777777" w:rsidR="003640EF" w:rsidRPr="003731CB" w:rsidRDefault="003640EF" w:rsidP="003640EF">
      <w:pPr>
        <w:spacing w:line="276" w:lineRule="auto"/>
        <w:jc w:val="both"/>
      </w:pPr>
      <w:r w:rsidRPr="003731CB">
        <w:t>Nakład: łącznie 12000 szt. (dwanaście tysięcy).</w:t>
      </w:r>
    </w:p>
    <w:p w14:paraId="72135391" w14:textId="77777777" w:rsidR="003640EF" w:rsidRPr="003731CB" w:rsidRDefault="003640EF" w:rsidP="003640EF">
      <w:pPr>
        <w:spacing w:line="276" w:lineRule="auto"/>
        <w:jc w:val="both"/>
      </w:pPr>
    </w:p>
    <w:p w14:paraId="6A79DC08" w14:textId="77777777" w:rsidR="003640EF" w:rsidRPr="003731CB" w:rsidRDefault="003640EF" w:rsidP="003640EF">
      <w:pPr>
        <w:pStyle w:val="Akapitzlist"/>
        <w:numPr>
          <w:ilvl w:val="0"/>
          <w:numId w:val="4"/>
        </w:numPr>
        <w:tabs>
          <w:tab w:val="left" w:pos="426"/>
        </w:tabs>
        <w:jc w:val="both"/>
        <w:rPr>
          <w:rFonts w:ascii="Times New Roman" w:hAnsi="Times New Roman" w:cs="Times New Roman"/>
          <w:sz w:val="24"/>
          <w:szCs w:val="24"/>
        </w:rPr>
      </w:pPr>
      <w:r w:rsidRPr="003731CB">
        <w:rPr>
          <w:rFonts w:ascii="Times New Roman" w:hAnsi="Times New Roman" w:cs="Times New Roman"/>
          <w:sz w:val="24"/>
          <w:szCs w:val="24"/>
        </w:rPr>
        <w:t>Książka kucharska z rozszerzoną rzeczywistością (W książce kucharskiej została zastosowana rozszerzona rzeczywistość w postaci prezentacji filmowej jak przygotować daną potrawę):</w:t>
      </w:r>
    </w:p>
    <w:p w14:paraId="5FFB1092" w14:textId="77777777" w:rsidR="003640EF" w:rsidRPr="003731CB" w:rsidRDefault="003640EF" w:rsidP="003640EF">
      <w:pPr>
        <w:tabs>
          <w:tab w:val="left" w:pos="426"/>
        </w:tabs>
        <w:spacing w:line="276" w:lineRule="auto"/>
        <w:jc w:val="both"/>
      </w:pPr>
      <w:r w:rsidRPr="003731CB">
        <w:t>Książka kucharska obejmuje ok 100 przepisów.</w:t>
      </w:r>
    </w:p>
    <w:p w14:paraId="3DB79FEF" w14:textId="77777777" w:rsidR="003640EF" w:rsidRPr="003731CB" w:rsidRDefault="003640EF" w:rsidP="003640EF">
      <w:pPr>
        <w:tabs>
          <w:tab w:val="left" w:pos="426"/>
        </w:tabs>
        <w:spacing w:line="276" w:lineRule="auto"/>
        <w:jc w:val="both"/>
      </w:pPr>
    </w:p>
    <w:p w14:paraId="487F6712" w14:textId="77777777" w:rsidR="003640EF" w:rsidRPr="003731CB" w:rsidRDefault="003640EF" w:rsidP="003640EF">
      <w:pPr>
        <w:tabs>
          <w:tab w:val="left" w:pos="426"/>
        </w:tabs>
        <w:spacing w:line="276" w:lineRule="auto"/>
        <w:jc w:val="both"/>
      </w:pPr>
      <w:r w:rsidRPr="003731CB">
        <w:t>Format książki kucharskiej: 168 x 235 mm;</w:t>
      </w:r>
    </w:p>
    <w:p w14:paraId="5AA1EFCF" w14:textId="77777777" w:rsidR="003640EF" w:rsidRPr="003731CB" w:rsidRDefault="003640EF" w:rsidP="003640EF">
      <w:pPr>
        <w:spacing w:line="276" w:lineRule="auto"/>
        <w:jc w:val="both"/>
      </w:pPr>
      <w:r w:rsidRPr="003731CB">
        <w:t>Rodzaj papieru: kreda matowa;</w:t>
      </w:r>
    </w:p>
    <w:p w14:paraId="1179C2FA" w14:textId="77777777" w:rsidR="003640EF" w:rsidRPr="003731CB" w:rsidRDefault="003640EF" w:rsidP="003640EF">
      <w:pPr>
        <w:spacing w:line="276" w:lineRule="auto"/>
        <w:jc w:val="both"/>
      </w:pPr>
      <w:r w:rsidRPr="003731CB">
        <w:t>Gramatura papieru wnętrza: 150 g/m2 (+/-10%);</w:t>
      </w:r>
    </w:p>
    <w:p w14:paraId="07399E15" w14:textId="77777777" w:rsidR="003640EF" w:rsidRPr="003731CB" w:rsidRDefault="003640EF" w:rsidP="003640EF">
      <w:pPr>
        <w:spacing w:line="276" w:lineRule="auto"/>
        <w:jc w:val="both"/>
      </w:pPr>
      <w:r w:rsidRPr="003731CB">
        <w:t>Kolor wydruku: CMYK 4+4;</w:t>
      </w:r>
    </w:p>
    <w:p w14:paraId="48723404" w14:textId="77777777" w:rsidR="003640EF" w:rsidRPr="003731CB" w:rsidRDefault="003640EF" w:rsidP="003640EF">
      <w:pPr>
        <w:spacing w:line="276" w:lineRule="auto"/>
        <w:jc w:val="both"/>
      </w:pPr>
      <w:r w:rsidRPr="003731CB">
        <w:t>Papier okładkowy: karton wielowarstwowy, gramatura minimum 300 g/m2 (+/-10%);</w:t>
      </w:r>
    </w:p>
    <w:p w14:paraId="6042539E" w14:textId="77777777" w:rsidR="003640EF" w:rsidRPr="003731CB" w:rsidRDefault="003640EF" w:rsidP="003640EF">
      <w:pPr>
        <w:spacing w:line="276" w:lineRule="auto"/>
        <w:jc w:val="both"/>
      </w:pPr>
      <w:r w:rsidRPr="003731CB">
        <w:t>Oprawa: miękka, foliowana (błyszcząca) lub lakierowana, spiralowana</w:t>
      </w:r>
    </w:p>
    <w:p w14:paraId="6B8ED041" w14:textId="77777777" w:rsidR="003640EF" w:rsidRPr="003731CB" w:rsidRDefault="003640EF" w:rsidP="003640EF">
      <w:pPr>
        <w:spacing w:line="276" w:lineRule="auto"/>
        <w:jc w:val="both"/>
      </w:pPr>
      <w:r w:rsidRPr="003731CB">
        <w:t>Nakład: łącznie 1000 egzemplarzy (tysiąc)</w:t>
      </w:r>
    </w:p>
    <w:p w14:paraId="60D8311E" w14:textId="77777777" w:rsidR="003640EF" w:rsidRPr="003731CB" w:rsidRDefault="003640EF" w:rsidP="003640EF">
      <w:pPr>
        <w:spacing w:line="276" w:lineRule="auto"/>
        <w:jc w:val="both"/>
      </w:pPr>
    </w:p>
    <w:p w14:paraId="60E12E21" w14:textId="77777777" w:rsidR="003640EF" w:rsidRPr="003731CB" w:rsidRDefault="003640EF" w:rsidP="003640EF">
      <w:pPr>
        <w:pStyle w:val="Akapitzlist"/>
        <w:numPr>
          <w:ilvl w:val="0"/>
          <w:numId w:val="4"/>
        </w:numPr>
        <w:spacing w:before="120" w:after="120"/>
        <w:rPr>
          <w:rFonts w:ascii="Times New Roman" w:eastAsiaTheme="majorEastAsia" w:hAnsi="Times New Roman" w:cs="Times New Roman"/>
          <w:sz w:val="24"/>
          <w:szCs w:val="24"/>
        </w:rPr>
      </w:pPr>
      <w:r w:rsidRPr="003731CB">
        <w:rPr>
          <w:rFonts w:ascii="Times New Roman" w:eastAsiaTheme="majorEastAsia" w:hAnsi="Times New Roman" w:cs="Times New Roman"/>
          <w:sz w:val="24"/>
          <w:szCs w:val="24"/>
        </w:rPr>
        <w:lastRenderedPageBreak/>
        <w:t>Komiks dla dzieci z zakresu tematyki prawidłowego żywienia</w:t>
      </w:r>
      <w:r w:rsidRPr="003731CB">
        <w:t xml:space="preserve"> </w:t>
      </w:r>
      <w:r w:rsidRPr="003731CB">
        <w:rPr>
          <w:rFonts w:ascii="Times New Roman" w:eastAsiaTheme="majorEastAsia" w:hAnsi="Times New Roman" w:cs="Times New Roman"/>
          <w:sz w:val="24"/>
          <w:szCs w:val="24"/>
        </w:rPr>
        <w:t>z rozszerzoną rzeczywistością:</w:t>
      </w:r>
    </w:p>
    <w:p w14:paraId="39B386D9" w14:textId="77777777" w:rsidR="003640EF" w:rsidRPr="003731CB" w:rsidRDefault="003640EF" w:rsidP="003640EF">
      <w:pPr>
        <w:tabs>
          <w:tab w:val="left" w:pos="426"/>
        </w:tabs>
        <w:spacing w:line="276" w:lineRule="auto"/>
        <w:jc w:val="both"/>
      </w:pPr>
      <w:r w:rsidRPr="003731CB">
        <w:t>Format komiksu: 168 x 235 mm;</w:t>
      </w:r>
    </w:p>
    <w:p w14:paraId="37490B06" w14:textId="77777777" w:rsidR="003640EF" w:rsidRPr="003731CB" w:rsidRDefault="003640EF" w:rsidP="003640EF">
      <w:pPr>
        <w:tabs>
          <w:tab w:val="left" w:pos="426"/>
        </w:tabs>
        <w:spacing w:line="276" w:lineRule="auto"/>
        <w:jc w:val="both"/>
      </w:pPr>
      <w:r w:rsidRPr="003731CB">
        <w:t>Rodzaj papieru: kreda matowa;</w:t>
      </w:r>
    </w:p>
    <w:p w14:paraId="0838B701" w14:textId="77777777" w:rsidR="003640EF" w:rsidRPr="003731CB" w:rsidRDefault="003640EF" w:rsidP="003640EF">
      <w:pPr>
        <w:tabs>
          <w:tab w:val="left" w:pos="426"/>
        </w:tabs>
        <w:spacing w:line="276" w:lineRule="auto"/>
        <w:jc w:val="both"/>
      </w:pPr>
      <w:r w:rsidRPr="003731CB">
        <w:t>Gramatura papieru wnętrza: 170 g/m2 (+/-10%);</w:t>
      </w:r>
    </w:p>
    <w:p w14:paraId="02D16255" w14:textId="77777777" w:rsidR="003640EF" w:rsidRPr="003731CB" w:rsidRDefault="003640EF" w:rsidP="003640EF">
      <w:pPr>
        <w:tabs>
          <w:tab w:val="left" w:pos="426"/>
        </w:tabs>
        <w:spacing w:line="276" w:lineRule="auto"/>
        <w:jc w:val="both"/>
      </w:pPr>
      <w:r w:rsidRPr="003731CB">
        <w:t>Kolor wydruku: CMYK 4+4;</w:t>
      </w:r>
    </w:p>
    <w:p w14:paraId="35B5F680" w14:textId="77777777" w:rsidR="003640EF" w:rsidRPr="003731CB" w:rsidRDefault="003640EF" w:rsidP="003640EF">
      <w:pPr>
        <w:spacing w:line="276" w:lineRule="auto"/>
        <w:jc w:val="both"/>
      </w:pPr>
      <w:r w:rsidRPr="003731CB">
        <w:t>Papier okładkowy: karton wielowarstwowy, gramatura minimum 300 g/m2 (+/-10%);</w:t>
      </w:r>
    </w:p>
    <w:p w14:paraId="20BE5902" w14:textId="77777777" w:rsidR="003640EF" w:rsidRPr="003731CB" w:rsidRDefault="003640EF" w:rsidP="003640EF">
      <w:pPr>
        <w:spacing w:line="276" w:lineRule="auto"/>
        <w:jc w:val="both"/>
      </w:pPr>
      <w:r w:rsidRPr="003731CB">
        <w:t>Oprawa: miękka, foliowana (błyszcząca) lub lakierowana, spiralowana</w:t>
      </w:r>
    </w:p>
    <w:p w14:paraId="4169574D" w14:textId="77777777" w:rsidR="003640EF" w:rsidRPr="003731CB" w:rsidRDefault="003640EF" w:rsidP="003640EF">
      <w:pPr>
        <w:tabs>
          <w:tab w:val="left" w:pos="426"/>
        </w:tabs>
        <w:spacing w:line="276" w:lineRule="auto"/>
        <w:jc w:val="both"/>
      </w:pPr>
      <w:r w:rsidRPr="003731CB">
        <w:t>Nakład: łącznie 12000 szt. (dwanaście tysięcy)</w:t>
      </w:r>
    </w:p>
    <w:p w14:paraId="0146F9F2" w14:textId="77777777" w:rsidR="003640EF" w:rsidRPr="003731CB" w:rsidRDefault="003640EF" w:rsidP="003640EF">
      <w:pPr>
        <w:spacing w:line="252" w:lineRule="auto"/>
        <w:jc w:val="both"/>
        <w:rPr>
          <w:rFonts w:eastAsiaTheme="majorEastAsia"/>
          <w:iCs/>
        </w:rPr>
      </w:pPr>
    </w:p>
    <w:p w14:paraId="1AEF6BA5" w14:textId="77777777" w:rsidR="003640EF" w:rsidRPr="003731CB" w:rsidRDefault="003640EF" w:rsidP="003640EF">
      <w:pPr>
        <w:pStyle w:val="Akapitzlist"/>
        <w:spacing w:line="252" w:lineRule="auto"/>
        <w:ind w:left="0"/>
        <w:jc w:val="both"/>
        <w:rPr>
          <w:rFonts w:ascii="Times New Roman" w:eastAsiaTheme="majorEastAsia" w:hAnsi="Times New Roman" w:cs="Times New Roman"/>
          <w:b/>
          <w:iCs/>
          <w:sz w:val="24"/>
          <w:szCs w:val="24"/>
        </w:rPr>
      </w:pPr>
      <w:r w:rsidRPr="003731CB">
        <w:rPr>
          <w:rFonts w:ascii="Times New Roman" w:eastAsiaTheme="majorEastAsia" w:hAnsi="Times New Roman" w:cs="Times New Roman"/>
          <w:b/>
          <w:iCs/>
          <w:sz w:val="24"/>
          <w:szCs w:val="24"/>
        </w:rPr>
        <w:t>Wykonawca przekaże Zamawiającemu 1 komplet egzemplarzy próbnych materiałów i pomocy dydaktycznych (tj. Przewodnik metodyczny „Junior-Edu-Żywienie”, Książka kucharska, Komiks dla dzieci z zakresu tematyki prawidłowego żywienia) przed wydrukiem całości zamówienia, w celu ich akceptacji i odbioru jakościowego, który zostanie potwierdzony podpisaniem przez Zamawiającego protokołu stanowiącego Załącznik nr 2 do Umowy. Dopiero po akceptacji Zamawiającego i dokonaniu odbioru jakościowego, Wykonawca będzie uprawniony  do wykonania całości zamówienia, tj. wydruku, dystrybucji materiałów i pomocy dydaktycznych do szkół podstawowych.</w:t>
      </w:r>
    </w:p>
    <w:p w14:paraId="6E014B4B" w14:textId="77777777" w:rsidR="003640EF" w:rsidRPr="003731CB" w:rsidRDefault="003640EF" w:rsidP="003640EF">
      <w:pPr>
        <w:pStyle w:val="Akapitzlist"/>
        <w:spacing w:line="252" w:lineRule="auto"/>
        <w:jc w:val="both"/>
        <w:rPr>
          <w:rFonts w:ascii="Times New Roman" w:eastAsiaTheme="majorEastAsia" w:hAnsi="Times New Roman" w:cs="Times New Roman"/>
          <w:iCs/>
          <w:sz w:val="24"/>
          <w:szCs w:val="24"/>
        </w:rPr>
      </w:pPr>
    </w:p>
    <w:p w14:paraId="42B263FC" w14:textId="77777777" w:rsidR="003640EF" w:rsidRPr="003731CB" w:rsidRDefault="003640EF" w:rsidP="003640EF">
      <w:pPr>
        <w:pStyle w:val="Akapitzlist"/>
        <w:numPr>
          <w:ilvl w:val="1"/>
          <w:numId w:val="2"/>
        </w:numPr>
        <w:spacing w:line="252" w:lineRule="auto"/>
        <w:ind w:left="0"/>
        <w:jc w:val="both"/>
        <w:rPr>
          <w:rFonts w:ascii="Times New Roman" w:eastAsiaTheme="majorEastAsia" w:hAnsi="Times New Roman" w:cs="Times New Roman"/>
          <w:b/>
          <w:iCs/>
          <w:sz w:val="24"/>
          <w:szCs w:val="24"/>
        </w:rPr>
      </w:pPr>
      <w:r w:rsidRPr="003731CB">
        <w:rPr>
          <w:rFonts w:ascii="Times New Roman" w:hAnsi="Times New Roman" w:cs="Times New Roman"/>
          <w:b/>
          <w:sz w:val="24"/>
          <w:szCs w:val="24"/>
        </w:rPr>
        <w:t>Dystrybucja.</w:t>
      </w:r>
    </w:p>
    <w:p w14:paraId="50B293C9" w14:textId="77777777" w:rsidR="003640EF" w:rsidRPr="003731CB" w:rsidRDefault="003640EF" w:rsidP="003640EF">
      <w:pPr>
        <w:pStyle w:val="Akapitzlist"/>
        <w:spacing w:line="252" w:lineRule="auto"/>
        <w:ind w:left="0"/>
        <w:jc w:val="both"/>
        <w:rPr>
          <w:rFonts w:ascii="Times New Roman" w:hAnsi="Times New Roman" w:cs="Times New Roman"/>
          <w:sz w:val="24"/>
          <w:szCs w:val="24"/>
        </w:rPr>
      </w:pPr>
      <w:r w:rsidRPr="003731CB">
        <w:rPr>
          <w:rFonts w:ascii="Times New Roman" w:hAnsi="Times New Roman" w:cs="Times New Roman"/>
          <w:sz w:val="24"/>
          <w:szCs w:val="24"/>
        </w:rPr>
        <w:t>Zapakowanie i przygotowanie do dystrybucji, w tym magazynowanie wydrukowanych materiałów edukacyjnych oraz pomocy dydaktycznych.</w:t>
      </w:r>
    </w:p>
    <w:p w14:paraId="6DDC6CAB" w14:textId="77777777" w:rsidR="003640EF" w:rsidRPr="003731CB" w:rsidRDefault="003640EF" w:rsidP="003640EF">
      <w:pPr>
        <w:pStyle w:val="Akapitzlist"/>
        <w:spacing w:line="252" w:lineRule="auto"/>
        <w:ind w:left="0"/>
        <w:jc w:val="both"/>
        <w:rPr>
          <w:rFonts w:ascii="Times New Roman" w:eastAsiaTheme="majorEastAsia" w:hAnsi="Times New Roman" w:cs="Times New Roman"/>
          <w:iCs/>
          <w:sz w:val="24"/>
          <w:szCs w:val="24"/>
        </w:rPr>
      </w:pPr>
    </w:p>
    <w:p w14:paraId="3C41D67B" w14:textId="77777777" w:rsidR="003640EF" w:rsidRPr="003731CB" w:rsidRDefault="003640EF" w:rsidP="003640EF">
      <w:pPr>
        <w:pStyle w:val="Akapitzlist"/>
        <w:spacing w:line="252" w:lineRule="auto"/>
        <w:ind w:left="0"/>
        <w:jc w:val="both"/>
        <w:rPr>
          <w:rFonts w:ascii="Times New Roman" w:eastAsiaTheme="majorEastAsia" w:hAnsi="Times New Roman" w:cs="Times New Roman"/>
          <w:iCs/>
          <w:sz w:val="24"/>
          <w:szCs w:val="24"/>
        </w:rPr>
      </w:pPr>
      <w:r w:rsidRPr="003731CB">
        <w:rPr>
          <w:rFonts w:ascii="Times New Roman" w:eastAsiaTheme="majorEastAsia" w:hAnsi="Times New Roman" w:cs="Times New Roman"/>
          <w:iCs/>
          <w:sz w:val="24"/>
          <w:szCs w:val="24"/>
        </w:rPr>
        <w:t>Wykonawca zapewni opakowania kartonowe do dystrybucji materiałów edukacyjnych oraz pomocy dydaktycznych we własnym zakresie adekwatne do wymiarów i objętości przesyłki.</w:t>
      </w:r>
      <w:r w:rsidRPr="003731CB">
        <w:rPr>
          <w:rFonts w:ascii="Times New Roman" w:hAnsi="Times New Roman" w:cs="Times New Roman"/>
        </w:rPr>
        <w:t xml:space="preserve"> </w:t>
      </w:r>
      <w:r w:rsidRPr="003731CB">
        <w:rPr>
          <w:rFonts w:ascii="Times New Roman" w:eastAsiaTheme="majorEastAsia" w:hAnsi="Times New Roman" w:cs="Times New Roman"/>
          <w:iCs/>
          <w:sz w:val="24"/>
          <w:szCs w:val="24"/>
        </w:rPr>
        <w:t xml:space="preserve">Materiały </w:t>
      </w:r>
      <w:r w:rsidRPr="003731CB">
        <w:rPr>
          <w:rFonts w:ascii="Times New Roman" w:hAnsi="Times New Roman" w:cs="Times New Roman"/>
          <w:sz w:val="24"/>
          <w:szCs w:val="24"/>
        </w:rPr>
        <w:t>edukacyjne oraz pomoce dydaktyczne</w:t>
      </w:r>
      <w:r w:rsidRPr="003731CB">
        <w:rPr>
          <w:rFonts w:ascii="Times New Roman" w:eastAsiaTheme="majorEastAsia" w:hAnsi="Times New Roman" w:cs="Times New Roman"/>
          <w:iCs/>
          <w:sz w:val="24"/>
          <w:szCs w:val="24"/>
        </w:rPr>
        <w:t xml:space="preserve"> winny być zapakowane w sposób chroniący je przed uszkodzeniem i zniszczeniem.</w:t>
      </w:r>
    </w:p>
    <w:p w14:paraId="44CDF7FD" w14:textId="77777777" w:rsidR="003640EF" w:rsidRPr="003731CB" w:rsidRDefault="003640EF" w:rsidP="003640EF">
      <w:pPr>
        <w:pStyle w:val="Akapitzlist"/>
        <w:spacing w:line="252" w:lineRule="auto"/>
        <w:ind w:left="0"/>
        <w:jc w:val="both"/>
        <w:rPr>
          <w:rFonts w:ascii="Times New Roman" w:eastAsiaTheme="majorEastAsia" w:hAnsi="Times New Roman" w:cs="Times New Roman"/>
          <w:iCs/>
          <w:sz w:val="24"/>
          <w:szCs w:val="24"/>
        </w:rPr>
      </w:pPr>
    </w:p>
    <w:p w14:paraId="2CAF6D71" w14:textId="77777777" w:rsidR="003640EF" w:rsidRPr="003731CB" w:rsidRDefault="003640EF" w:rsidP="003640EF">
      <w:pPr>
        <w:pStyle w:val="Akapitzlist"/>
        <w:spacing w:line="252" w:lineRule="auto"/>
        <w:ind w:left="0"/>
        <w:jc w:val="both"/>
        <w:rPr>
          <w:rFonts w:ascii="Times New Roman" w:eastAsiaTheme="majorEastAsia" w:hAnsi="Times New Roman" w:cs="Times New Roman"/>
          <w:iCs/>
          <w:sz w:val="24"/>
          <w:szCs w:val="24"/>
        </w:rPr>
      </w:pPr>
      <w:r w:rsidRPr="003731CB">
        <w:rPr>
          <w:rFonts w:ascii="Times New Roman" w:eastAsiaTheme="majorEastAsia" w:hAnsi="Times New Roman" w:cs="Times New Roman"/>
          <w:iCs/>
          <w:sz w:val="24"/>
          <w:szCs w:val="24"/>
        </w:rPr>
        <w:t>Za szkody powstałe w wyniku nienależytego opakowania lub transportu winę ponosi Wykonawca. W przypadku powstania strat podczas transportu w wyniku niewłaściwego zabezpieczenia materiałów przed uszkodzeniami Wykonawca wymieni uszkodzone materiały i dostarczy je ponownie na własny koszt w terminie maksymalnie 4 dni od dnia odmowy przyjęcia uszkodzonych materiałów.</w:t>
      </w:r>
    </w:p>
    <w:p w14:paraId="61065B4B" w14:textId="77777777" w:rsidR="003640EF" w:rsidRPr="003731CB" w:rsidRDefault="003640EF" w:rsidP="003640EF">
      <w:pPr>
        <w:pStyle w:val="Akapitzlist"/>
        <w:spacing w:line="252" w:lineRule="auto"/>
        <w:ind w:left="0"/>
        <w:jc w:val="both"/>
        <w:rPr>
          <w:rFonts w:ascii="Times New Roman" w:eastAsiaTheme="majorEastAsia" w:hAnsi="Times New Roman" w:cs="Times New Roman"/>
          <w:iCs/>
          <w:sz w:val="24"/>
          <w:szCs w:val="24"/>
        </w:rPr>
      </w:pPr>
    </w:p>
    <w:p w14:paraId="4BE944E1" w14:textId="77777777" w:rsidR="003640EF" w:rsidRPr="003731CB" w:rsidRDefault="003640EF" w:rsidP="003640EF">
      <w:pPr>
        <w:pStyle w:val="Akapitzlist"/>
        <w:spacing w:line="252" w:lineRule="auto"/>
        <w:ind w:left="0"/>
        <w:jc w:val="both"/>
        <w:rPr>
          <w:rFonts w:ascii="Times New Roman" w:eastAsiaTheme="majorEastAsia" w:hAnsi="Times New Roman" w:cs="Times New Roman"/>
          <w:iCs/>
          <w:sz w:val="24"/>
          <w:szCs w:val="24"/>
        </w:rPr>
      </w:pPr>
      <w:r w:rsidRPr="003731CB">
        <w:rPr>
          <w:rFonts w:ascii="Times New Roman" w:eastAsiaTheme="majorEastAsia" w:hAnsi="Times New Roman" w:cs="Times New Roman"/>
          <w:iCs/>
          <w:sz w:val="24"/>
          <w:szCs w:val="24"/>
        </w:rPr>
        <w:t>Dystrybucja</w:t>
      </w:r>
      <w:r w:rsidRPr="003731CB">
        <w:rPr>
          <w:rFonts w:ascii="Times New Roman" w:hAnsi="Times New Roman" w:cs="Times New Roman"/>
          <w:sz w:val="24"/>
          <w:szCs w:val="24"/>
        </w:rPr>
        <w:t xml:space="preserve"> </w:t>
      </w:r>
      <w:r w:rsidRPr="003731CB">
        <w:rPr>
          <w:rFonts w:ascii="Times New Roman" w:eastAsiaTheme="majorEastAsia" w:hAnsi="Times New Roman" w:cs="Times New Roman"/>
          <w:iCs/>
          <w:sz w:val="24"/>
          <w:szCs w:val="24"/>
        </w:rPr>
        <w:t>materiałów edukacyjnych oraz pomocy dydaktycznych łącznie do 12000 szkół podstawowych na terenie całego kraju wg listy dystrybucyjnej przekazanej przez Zamawiającego.</w:t>
      </w:r>
    </w:p>
    <w:p w14:paraId="4F045683" w14:textId="77777777" w:rsidR="003640EF" w:rsidRPr="003731CB" w:rsidRDefault="003640EF" w:rsidP="003640EF">
      <w:pPr>
        <w:pStyle w:val="Akapitzlist"/>
        <w:spacing w:line="252" w:lineRule="auto"/>
        <w:ind w:left="0"/>
        <w:jc w:val="both"/>
        <w:rPr>
          <w:rFonts w:ascii="Times New Roman" w:eastAsiaTheme="majorEastAsia" w:hAnsi="Times New Roman" w:cs="Times New Roman"/>
          <w:iCs/>
          <w:sz w:val="24"/>
          <w:szCs w:val="24"/>
        </w:rPr>
      </w:pPr>
    </w:p>
    <w:p w14:paraId="7477B335" w14:textId="77777777" w:rsidR="003640EF" w:rsidRPr="003731CB" w:rsidRDefault="003640EF" w:rsidP="003640EF">
      <w:pPr>
        <w:pStyle w:val="Akapitzlist"/>
        <w:spacing w:line="252" w:lineRule="auto"/>
        <w:ind w:left="0"/>
        <w:jc w:val="both"/>
        <w:rPr>
          <w:rFonts w:ascii="Times New Roman" w:eastAsiaTheme="majorEastAsia" w:hAnsi="Times New Roman" w:cs="Times New Roman"/>
          <w:iCs/>
          <w:sz w:val="24"/>
          <w:szCs w:val="24"/>
        </w:rPr>
      </w:pPr>
      <w:r w:rsidRPr="003731CB">
        <w:rPr>
          <w:rFonts w:ascii="Times New Roman" w:eastAsiaTheme="majorEastAsia" w:hAnsi="Times New Roman" w:cs="Times New Roman"/>
          <w:iCs/>
          <w:sz w:val="24"/>
          <w:szCs w:val="24"/>
        </w:rPr>
        <w:t>Wykonawca dostarczy komplety pomocy dydaktycznych w dwóch transzach:</w:t>
      </w:r>
    </w:p>
    <w:p w14:paraId="2F22ED5E" w14:textId="77777777" w:rsidR="003640EF" w:rsidRPr="003731CB" w:rsidRDefault="003640EF" w:rsidP="003640EF">
      <w:pPr>
        <w:pStyle w:val="Akapitzlist"/>
        <w:spacing w:line="252" w:lineRule="auto"/>
        <w:ind w:left="0"/>
        <w:jc w:val="both"/>
        <w:rPr>
          <w:rFonts w:ascii="Times New Roman" w:eastAsiaTheme="majorEastAsia" w:hAnsi="Times New Roman" w:cs="Times New Roman"/>
          <w:b/>
          <w:iCs/>
          <w:sz w:val="24"/>
          <w:szCs w:val="24"/>
        </w:rPr>
      </w:pPr>
      <w:r w:rsidRPr="003731CB">
        <w:rPr>
          <w:rFonts w:ascii="Times New Roman" w:eastAsiaTheme="majorEastAsia" w:hAnsi="Times New Roman" w:cs="Times New Roman"/>
          <w:b/>
          <w:iCs/>
          <w:sz w:val="24"/>
          <w:szCs w:val="24"/>
        </w:rPr>
        <w:t>Transza I, obejmuje 1 książkę (Książka kucharska – 1000 szt.).</w:t>
      </w:r>
    </w:p>
    <w:p w14:paraId="69F90563" w14:textId="77777777" w:rsidR="003640EF" w:rsidRPr="003731CB" w:rsidRDefault="003640EF" w:rsidP="003640EF">
      <w:pPr>
        <w:pStyle w:val="Akapitzlist"/>
        <w:spacing w:line="252" w:lineRule="auto"/>
        <w:ind w:left="0"/>
        <w:jc w:val="both"/>
        <w:rPr>
          <w:rFonts w:ascii="Times New Roman" w:eastAsiaTheme="majorEastAsia" w:hAnsi="Times New Roman" w:cs="Times New Roman"/>
          <w:iCs/>
          <w:sz w:val="24"/>
          <w:szCs w:val="24"/>
        </w:rPr>
      </w:pPr>
    </w:p>
    <w:p w14:paraId="1150A9CB" w14:textId="77777777" w:rsidR="003640EF" w:rsidRPr="003731CB" w:rsidRDefault="003640EF" w:rsidP="003640EF">
      <w:pPr>
        <w:pStyle w:val="Akapitzlist"/>
        <w:spacing w:line="240" w:lineRule="auto"/>
        <w:ind w:left="0"/>
        <w:jc w:val="both"/>
        <w:rPr>
          <w:rFonts w:ascii="Times New Roman" w:eastAsiaTheme="majorEastAsia" w:hAnsi="Times New Roman" w:cs="Times New Roman"/>
          <w:iCs/>
          <w:sz w:val="24"/>
          <w:szCs w:val="24"/>
        </w:rPr>
      </w:pPr>
      <w:r w:rsidRPr="003731CB">
        <w:rPr>
          <w:rFonts w:ascii="Times New Roman" w:eastAsiaTheme="majorEastAsia" w:hAnsi="Times New Roman" w:cs="Times New Roman"/>
          <w:iCs/>
          <w:sz w:val="24"/>
          <w:szCs w:val="24"/>
        </w:rPr>
        <w:t>Dostawa Książki kucharskiej, w łącznym nakładzie 1.000 egzemplarzy nastąpi bezpośrednio do siedziby Zamawiającego.</w:t>
      </w:r>
    </w:p>
    <w:p w14:paraId="5E8E89C4" w14:textId="77777777" w:rsidR="003640EF" w:rsidRPr="003731CB" w:rsidRDefault="003640EF" w:rsidP="003640EF">
      <w:pPr>
        <w:jc w:val="both"/>
        <w:rPr>
          <w:rFonts w:eastAsiaTheme="majorEastAsia"/>
          <w:b/>
          <w:iCs/>
        </w:rPr>
      </w:pPr>
      <w:r w:rsidRPr="003731CB">
        <w:rPr>
          <w:rFonts w:eastAsiaTheme="majorEastAsia"/>
          <w:b/>
          <w:iCs/>
        </w:rPr>
        <w:t>Transza II, w której komplet obejmuje 2 książki (Przewodnik metodyczny „Junior-Edu-Żywienie”- 1 szt., Komiks dla dzieci z zakresu tematyki prawidłowego żywienia - 1 szt.).</w:t>
      </w:r>
    </w:p>
    <w:p w14:paraId="1D4806D0" w14:textId="77777777" w:rsidR="003640EF" w:rsidRPr="003731CB" w:rsidRDefault="003640EF" w:rsidP="003640EF">
      <w:pPr>
        <w:pStyle w:val="Akapitzlist"/>
        <w:spacing w:line="240" w:lineRule="auto"/>
        <w:ind w:left="0"/>
        <w:jc w:val="both"/>
        <w:rPr>
          <w:rFonts w:ascii="Times New Roman" w:eastAsiaTheme="majorEastAsia" w:hAnsi="Times New Roman" w:cs="Times New Roman"/>
          <w:iCs/>
          <w:sz w:val="24"/>
          <w:szCs w:val="24"/>
        </w:rPr>
      </w:pPr>
      <w:r w:rsidRPr="003731CB">
        <w:rPr>
          <w:rFonts w:ascii="Times New Roman" w:eastAsiaTheme="majorEastAsia" w:hAnsi="Times New Roman" w:cs="Times New Roman"/>
          <w:iCs/>
          <w:sz w:val="24"/>
          <w:szCs w:val="24"/>
        </w:rPr>
        <w:lastRenderedPageBreak/>
        <w:t>Dystrybucja materiałów i pomocy dydaktycznych, złożonej z kompletu 2 książek, w łącznym nakładzie każdej książki po 12.000 egzemplarzy i dystrybucja kompletów po 2 książki do 12.000 szkół.</w:t>
      </w:r>
    </w:p>
    <w:p w14:paraId="6F3A0E89" w14:textId="77777777" w:rsidR="003640EF" w:rsidRPr="003731CB" w:rsidRDefault="003640EF" w:rsidP="003640EF">
      <w:pPr>
        <w:pStyle w:val="Akapitzlist"/>
        <w:tabs>
          <w:tab w:val="left" w:pos="426"/>
        </w:tabs>
        <w:ind w:left="0"/>
        <w:jc w:val="both"/>
        <w:rPr>
          <w:rFonts w:ascii="Times New Roman" w:eastAsiaTheme="majorEastAsia" w:hAnsi="Times New Roman" w:cs="Times New Roman"/>
          <w:sz w:val="24"/>
          <w:szCs w:val="24"/>
        </w:rPr>
      </w:pPr>
    </w:p>
    <w:p w14:paraId="214C87B8" w14:textId="77777777" w:rsidR="003640EF" w:rsidRPr="003731CB" w:rsidRDefault="003640EF" w:rsidP="003640EF">
      <w:pPr>
        <w:pStyle w:val="Akapitzlist"/>
        <w:tabs>
          <w:tab w:val="left" w:pos="426"/>
        </w:tabs>
        <w:ind w:left="0"/>
        <w:jc w:val="both"/>
        <w:rPr>
          <w:rFonts w:ascii="Times New Roman" w:eastAsiaTheme="majorEastAsia" w:hAnsi="Times New Roman" w:cs="Times New Roman"/>
          <w:sz w:val="24"/>
          <w:szCs w:val="24"/>
        </w:rPr>
      </w:pPr>
      <w:r w:rsidRPr="003731CB">
        <w:rPr>
          <w:rFonts w:ascii="Times New Roman" w:eastAsiaTheme="majorEastAsia" w:hAnsi="Times New Roman" w:cs="Times New Roman"/>
          <w:sz w:val="24"/>
          <w:szCs w:val="24"/>
        </w:rPr>
        <w:t>W transzy II Wykonawca dostarczy komplety podręczników do 12.000 publicznych szkół podstawowych (samodzielnych, w ramach jednostki złożonej lub filialnych), wskazanych przez Zamawiającego na terenie Rzeczypospolitej Polskiej, zgodnie z listą dystrybucyjną.</w:t>
      </w:r>
    </w:p>
    <w:p w14:paraId="0FFF71B1" w14:textId="77777777" w:rsidR="003640EF" w:rsidRPr="003731CB" w:rsidRDefault="003640EF" w:rsidP="003640EF">
      <w:pPr>
        <w:pStyle w:val="Akapitzlist"/>
        <w:tabs>
          <w:tab w:val="left" w:pos="426"/>
        </w:tabs>
        <w:ind w:left="0"/>
        <w:jc w:val="both"/>
        <w:rPr>
          <w:rFonts w:ascii="Times New Roman" w:eastAsiaTheme="majorEastAsia" w:hAnsi="Times New Roman" w:cs="Times New Roman"/>
          <w:sz w:val="24"/>
          <w:szCs w:val="24"/>
        </w:rPr>
      </w:pPr>
    </w:p>
    <w:p w14:paraId="55B95097" w14:textId="77777777" w:rsidR="003640EF" w:rsidRPr="003731CB" w:rsidRDefault="003640EF" w:rsidP="003640EF">
      <w:pPr>
        <w:pStyle w:val="Akapitzlist"/>
        <w:tabs>
          <w:tab w:val="left" w:pos="426"/>
        </w:tabs>
        <w:ind w:left="0"/>
        <w:jc w:val="both"/>
        <w:rPr>
          <w:rFonts w:ascii="Times New Roman" w:eastAsiaTheme="majorEastAsia" w:hAnsi="Times New Roman" w:cs="Times New Roman"/>
          <w:sz w:val="24"/>
          <w:szCs w:val="24"/>
        </w:rPr>
      </w:pPr>
      <w:r w:rsidRPr="003731CB">
        <w:rPr>
          <w:rFonts w:ascii="Times New Roman" w:eastAsiaTheme="majorEastAsia" w:hAnsi="Times New Roman" w:cs="Times New Roman"/>
          <w:sz w:val="24"/>
          <w:szCs w:val="24"/>
        </w:rPr>
        <w:t xml:space="preserve">Lista dystrybucyjna zostanie przekazana Wykonawcy przez Zamawiającego do 5 dni od dnia podpisania umowy. Zamawiający ma prawo dokonywania zmian w liście dystrybucyjnej nie później, niż na 15 dni przed planowanym ostatecznym terminem zakończenia dystrybucji. Lista dystrybucyjna zawierać będzie nazwy i adresy szkół wraz z liczbą kompletów, które należy dostarczyć do każdej szkoły. </w:t>
      </w:r>
    </w:p>
    <w:p w14:paraId="4155A106" w14:textId="77777777" w:rsidR="003640EF" w:rsidRPr="003731CB" w:rsidRDefault="003640EF" w:rsidP="003640EF">
      <w:pPr>
        <w:pStyle w:val="Akapitzlist"/>
        <w:tabs>
          <w:tab w:val="left" w:pos="426"/>
        </w:tabs>
        <w:ind w:left="0"/>
        <w:jc w:val="both"/>
        <w:rPr>
          <w:rFonts w:ascii="Times New Roman" w:eastAsiaTheme="majorEastAsia" w:hAnsi="Times New Roman" w:cs="Times New Roman"/>
          <w:sz w:val="24"/>
          <w:szCs w:val="24"/>
        </w:rPr>
      </w:pPr>
      <w:r w:rsidRPr="003731CB">
        <w:rPr>
          <w:rFonts w:ascii="Times New Roman" w:eastAsiaTheme="majorEastAsia" w:hAnsi="Times New Roman" w:cs="Times New Roman"/>
          <w:sz w:val="24"/>
          <w:szCs w:val="24"/>
        </w:rPr>
        <w:t xml:space="preserve">Wykaz zawierający publiczne szkoły podstawowe w kraju, z których większość zostanie ujęta w liście dystrybucyjnej, znajduje się na stronie systemu informacji oświatowej pod linkiem: </w:t>
      </w:r>
      <w:hyperlink r:id="rId7" w:history="1">
        <w:r w:rsidRPr="003731CB">
          <w:rPr>
            <w:rStyle w:val="Hipercze"/>
            <w:rFonts w:ascii="Times New Roman" w:eastAsiaTheme="majorEastAsia" w:hAnsi="Times New Roman" w:cs="Times New Roman"/>
            <w:sz w:val="24"/>
            <w:szCs w:val="24"/>
          </w:rPr>
          <w:t>https://rspo.gov.pl/zaawansowana</w:t>
        </w:r>
      </w:hyperlink>
      <w:r w:rsidRPr="003731CB">
        <w:rPr>
          <w:rFonts w:ascii="Times New Roman" w:eastAsiaTheme="majorEastAsia" w:hAnsi="Times New Roman" w:cs="Times New Roman"/>
          <w:sz w:val="24"/>
          <w:szCs w:val="24"/>
        </w:rPr>
        <w:t xml:space="preserve"> po wybraniu odpowiednich parametrów w wyszukiwarce:</w:t>
      </w:r>
    </w:p>
    <w:p w14:paraId="0D0F39CD" w14:textId="77777777" w:rsidR="003640EF" w:rsidRPr="003731CB" w:rsidRDefault="003640EF" w:rsidP="003640EF">
      <w:pPr>
        <w:pStyle w:val="Akapitzlist"/>
        <w:tabs>
          <w:tab w:val="left" w:pos="426"/>
        </w:tabs>
        <w:ind w:left="0"/>
        <w:jc w:val="both"/>
        <w:rPr>
          <w:rFonts w:ascii="Times New Roman" w:eastAsiaTheme="majorEastAsia" w:hAnsi="Times New Roman" w:cs="Times New Roman"/>
          <w:sz w:val="24"/>
          <w:szCs w:val="24"/>
        </w:rPr>
      </w:pPr>
      <w:r w:rsidRPr="003731CB">
        <w:rPr>
          <w:rFonts w:ascii="Times New Roman" w:eastAsiaTheme="majorEastAsia" w:hAnsi="Times New Roman" w:cs="Times New Roman"/>
          <w:sz w:val="24"/>
          <w:szCs w:val="24"/>
          <w:u w:val="single"/>
        </w:rPr>
        <w:t>Typ szkoły/placówki:</w:t>
      </w:r>
      <w:r w:rsidRPr="003731CB">
        <w:rPr>
          <w:rFonts w:ascii="Times New Roman" w:eastAsiaTheme="majorEastAsia" w:hAnsi="Times New Roman" w:cs="Times New Roman"/>
          <w:sz w:val="24"/>
          <w:szCs w:val="24"/>
        </w:rPr>
        <w:t xml:space="preserve"> Szkoła podstawowa</w:t>
      </w:r>
    </w:p>
    <w:p w14:paraId="1C29200D" w14:textId="77777777" w:rsidR="003640EF" w:rsidRPr="003731CB" w:rsidRDefault="003640EF" w:rsidP="003640EF">
      <w:pPr>
        <w:pStyle w:val="Akapitzlist"/>
        <w:tabs>
          <w:tab w:val="left" w:pos="426"/>
        </w:tabs>
        <w:ind w:left="0"/>
        <w:jc w:val="both"/>
        <w:rPr>
          <w:rFonts w:ascii="Times New Roman" w:eastAsiaTheme="majorEastAsia" w:hAnsi="Times New Roman" w:cs="Times New Roman"/>
          <w:sz w:val="24"/>
          <w:szCs w:val="24"/>
        </w:rPr>
      </w:pPr>
      <w:r w:rsidRPr="003731CB">
        <w:rPr>
          <w:rFonts w:ascii="Times New Roman" w:eastAsiaTheme="majorEastAsia" w:hAnsi="Times New Roman" w:cs="Times New Roman"/>
          <w:sz w:val="24"/>
          <w:szCs w:val="24"/>
          <w:u w:val="single"/>
        </w:rPr>
        <w:t>Parametry:</w:t>
      </w:r>
      <w:r w:rsidRPr="003731CB">
        <w:rPr>
          <w:rFonts w:ascii="Times New Roman" w:eastAsiaTheme="majorEastAsia" w:hAnsi="Times New Roman" w:cs="Times New Roman"/>
          <w:sz w:val="24"/>
          <w:szCs w:val="24"/>
        </w:rPr>
        <w:t xml:space="preserve"> Status publiczno-prawny: publiczna; Kategoria uczniów: Dzieci lub młodzież; Etap edukacji: I etap edukacyjny i II etap edukacyjny</w:t>
      </w:r>
    </w:p>
    <w:p w14:paraId="70BF5D80" w14:textId="77777777" w:rsidR="003640EF" w:rsidRPr="003731CB" w:rsidRDefault="003640EF" w:rsidP="003640EF">
      <w:pPr>
        <w:pStyle w:val="Akapitzlist"/>
        <w:tabs>
          <w:tab w:val="left" w:pos="426"/>
        </w:tabs>
        <w:ind w:left="0"/>
        <w:jc w:val="both"/>
        <w:rPr>
          <w:rFonts w:ascii="Times New Roman" w:eastAsiaTheme="majorEastAsia" w:hAnsi="Times New Roman" w:cs="Times New Roman"/>
          <w:sz w:val="24"/>
          <w:szCs w:val="24"/>
        </w:rPr>
      </w:pPr>
    </w:p>
    <w:p w14:paraId="7872DBFA" w14:textId="77777777" w:rsidR="003640EF" w:rsidRPr="003731CB" w:rsidRDefault="003640EF" w:rsidP="003640EF">
      <w:pPr>
        <w:pStyle w:val="Akapitzlist"/>
        <w:tabs>
          <w:tab w:val="left" w:pos="426"/>
        </w:tabs>
        <w:ind w:left="0"/>
        <w:jc w:val="both"/>
        <w:rPr>
          <w:rFonts w:ascii="Times New Roman" w:eastAsiaTheme="majorEastAsia" w:hAnsi="Times New Roman" w:cs="Times New Roman"/>
          <w:sz w:val="24"/>
          <w:szCs w:val="24"/>
        </w:rPr>
      </w:pPr>
      <w:r w:rsidRPr="003731CB">
        <w:rPr>
          <w:rFonts w:ascii="Times New Roman" w:eastAsiaTheme="majorEastAsia" w:hAnsi="Times New Roman" w:cs="Times New Roman"/>
          <w:sz w:val="24"/>
          <w:szCs w:val="24"/>
        </w:rPr>
        <w:t>Przebieg i warunki dystrybucji materiałów edukacyjnych oraz pomocy dydaktycznych do szkół.</w:t>
      </w:r>
    </w:p>
    <w:p w14:paraId="696DF5FC" w14:textId="77777777" w:rsidR="003640EF" w:rsidRPr="003731CB" w:rsidRDefault="003640EF" w:rsidP="003640EF">
      <w:pPr>
        <w:pStyle w:val="Akapitzlist"/>
        <w:numPr>
          <w:ilvl w:val="0"/>
          <w:numId w:val="3"/>
        </w:numPr>
        <w:tabs>
          <w:tab w:val="left" w:pos="426"/>
        </w:tabs>
        <w:jc w:val="both"/>
        <w:rPr>
          <w:rFonts w:ascii="Times New Roman" w:eastAsiaTheme="majorEastAsia" w:hAnsi="Times New Roman" w:cs="Times New Roman"/>
          <w:sz w:val="24"/>
          <w:szCs w:val="24"/>
        </w:rPr>
      </w:pPr>
      <w:r w:rsidRPr="003731CB">
        <w:rPr>
          <w:rFonts w:ascii="Times New Roman" w:eastAsiaTheme="majorEastAsia" w:hAnsi="Times New Roman" w:cs="Times New Roman"/>
          <w:sz w:val="24"/>
          <w:szCs w:val="24"/>
        </w:rPr>
        <w:t>Wykonawca ma obowiązek dostarczyć komplety materiałów edukacyjnych oraz pomocy dydaktycznych do każdej szkoły w dni robocze, tj. od poniedziałku do piątku, za wyjątkiem dni ustawowo wolnych od pracy, w godzinach 9.00-15.00.</w:t>
      </w:r>
    </w:p>
    <w:p w14:paraId="3A82C19A" w14:textId="77777777" w:rsidR="003640EF" w:rsidRPr="003731CB" w:rsidRDefault="003640EF" w:rsidP="003640EF">
      <w:pPr>
        <w:pStyle w:val="Akapitzlist"/>
        <w:numPr>
          <w:ilvl w:val="0"/>
          <w:numId w:val="3"/>
        </w:numPr>
        <w:tabs>
          <w:tab w:val="left" w:pos="426"/>
        </w:tabs>
        <w:jc w:val="both"/>
        <w:rPr>
          <w:rFonts w:ascii="Times New Roman" w:eastAsiaTheme="majorEastAsia" w:hAnsi="Times New Roman" w:cs="Times New Roman"/>
          <w:sz w:val="24"/>
          <w:szCs w:val="24"/>
        </w:rPr>
      </w:pPr>
      <w:r w:rsidRPr="003731CB">
        <w:rPr>
          <w:rFonts w:ascii="Times New Roman" w:eastAsiaTheme="majorEastAsia" w:hAnsi="Times New Roman" w:cs="Times New Roman"/>
          <w:sz w:val="24"/>
          <w:szCs w:val="24"/>
        </w:rPr>
        <w:t>Wykonawca musi uzyskać poświadczenie dostawy od dyrektora szkoły lub zastępcy dyrektora lub pracownika sekretariatu (czytelny podpis, data odbioru, liczba odebranych opakowań). Dopuszczalna jest również elektroniczna forma potwierdzenia w przypadku wysyłki kurierem lub pocztą.</w:t>
      </w:r>
    </w:p>
    <w:p w14:paraId="454A10DB" w14:textId="77777777" w:rsidR="003640EF" w:rsidRPr="003731CB" w:rsidRDefault="003640EF" w:rsidP="003640EF">
      <w:pPr>
        <w:pStyle w:val="Akapitzlist"/>
        <w:numPr>
          <w:ilvl w:val="0"/>
          <w:numId w:val="3"/>
        </w:numPr>
        <w:tabs>
          <w:tab w:val="left" w:pos="426"/>
        </w:tabs>
        <w:jc w:val="both"/>
        <w:rPr>
          <w:rFonts w:ascii="Times New Roman" w:eastAsiaTheme="majorEastAsia" w:hAnsi="Times New Roman" w:cs="Times New Roman"/>
          <w:sz w:val="24"/>
          <w:szCs w:val="24"/>
        </w:rPr>
      </w:pPr>
      <w:r w:rsidRPr="003731CB">
        <w:rPr>
          <w:rFonts w:ascii="Times New Roman" w:eastAsiaTheme="majorEastAsia" w:hAnsi="Times New Roman" w:cs="Times New Roman"/>
          <w:sz w:val="24"/>
          <w:szCs w:val="24"/>
        </w:rPr>
        <w:t>Wykonawca jest zobowiązany przekazać oryginalne lub elektroniczne poświadczenia odbioru przez szkoły kompletów materiałów edukacyjnych oraz pomocy dydaktycznych.</w:t>
      </w:r>
    </w:p>
    <w:p w14:paraId="45756837" w14:textId="77777777" w:rsidR="003640EF" w:rsidRPr="003731CB" w:rsidRDefault="003640EF" w:rsidP="003640EF">
      <w:pPr>
        <w:pStyle w:val="Akapitzlist"/>
        <w:numPr>
          <w:ilvl w:val="0"/>
          <w:numId w:val="3"/>
        </w:numPr>
        <w:tabs>
          <w:tab w:val="left" w:pos="426"/>
        </w:tabs>
        <w:jc w:val="both"/>
        <w:rPr>
          <w:rFonts w:ascii="Times New Roman" w:eastAsiaTheme="majorEastAsia" w:hAnsi="Times New Roman" w:cs="Times New Roman"/>
          <w:sz w:val="24"/>
          <w:szCs w:val="24"/>
        </w:rPr>
      </w:pPr>
      <w:r w:rsidRPr="003731CB">
        <w:rPr>
          <w:rFonts w:ascii="Times New Roman" w:eastAsiaTheme="majorEastAsia" w:hAnsi="Times New Roman" w:cs="Times New Roman"/>
          <w:sz w:val="24"/>
          <w:szCs w:val="24"/>
        </w:rPr>
        <w:t>Zwroty.</w:t>
      </w:r>
    </w:p>
    <w:p w14:paraId="442BEAD6" w14:textId="77777777" w:rsidR="003640EF" w:rsidRPr="003731CB" w:rsidRDefault="003640EF" w:rsidP="003640EF">
      <w:pPr>
        <w:pStyle w:val="Akapitzlist"/>
        <w:tabs>
          <w:tab w:val="left" w:pos="426"/>
        </w:tabs>
        <w:ind w:left="360"/>
        <w:jc w:val="both"/>
        <w:rPr>
          <w:rFonts w:ascii="Times New Roman" w:eastAsiaTheme="majorEastAsia" w:hAnsi="Times New Roman" w:cs="Times New Roman"/>
          <w:sz w:val="24"/>
          <w:szCs w:val="24"/>
        </w:rPr>
      </w:pPr>
      <w:r w:rsidRPr="003731CB">
        <w:rPr>
          <w:rFonts w:ascii="Times New Roman" w:eastAsiaTheme="majorEastAsia" w:hAnsi="Times New Roman" w:cs="Times New Roman"/>
          <w:sz w:val="24"/>
          <w:szCs w:val="24"/>
        </w:rPr>
        <w:t>W przypadku braku możliwości dostarczenia kompletów materiałów edukacyjnych oraz pomocy dydaktycznych do szkoły, ujętej na liście dystrybucyjnej, na skutek nieprawidłowego adresu lub z powodu nieobecności w szkole osoby upoważnionej do odbioru Wykonawca skontaktuje się ze szkołą w celu potwierdzenia adresu i umożliwienia skutecznego doręczenia materiałów.</w:t>
      </w:r>
    </w:p>
    <w:p w14:paraId="63DCD9F3" w14:textId="77777777" w:rsidR="003640EF" w:rsidRPr="003731CB" w:rsidRDefault="003640EF" w:rsidP="003640EF">
      <w:pPr>
        <w:tabs>
          <w:tab w:val="left" w:pos="426"/>
        </w:tabs>
        <w:spacing w:line="276" w:lineRule="auto"/>
        <w:jc w:val="both"/>
        <w:rPr>
          <w:b/>
          <w:bCs/>
        </w:rPr>
      </w:pPr>
      <w:r w:rsidRPr="003731CB">
        <w:rPr>
          <w:b/>
          <w:bCs/>
        </w:rPr>
        <w:t>Zamówienie obejmuje ponadto:</w:t>
      </w:r>
    </w:p>
    <w:p w14:paraId="67D72541" w14:textId="2AA220B0" w:rsidR="00BF066E" w:rsidRDefault="003640EF" w:rsidP="003640EF">
      <w:r w:rsidRPr="003731CB">
        <w:t>Wykonawca przekaże Zamawiającemu komplet wszystkich powstałych materiałów edukacyjnych i pomocy dydaktycznych nagranych na nośniku pendrive (pendrive: 1 szt., interfejs USB 3.0, pojemność dostosowana do wielkości materiałów edukacyjnych i pomocy dydaktycznych) z materiałami w formacie pdf umożliwiający ewentualny kolejny dodruk materiałów.</w:t>
      </w:r>
    </w:p>
    <w:sectPr w:rsidR="00BF06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62F12"/>
    <w:multiLevelType w:val="hybridMultilevel"/>
    <w:tmpl w:val="D4AEBAAA"/>
    <w:lvl w:ilvl="0" w:tplc="9FEEEFC6">
      <w:start w:val="1"/>
      <w:numFmt w:val="decimal"/>
      <w:lvlText w:val="%1."/>
      <w:lvlJc w:val="left"/>
      <w:pPr>
        <w:ind w:left="720" w:hanging="360"/>
      </w:pPr>
      <w:rPr>
        <w:rFonts w:hint="default"/>
      </w:rPr>
    </w:lvl>
    <w:lvl w:ilvl="1" w:tplc="1242D1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7B07BC4"/>
    <w:multiLevelType w:val="multilevel"/>
    <w:tmpl w:val="333ABFEC"/>
    <w:lvl w:ilvl="0">
      <w:numFmt w:val="decimal"/>
      <w:lvlText w:val=""/>
      <w:lvlJc w:val="left"/>
    </w:lvl>
    <w:lvl w:ilvl="1">
      <w:start w:val="1"/>
      <w:numFmt w:val="decimal"/>
      <w:lvlText w:val="%2."/>
      <w:lvlJc w:val="left"/>
      <w:rPr>
        <w:b w:val="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BB24A48"/>
    <w:multiLevelType w:val="multilevel"/>
    <w:tmpl w:val="408EFBAC"/>
    <w:lvl w:ilvl="0">
      <w:start w:val="1"/>
      <w:numFmt w:val="decimal"/>
      <w:lvlText w:val="%1."/>
      <w:lvlJc w:val="left"/>
      <w:pPr>
        <w:ind w:left="360" w:hanging="360"/>
      </w:pPr>
      <w:rPr>
        <w:rFonts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i w:val="0"/>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62A81E7F"/>
    <w:multiLevelType w:val="hybridMultilevel"/>
    <w:tmpl w:val="4CE8DD88"/>
    <w:lvl w:ilvl="0" w:tplc="1242D1F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0EF"/>
    <w:rsid w:val="003640EF"/>
    <w:rsid w:val="00530E69"/>
    <w:rsid w:val="00BF066E"/>
    <w:rsid w:val="00E74D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B1492"/>
  <w15:chartTrackingRefBased/>
  <w15:docId w15:val="{6FF5704A-50DA-43A4-BFFC-DE99A18F1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40EF"/>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qFormat/>
    <w:rsid w:val="003640EF"/>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3640EF"/>
    <w:rPr>
      <w:rFonts w:ascii="Arial" w:eastAsia="Times New Roman" w:hAnsi="Arial" w:cs="Arial"/>
      <w:b/>
      <w:bCs/>
      <w:i/>
      <w:iCs/>
      <w:sz w:val="28"/>
      <w:szCs w:val="28"/>
      <w:lang w:eastAsia="pl-PL"/>
    </w:rPr>
  </w:style>
  <w:style w:type="character" w:styleId="Hipercze">
    <w:name w:val="Hyperlink"/>
    <w:rsid w:val="003640EF"/>
    <w:rPr>
      <w:color w:val="0000FF"/>
      <w:u w:val="single"/>
    </w:rPr>
  </w:style>
  <w:style w:type="paragraph" w:styleId="Akapitzlist">
    <w:name w:val="List Paragraph"/>
    <w:aliases w:val="CW_Lista,lp1,List Paragraph2,wypunktowanie,Preambuła,Bullet Number,Body MS Bullet,List Paragraph1,ISCG Numerowanie,L1,Numerowanie,normalny tekst,Akapit z listą BS,Colorful Shading Accent 3,Light List Accent 5,Akapit z listą5,Wypunktowanie"/>
    <w:basedOn w:val="Normalny"/>
    <w:link w:val="AkapitzlistZnak"/>
    <w:uiPriority w:val="34"/>
    <w:qFormat/>
    <w:rsid w:val="003640EF"/>
    <w:pPr>
      <w:spacing w:after="200" w:line="276" w:lineRule="auto"/>
      <w:ind w:left="720"/>
      <w:contextualSpacing/>
    </w:pPr>
    <w:rPr>
      <w:rFonts w:ascii="Calibri" w:eastAsia="Calibri" w:hAnsi="Calibri" w:cs="Calibri"/>
      <w:sz w:val="22"/>
      <w:szCs w:val="22"/>
      <w:lang w:eastAsia="en-US"/>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normalny tekst Znak,Akapit z listą BS Znak"/>
    <w:link w:val="Akapitzlist"/>
    <w:uiPriority w:val="34"/>
    <w:qFormat/>
    <w:rsid w:val="003640EF"/>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spo.gov.pl/zaawansowan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1373</Words>
  <Characters>8243</Characters>
  <Application>Microsoft Office Word</Application>
  <DocSecurity>0</DocSecurity>
  <Lines>68</Lines>
  <Paragraphs>19</Paragraphs>
  <ScaleCrop>false</ScaleCrop>
  <Company>Szkola Glowna Gospodarstwa Wiejskiego</Company>
  <LinksUpToDate>false</LinksUpToDate>
  <CharactersWithSpaces>9597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Władysław Sadowski</dc:creator>
  <cp:keywords/>
  <dc:description/>
  <cp:lastModifiedBy>Władysław Sadowski</cp:lastModifiedBy>
  <cp:revision>3</cp:revision>
  <dcterms:created xsi:type="dcterms:W3CDTF">2024-09-26T07:38:00Z</dcterms:created>
  <dcterms:modified xsi:type="dcterms:W3CDTF">2024-09-26T08:39:00Z</dcterms:modified>
</cp:coreProperties>
</file>