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627C8" w14:textId="7B5CA7B4" w:rsidR="005577A5" w:rsidRDefault="00D92235" w:rsidP="00ED5E05">
      <w:pPr>
        <w:pStyle w:val="Nagwek4"/>
      </w:pPr>
      <w:bookmarkStart w:id="0" w:name="_GoBack"/>
      <w:bookmarkEnd w:id="0"/>
      <w:r>
        <w:rPr>
          <w:sz w:val="24"/>
          <w:szCs w:val="24"/>
        </w:rPr>
        <w:t>Znak sprawy: OG.261.5.2024</w:t>
      </w:r>
      <w:r w:rsidR="00B00FF5" w:rsidRPr="008D32FB">
        <w:rPr>
          <w:sz w:val="24"/>
          <w:szCs w:val="24"/>
        </w:rPr>
        <w:tab/>
      </w:r>
      <w:r w:rsidR="00B00FF5" w:rsidRPr="008D32FB">
        <w:rPr>
          <w:sz w:val="24"/>
          <w:szCs w:val="24"/>
        </w:rPr>
        <w:tab/>
      </w:r>
      <w:r w:rsidR="00B00FF5" w:rsidRPr="008D32FB">
        <w:rPr>
          <w:sz w:val="24"/>
          <w:szCs w:val="24"/>
        </w:rPr>
        <w:tab/>
        <w:t xml:space="preserve">     </w:t>
      </w:r>
      <w:r w:rsidR="00D7789E">
        <w:rPr>
          <w:sz w:val="24"/>
          <w:szCs w:val="24"/>
        </w:rPr>
        <w:tab/>
      </w:r>
      <w:r w:rsidR="005577A5">
        <w:rPr>
          <w:sz w:val="24"/>
          <w:szCs w:val="24"/>
        </w:rPr>
        <w:t xml:space="preserve"> </w:t>
      </w:r>
      <w:r w:rsidR="00B944C5" w:rsidRPr="008D32FB">
        <w:rPr>
          <w:sz w:val="24"/>
          <w:szCs w:val="24"/>
        </w:rPr>
        <w:t xml:space="preserve"> </w:t>
      </w:r>
    </w:p>
    <w:p w14:paraId="0F910C7C" w14:textId="77777777" w:rsidR="004555CC" w:rsidRDefault="004555CC" w:rsidP="0000632E">
      <w:pPr>
        <w:ind w:left="6372" w:firstLine="708"/>
        <w:jc w:val="right"/>
        <w:rPr>
          <w:rFonts w:ascii="Times New Roman" w:hAnsi="Times New Roman" w:cs="Times New Roman"/>
        </w:rPr>
      </w:pPr>
    </w:p>
    <w:p w14:paraId="4A98A8F1" w14:textId="3B83B96C" w:rsidR="0000632E" w:rsidRPr="0000632E" w:rsidRDefault="0000632E" w:rsidP="00ED5E05">
      <w:pPr>
        <w:ind w:left="6372"/>
        <w:rPr>
          <w:rFonts w:ascii="Times New Roman" w:hAnsi="Times New Roman" w:cs="Times New Roman"/>
        </w:rPr>
      </w:pPr>
      <w:r w:rsidRPr="0000632E">
        <w:rPr>
          <w:rFonts w:ascii="Times New Roman" w:hAnsi="Times New Roman" w:cs="Times New Roman"/>
        </w:rPr>
        <w:t xml:space="preserve">Załącznik nr </w:t>
      </w:r>
      <w:r w:rsidR="006C543F">
        <w:rPr>
          <w:rFonts w:ascii="Times New Roman" w:hAnsi="Times New Roman" w:cs="Times New Roman"/>
        </w:rPr>
        <w:t>3</w:t>
      </w:r>
      <w:r w:rsidR="00ED5E05">
        <w:rPr>
          <w:rFonts w:ascii="Times New Roman" w:hAnsi="Times New Roman" w:cs="Times New Roman"/>
        </w:rPr>
        <w:t xml:space="preserve"> do SWZ</w:t>
      </w:r>
    </w:p>
    <w:p w14:paraId="36FC9F65" w14:textId="77777777" w:rsidR="00812C78" w:rsidRDefault="00812C78" w:rsidP="000063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9612B8" w14:textId="1A11C699" w:rsidR="0000632E" w:rsidRDefault="0000632E" w:rsidP="00006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32E">
        <w:rPr>
          <w:rFonts w:ascii="Times New Roman" w:hAnsi="Times New Roman" w:cs="Times New Roman"/>
          <w:b/>
          <w:sz w:val="28"/>
          <w:szCs w:val="28"/>
        </w:rPr>
        <w:t>Szczegółowy opis przedmiotu zamówienia</w:t>
      </w:r>
    </w:p>
    <w:p w14:paraId="61590FA2" w14:textId="23D9C120" w:rsidR="002804C3" w:rsidRDefault="00D24580" w:rsidP="00D24580">
      <w:pPr>
        <w:jc w:val="center"/>
        <w:rPr>
          <w:rFonts w:ascii="Times New Roman" w:hAnsi="Times New Roman" w:cs="Times New Roman"/>
          <w:b/>
        </w:rPr>
      </w:pPr>
      <w:r w:rsidRPr="00D24580">
        <w:rPr>
          <w:rFonts w:ascii="Times New Roman" w:hAnsi="Times New Roman" w:cs="Times New Roman"/>
          <w:b/>
        </w:rPr>
        <w:t>„Usługa zapewnienia dostępu do obiektów i zajęć sportowo – rekreacyjnych dla pracowników Sądu Rejonowego Gdańsk-Północ w Gdańsku”</w:t>
      </w:r>
    </w:p>
    <w:p w14:paraId="30B99E2F" w14:textId="77777777" w:rsidR="006C6858" w:rsidRPr="004E022B" w:rsidRDefault="006C6858" w:rsidP="006C6858">
      <w:pPr>
        <w:rPr>
          <w:rFonts w:ascii="Times New Roman" w:hAnsi="Times New Roman" w:cs="Times New Roman"/>
          <w:b/>
          <w:sz w:val="24"/>
          <w:szCs w:val="24"/>
        </w:rPr>
      </w:pPr>
      <w:r w:rsidRPr="004E022B">
        <w:rPr>
          <w:rFonts w:ascii="Times New Roman" w:hAnsi="Times New Roman" w:cs="Times New Roman"/>
          <w:b/>
          <w:sz w:val="24"/>
          <w:szCs w:val="24"/>
        </w:rPr>
        <w:t>Nazwa zamówienia:</w:t>
      </w:r>
    </w:p>
    <w:p w14:paraId="5BF62CDE" w14:textId="7D1F1FD2" w:rsidR="006C6858" w:rsidRPr="004E022B" w:rsidRDefault="00E96FB5" w:rsidP="006C6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7585165"/>
      <w:r w:rsidRPr="004E022B">
        <w:rPr>
          <w:rFonts w:ascii="Times New Roman" w:hAnsi="Times New Roman" w:cs="Times New Roman"/>
          <w:sz w:val="24"/>
          <w:szCs w:val="24"/>
        </w:rPr>
        <w:t>„</w:t>
      </w:r>
      <w:r w:rsidR="00DB1C70" w:rsidRPr="004E022B">
        <w:rPr>
          <w:rFonts w:ascii="Times New Roman" w:hAnsi="Times New Roman" w:cs="Times New Roman"/>
          <w:sz w:val="24"/>
          <w:szCs w:val="24"/>
        </w:rPr>
        <w:t>Usługa</w:t>
      </w:r>
      <w:r w:rsidR="006C6858" w:rsidRPr="004E022B">
        <w:rPr>
          <w:rFonts w:ascii="Times New Roman" w:hAnsi="Times New Roman" w:cs="Times New Roman"/>
          <w:sz w:val="24"/>
          <w:szCs w:val="24"/>
        </w:rPr>
        <w:t xml:space="preserve"> </w:t>
      </w:r>
      <w:r w:rsidR="006F58B7" w:rsidRPr="004E022B">
        <w:rPr>
          <w:rFonts w:ascii="Times New Roman" w:hAnsi="Times New Roman" w:cs="Times New Roman"/>
          <w:sz w:val="24"/>
          <w:szCs w:val="24"/>
        </w:rPr>
        <w:t xml:space="preserve">zapewnienia </w:t>
      </w:r>
      <w:r w:rsidR="006C6858" w:rsidRPr="004E022B">
        <w:rPr>
          <w:rFonts w:ascii="Times New Roman" w:hAnsi="Times New Roman" w:cs="Times New Roman"/>
          <w:sz w:val="24"/>
          <w:szCs w:val="24"/>
        </w:rPr>
        <w:t>dostępu do obiektów i zajęć sportowo – rekreacyjnych dla pracowników Sądu Rejonowego Gdańsk-Północ w Gdańsku</w:t>
      </w:r>
      <w:r w:rsidR="004B2874" w:rsidRPr="004E022B">
        <w:rPr>
          <w:rFonts w:ascii="Times New Roman" w:hAnsi="Times New Roman" w:cs="Times New Roman"/>
          <w:sz w:val="24"/>
          <w:szCs w:val="24"/>
        </w:rPr>
        <w:t>”</w:t>
      </w:r>
      <w:bookmarkEnd w:id="1"/>
      <w:r w:rsidR="00D24580" w:rsidRPr="004E022B">
        <w:rPr>
          <w:rFonts w:ascii="Times New Roman" w:hAnsi="Times New Roman" w:cs="Times New Roman"/>
          <w:sz w:val="24"/>
          <w:szCs w:val="24"/>
        </w:rPr>
        <w:t xml:space="preserve"> </w:t>
      </w:r>
      <w:r w:rsidR="006C6858" w:rsidRPr="004E022B">
        <w:rPr>
          <w:rFonts w:ascii="Times New Roman" w:hAnsi="Times New Roman" w:cs="Times New Roman"/>
          <w:sz w:val="24"/>
          <w:szCs w:val="24"/>
        </w:rPr>
        <w:t>oraz ich rodzin w postaci abonamentu miesięcznego w wyznaczonych ośrodkach na terenie całego kraju, z którymi Wykonawca ma podpisaną umowę współpracy.</w:t>
      </w:r>
    </w:p>
    <w:p w14:paraId="0E24188B" w14:textId="77777777" w:rsidR="006C6858" w:rsidRPr="004E022B" w:rsidRDefault="006C6858" w:rsidP="006C6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E4272" w14:textId="77777777" w:rsidR="006C6858" w:rsidRPr="004E022B" w:rsidRDefault="006C6858" w:rsidP="006C6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22B">
        <w:rPr>
          <w:rFonts w:ascii="Times New Roman" w:hAnsi="Times New Roman" w:cs="Times New Roman"/>
          <w:b/>
          <w:sz w:val="24"/>
          <w:szCs w:val="24"/>
        </w:rPr>
        <w:t xml:space="preserve">Opis przedmiotu zamówienia </w:t>
      </w:r>
    </w:p>
    <w:p w14:paraId="18D7E0DD" w14:textId="77777777" w:rsidR="006C6858" w:rsidRPr="004E022B" w:rsidRDefault="006C6858" w:rsidP="006C6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DA42C5" w14:textId="115F0473" w:rsidR="006C6858" w:rsidRPr="004E022B" w:rsidRDefault="006C6858" w:rsidP="00D7789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cs="Times New Roman"/>
          <w:szCs w:val="24"/>
        </w:rPr>
      </w:pPr>
      <w:r w:rsidRPr="004E022B">
        <w:rPr>
          <w:rFonts w:cs="Times New Roman"/>
          <w:szCs w:val="24"/>
        </w:rPr>
        <w:t xml:space="preserve">Przedmiotem zamówienia jest świadczenie wyselekcjonowanych przez Wykonawcę, pod kątem potrzeb Zamawiającego, usług sportowo rekreacyjnych tj. działalność sportowo rekreacyjna </w:t>
      </w:r>
      <w:r w:rsidR="009C2CD4" w:rsidRPr="004E022B">
        <w:rPr>
          <w:rFonts w:cs="Times New Roman"/>
          <w:szCs w:val="24"/>
        </w:rPr>
        <w:t>np.</w:t>
      </w:r>
      <w:r w:rsidRPr="004E022B">
        <w:rPr>
          <w:rFonts w:cs="Times New Roman"/>
          <w:szCs w:val="24"/>
        </w:rPr>
        <w:t>(</w:t>
      </w:r>
      <w:proofErr w:type="spellStart"/>
      <w:r w:rsidRPr="004E022B">
        <w:rPr>
          <w:rFonts w:cs="Times New Roman"/>
          <w:szCs w:val="24"/>
        </w:rPr>
        <w:t>aerobic</w:t>
      </w:r>
      <w:proofErr w:type="spellEnd"/>
      <w:r w:rsidRPr="004E022B">
        <w:rPr>
          <w:rFonts w:cs="Times New Roman"/>
          <w:szCs w:val="24"/>
        </w:rPr>
        <w:t xml:space="preserve">, </w:t>
      </w:r>
      <w:proofErr w:type="spellStart"/>
      <w:r w:rsidRPr="004E022B">
        <w:rPr>
          <w:rFonts w:cs="Times New Roman"/>
          <w:szCs w:val="24"/>
        </w:rPr>
        <w:t>aqua</w:t>
      </w:r>
      <w:proofErr w:type="spellEnd"/>
      <w:r w:rsidRPr="004E022B">
        <w:rPr>
          <w:rFonts w:cs="Times New Roman"/>
          <w:szCs w:val="24"/>
        </w:rPr>
        <w:t xml:space="preserve"> </w:t>
      </w:r>
      <w:proofErr w:type="spellStart"/>
      <w:r w:rsidRPr="004E022B">
        <w:rPr>
          <w:rFonts w:cs="Times New Roman"/>
          <w:szCs w:val="24"/>
        </w:rPr>
        <w:t>aerobic</w:t>
      </w:r>
      <w:proofErr w:type="spellEnd"/>
      <w:r w:rsidRPr="004E022B">
        <w:rPr>
          <w:rFonts w:cs="Times New Roman"/>
          <w:szCs w:val="24"/>
        </w:rPr>
        <w:t xml:space="preserve">, basen, </w:t>
      </w:r>
      <w:proofErr w:type="spellStart"/>
      <w:r w:rsidRPr="004E022B">
        <w:rPr>
          <w:rFonts w:cs="Times New Roman"/>
          <w:szCs w:val="24"/>
        </w:rPr>
        <w:t>indoor</w:t>
      </w:r>
      <w:proofErr w:type="spellEnd"/>
      <w:r w:rsidRPr="004E022B">
        <w:rPr>
          <w:rFonts w:cs="Times New Roman"/>
          <w:szCs w:val="24"/>
        </w:rPr>
        <w:t xml:space="preserve"> </w:t>
      </w:r>
      <w:proofErr w:type="spellStart"/>
      <w:r w:rsidRPr="004E022B">
        <w:rPr>
          <w:rFonts w:cs="Times New Roman"/>
          <w:szCs w:val="24"/>
        </w:rPr>
        <w:t>cycling</w:t>
      </w:r>
      <w:proofErr w:type="spellEnd"/>
      <w:r w:rsidRPr="004E022B">
        <w:rPr>
          <w:rFonts w:cs="Times New Roman"/>
          <w:szCs w:val="24"/>
        </w:rPr>
        <w:t xml:space="preserve">, fitness, gimnastyka, jacuzzi, joga, łaźnia, nauka sztuk walki, nauka tańca, </w:t>
      </w:r>
      <w:proofErr w:type="spellStart"/>
      <w:r w:rsidRPr="004E022B">
        <w:rPr>
          <w:rFonts w:cs="Times New Roman"/>
          <w:szCs w:val="24"/>
        </w:rPr>
        <w:t>pilates</w:t>
      </w:r>
      <w:proofErr w:type="spellEnd"/>
      <w:r w:rsidRPr="004E022B">
        <w:rPr>
          <w:rFonts w:cs="Times New Roman"/>
          <w:szCs w:val="24"/>
        </w:rPr>
        <w:t xml:space="preserve">, sauna, ścianka wspinaczkowa, siłownia, spinning, squash, itp.) dostępnych dla Uczestników Programu (pracowników </w:t>
      </w:r>
      <w:r w:rsidR="007362A2" w:rsidRPr="004E022B">
        <w:rPr>
          <w:rFonts w:cs="Times New Roman"/>
          <w:szCs w:val="24"/>
        </w:rPr>
        <w:t>Sądu Rejonowego Gdańsk-Północ w Gdańsku</w:t>
      </w:r>
      <w:r w:rsidRPr="004E022B">
        <w:rPr>
          <w:rFonts w:cs="Times New Roman"/>
          <w:szCs w:val="24"/>
        </w:rPr>
        <w:t>, ich członków rodzin zwanych dalej „osobami towarzyszącymi”)</w:t>
      </w:r>
      <w:r w:rsidR="00F94045" w:rsidRPr="004E022B">
        <w:rPr>
          <w:rFonts w:cs="Times New Roman"/>
          <w:szCs w:val="24"/>
        </w:rPr>
        <w:t xml:space="preserve"> </w:t>
      </w:r>
      <w:r w:rsidRPr="004E022B">
        <w:rPr>
          <w:rFonts w:cs="Times New Roman"/>
          <w:szCs w:val="24"/>
        </w:rPr>
        <w:t>przez 7 dni w tygodniu, świadczonych na ich rzecz w okresie obowiązywania umowy przez podmioty trzecie.</w:t>
      </w:r>
      <w:r w:rsidR="005577A5" w:rsidRPr="004E022B">
        <w:rPr>
          <w:rFonts w:cs="Times New Roman"/>
          <w:szCs w:val="24"/>
        </w:rPr>
        <w:t xml:space="preserve"> </w:t>
      </w:r>
      <w:r w:rsidR="005577A5" w:rsidRPr="004E022B">
        <w:rPr>
          <w:rFonts w:cs="Times New Roman"/>
          <w:szCs w:val="24"/>
          <w:u w:val="single"/>
        </w:rPr>
        <w:t>Koszt przystąpienia do Programu w 100% ponoszą pracownicy Zamawiającego</w:t>
      </w:r>
      <w:r w:rsidR="005577A5" w:rsidRPr="004E022B">
        <w:rPr>
          <w:rFonts w:cs="Times New Roman"/>
          <w:szCs w:val="24"/>
        </w:rPr>
        <w:t>.</w:t>
      </w:r>
    </w:p>
    <w:p w14:paraId="4C405A27" w14:textId="6F092DF0" w:rsidR="006C6858" w:rsidRPr="004E022B" w:rsidRDefault="006C6858" w:rsidP="00D7789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cs="Times New Roman"/>
          <w:color w:val="000000" w:themeColor="text1"/>
          <w:szCs w:val="24"/>
        </w:rPr>
      </w:pPr>
      <w:r w:rsidRPr="004E022B">
        <w:rPr>
          <w:rFonts w:cs="Times New Roman"/>
          <w:szCs w:val="24"/>
        </w:rPr>
        <w:t>Usługi będące przedmiotem umowy polegają na umożliwieniu Uczestnikom Programu</w:t>
      </w:r>
      <w:r w:rsidR="00AC0850" w:rsidRPr="004E022B">
        <w:rPr>
          <w:rFonts w:cs="Times New Roman"/>
          <w:szCs w:val="24"/>
        </w:rPr>
        <w:t xml:space="preserve"> oraz </w:t>
      </w:r>
      <w:r w:rsidRPr="004E022B">
        <w:rPr>
          <w:rFonts w:cs="Times New Roman"/>
          <w:szCs w:val="24"/>
        </w:rPr>
        <w:t xml:space="preserve"> </w:t>
      </w:r>
      <w:r w:rsidR="00AC0850" w:rsidRPr="004E022B">
        <w:rPr>
          <w:bCs/>
          <w:szCs w:val="24"/>
        </w:rPr>
        <w:t>osobom</w:t>
      </w:r>
      <w:r w:rsidR="00FC6457" w:rsidRPr="004E022B">
        <w:rPr>
          <w:bCs/>
          <w:szCs w:val="24"/>
        </w:rPr>
        <w:t xml:space="preserve"> towarzyszących </w:t>
      </w:r>
      <w:r w:rsidRPr="004E022B">
        <w:rPr>
          <w:rFonts w:cs="Times New Roman"/>
          <w:szCs w:val="24"/>
        </w:rPr>
        <w:t>do nielimitowanego dostępu do wyznaczonych obiektów sportowych (punktów partnerskich) w całej Polsce o zróżnicowanym charakterze, z którymi Wykonawca ma podpisaną umowę współpracy, w ramach miesięcznego abonamentu. W ramach świadczonych usług Wykonawca musi także</w:t>
      </w:r>
      <w:r w:rsidR="007362A2" w:rsidRPr="004E022B">
        <w:rPr>
          <w:rFonts w:cs="Times New Roman"/>
          <w:szCs w:val="24"/>
        </w:rPr>
        <w:t xml:space="preserve"> zaproponować pakiet dla dzieci</w:t>
      </w:r>
      <w:r w:rsidR="000C6C71" w:rsidRPr="004E022B">
        <w:rPr>
          <w:rFonts w:cs="Times New Roman"/>
          <w:szCs w:val="24"/>
        </w:rPr>
        <w:t xml:space="preserve"> </w:t>
      </w:r>
      <w:r w:rsidRPr="004E022B">
        <w:rPr>
          <w:rFonts w:cs="Times New Roman"/>
          <w:color w:val="000000" w:themeColor="text1"/>
          <w:szCs w:val="24"/>
        </w:rPr>
        <w:t>pracowników</w:t>
      </w:r>
      <w:r w:rsidR="009C0C57" w:rsidRPr="004E022B">
        <w:rPr>
          <w:rFonts w:cs="Times New Roman"/>
          <w:color w:val="000000" w:themeColor="text1"/>
          <w:szCs w:val="24"/>
        </w:rPr>
        <w:t xml:space="preserve"> do </w:t>
      </w:r>
      <w:r w:rsidR="00C7427E" w:rsidRPr="004E022B">
        <w:rPr>
          <w:rFonts w:cs="Times New Roman"/>
          <w:color w:val="000000" w:themeColor="text1"/>
          <w:szCs w:val="24"/>
        </w:rPr>
        <w:t>18</w:t>
      </w:r>
      <w:r w:rsidR="009C0C57" w:rsidRPr="004E022B">
        <w:rPr>
          <w:rFonts w:cs="Times New Roman"/>
          <w:color w:val="000000" w:themeColor="text1"/>
          <w:szCs w:val="24"/>
        </w:rPr>
        <w:t xml:space="preserve"> lat </w:t>
      </w:r>
      <w:r w:rsidRPr="004E022B">
        <w:rPr>
          <w:rFonts w:cs="Times New Roman"/>
          <w:color w:val="000000" w:themeColor="text1"/>
          <w:szCs w:val="24"/>
        </w:rPr>
        <w:t>który zawiera</w:t>
      </w:r>
      <w:r w:rsidR="00852BD5" w:rsidRPr="004E022B">
        <w:rPr>
          <w:rFonts w:cs="Times New Roman"/>
          <w:color w:val="000000" w:themeColor="text1"/>
          <w:szCs w:val="24"/>
        </w:rPr>
        <w:t xml:space="preserve"> między innymi</w:t>
      </w:r>
      <w:r w:rsidRPr="004E022B">
        <w:rPr>
          <w:rFonts w:cs="Times New Roman"/>
          <w:color w:val="000000" w:themeColor="text1"/>
          <w:szCs w:val="24"/>
        </w:rPr>
        <w:t xml:space="preserve"> nielimitowany dostęp do:</w:t>
      </w:r>
    </w:p>
    <w:p w14:paraId="5BCF7B29" w14:textId="77777777" w:rsidR="006C6858" w:rsidRPr="004E022B" w:rsidRDefault="006C6858" w:rsidP="00D7789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cs="Times New Roman"/>
          <w:szCs w:val="24"/>
        </w:rPr>
      </w:pPr>
      <w:r w:rsidRPr="004E022B">
        <w:rPr>
          <w:rFonts w:cs="Times New Roman"/>
          <w:color w:val="000000" w:themeColor="text1"/>
          <w:szCs w:val="24"/>
        </w:rPr>
        <w:t>wyznaczonych obiektów basenowych (karta basenowa</w:t>
      </w:r>
      <w:r w:rsidRPr="004E022B">
        <w:rPr>
          <w:rFonts w:cs="Times New Roman"/>
          <w:szCs w:val="24"/>
        </w:rPr>
        <w:t>),</w:t>
      </w:r>
    </w:p>
    <w:p w14:paraId="41B4AA70" w14:textId="77777777" w:rsidR="006C6858" w:rsidRPr="004E022B" w:rsidRDefault="006C6858" w:rsidP="00D7789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cs="Times New Roman"/>
          <w:szCs w:val="24"/>
        </w:rPr>
      </w:pPr>
      <w:r w:rsidRPr="004E022B">
        <w:rPr>
          <w:rFonts w:cs="Times New Roman"/>
          <w:szCs w:val="24"/>
        </w:rPr>
        <w:t>sztuk walki, ścianki w</w:t>
      </w:r>
      <w:r w:rsidR="007362A2" w:rsidRPr="004E022B">
        <w:rPr>
          <w:rFonts w:cs="Times New Roman"/>
          <w:szCs w:val="24"/>
        </w:rPr>
        <w:t>spinaczkowej (karta rozszerzona</w:t>
      </w:r>
      <w:r w:rsidRPr="004E022B">
        <w:rPr>
          <w:rFonts w:cs="Times New Roman"/>
          <w:szCs w:val="24"/>
        </w:rPr>
        <w:t xml:space="preserve">). </w:t>
      </w:r>
    </w:p>
    <w:p w14:paraId="4AFB5CA9" w14:textId="77777777" w:rsidR="007A2982" w:rsidRPr="004E022B" w:rsidRDefault="007362A2" w:rsidP="007A2982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000000" w:themeColor="text1"/>
        </w:rPr>
      </w:pPr>
      <w:r w:rsidRPr="004E022B">
        <w:rPr>
          <w:color w:val="auto"/>
        </w:rPr>
        <w:t>Sąd Rejonowy Gdańsk-Północ w Gdańsku</w:t>
      </w:r>
      <w:r w:rsidR="00EA70C1" w:rsidRPr="004E022B">
        <w:rPr>
          <w:color w:val="auto"/>
        </w:rPr>
        <w:t>,</w:t>
      </w:r>
      <w:r w:rsidR="006C6858" w:rsidRPr="004E022B">
        <w:rPr>
          <w:color w:val="auto"/>
        </w:rPr>
        <w:t xml:space="preserve"> jako Zamawiający będąc wyrazicielem oczekiwań pracowników</w:t>
      </w:r>
      <w:r w:rsidR="00EA70C1" w:rsidRPr="004E022B">
        <w:rPr>
          <w:color w:val="auto"/>
        </w:rPr>
        <w:t>,</w:t>
      </w:r>
      <w:r w:rsidR="006C6858" w:rsidRPr="004E022B">
        <w:rPr>
          <w:color w:val="auto"/>
        </w:rPr>
        <w:t xml:space="preserve"> wymaga dogodnego dostępu do obiektów sportowo - rekreacyjnych</w:t>
      </w:r>
      <w:r w:rsidR="000C6C71" w:rsidRPr="004E022B">
        <w:rPr>
          <w:color w:val="auto"/>
        </w:rPr>
        <w:t xml:space="preserve">, który ma </w:t>
      </w:r>
      <w:r w:rsidR="000C6C71" w:rsidRPr="004E022B">
        <w:rPr>
          <w:color w:val="000000" w:themeColor="text1"/>
        </w:rPr>
        <w:t>odbywać się</w:t>
      </w:r>
      <w:r w:rsidR="006C6858" w:rsidRPr="004E022B">
        <w:rPr>
          <w:color w:val="000000" w:themeColor="text1"/>
        </w:rPr>
        <w:t xml:space="preserve"> na podstawie imiennych</w:t>
      </w:r>
      <w:r w:rsidR="000C6C71" w:rsidRPr="004E022B">
        <w:rPr>
          <w:color w:val="000000" w:themeColor="text1"/>
        </w:rPr>
        <w:t xml:space="preserve"> kart sportowych lub aplikacji </w:t>
      </w:r>
      <w:r w:rsidR="007A2982" w:rsidRPr="004E022B">
        <w:rPr>
          <w:color w:val="000000" w:themeColor="text1"/>
        </w:rPr>
        <w:t>mobilnej</w:t>
      </w:r>
      <w:r w:rsidR="000C6C71" w:rsidRPr="004E022B">
        <w:rPr>
          <w:color w:val="000000" w:themeColor="text1"/>
        </w:rPr>
        <w:t>.</w:t>
      </w:r>
      <w:r w:rsidR="007A2982" w:rsidRPr="004E022B">
        <w:rPr>
          <w:color w:val="000000" w:themeColor="text1"/>
        </w:rPr>
        <w:t xml:space="preserve"> Oznacza to, że Zamawiający dopuszcza dostęp do obiektów sportowo- rekreacyjnych na podstawie:</w:t>
      </w:r>
    </w:p>
    <w:p w14:paraId="281E8E4C" w14:textId="77777777" w:rsidR="007A2982" w:rsidRPr="004E022B" w:rsidRDefault="007A2982" w:rsidP="00C7427E">
      <w:pPr>
        <w:pStyle w:val="Akapitzlist"/>
        <w:numPr>
          <w:ilvl w:val="0"/>
          <w:numId w:val="21"/>
        </w:numPr>
        <w:spacing w:line="276" w:lineRule="auto"/>
        <w:contextualSpacing/>
        <w:jc w:val="both"/>
        <w:rPr>
          <w:rFonts w:cs="Times New Roman"/>
          <w:color w:val="000000" w:themeColor="text1"/>
          <w:szCs w:val="24"/>
        </w:rPr>
      </w:pPr>
      <w:r w:rsidRPr="004E022B">
        <w:rPr>
          <w:rFonts w:cs="Times New Roman"/>
          <w:color w:val="000000" w:themeColor="text1"/>
          <w:szCs w:val="24"/>
        </w:rPr>
        <w:t xml:space="preserve">I wariant – imiennych  kart sportowych, </w:t>
      </w:r>
    </w:p>
    <w:p w14:paraId="3745B75A" w14:textId="77777777" w:rsidR="007A2982" w:rsidRPr="004E022B" w:rsidRDefault="007A2982" w:rsidP="00C7427E">
      <w:pPr>
        <w:pStyle w:val="Akapitzlist"/>
        <w:numPr>
          <w:ilvl w:val="0"/>
          <w:numId w:val="21"/>
        </w:numPr>
        <w:spacing w:line="276" w:lineRule="auto"/>
        <w:contextualSpacing/>
        <w:jc w:val="both"/>
        <w:rPr>
          <w:rFonts w:cs="Times New Roman"/>
          <w:color w:val="000000" w:themeColor="text1"/>
          <w:szCs w:val="24"/>
        </w:rPr>
      </w:pPr>
      <w:r w:rsidRPr="004E022B">
        <w:rPr>
          <w:rFonts w:cs="Times New Roman"/>
          <w:color w:val="000000" w:themeColor="text1"/>
          <w:szCs w:val="24"/>
        </w:rPr>
        <w:t>II wariant – imiennych kart sportowych i aplikacji mobilnej,</w:t>
      </w:r>
    </w:p>
    <w:p w14:paraId="0897C4F3" w14:textId="77777777" w:rsidR="00CB0C5F" w:rsidRPr="004E022B" w:rsidRDefault="007A2982" w:rsidP="00C7427E">
      <w:pPr>
        <w:pStyle w:val="Akapitzlist"/>
        <w:numPr>
          <w:ilvl w:val="0"/>
          <w:numId w:val="21"/>
        </w:numPr>
        <w:spacing w:line="276" w:lineRule="auto"/>
        <w:contextualSpacing/>
        <w:jc w:val="both"/>
        <w:rPr>
          <w:rFonts w:cs="Times New Roman"/>
          <w:color w:val="000000" w:themeColor="text1"/>
          <w:szCs w:val="24"/>
        </w:rPr>
      </w:pPr>
      <w:r w:rsidRPr="004E022B">
        <w:rPr>
          <w:rFonts w:cs="Times New Roman"/>
          <w:color w:val="000000" w:themeColor="text1"/>
          <w:szCs w:val="24"/>
        </w:rPr>
        <w:t xml:space="preserve">III wariant – aplikacji mobilnej, </w:t>
      </w:r>
    </w:p>
    <w:p w14:paraId="416B5C2B" w14:textId="77777777" w:rsidR="007A2982" w:rsidRPr="004E022B" w:rsidRDefault="007A2982" w:rsidP="00F34044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22B">
        <w:rPr>
          <w:rFonts w:ascii="Times New Roman" w:hAnsi="Times New Roman" w:cs="Times New Roman"/>
          <w:color w:val="000000" w:themeColor="text1"/>
          <w:sz w:val="24"/>
          <w:szCs w:val="24"/>
        </w:rPr>
        <w:t>(każdy wariant jest dopuszczalny).</w:t>
      </w:r>
    </w:p>
    <w:p w14:paraId="4EBBB8CF" w14:textId="5C03F4CF" w:rsidR="006C6858" w:rsidRPr="004E022B" w:rsidRDefault="006C6858" w:rsidP="007A2982">
      <w:pPr>
        <w:pStyle w:val="Akapitzlist"/>
        <w:numPr>
          <w:ilvl w:val="0"/>
          <w:numId w:val="3"/>
        </w:numPr>
        <w:spacing w:line="276" w:lineRule="auto"/>
        <w:ind w:left="284"/>
        <w:contextualSpacing/>
        <w:jc w:val="both"/>
        <w:rPr>
          <w:rFonts w:cs="Times New Roman"/>
          <w:szCs w:val="24"/>
        </w:rPr>
      </w:pPr>
      <w:r w:rsidRPr="004E022B">
        <w:rPr>
          <w:rFonts w:cs="Times New Roman"/>
          <w:szCs w:val="24"/>
        </w:rPr>
        <w:lastRenderedPageBreak/>
        <w:t>Użytkownicy Programu uprawnieni do korzystania z usług sportowych określonych w pakiecie, będą mieli możliwość dostępu do wyznaczonych obiektów za okazaniem karty imiennej oraz/lub za okazaniem dowodu tożsamości oraz</w:t>
      </w:r>
      <w:r w:rsidR="000C6C71" w:rsidRPr="004E022B">
        <w:rPr>
          <w:rFonts w:cs="Times New Roman"/>
          <w:szCs w:val="24"/>
        </w:rPr>
        <w:t>/</w:t>
      </w:r>
      <w:r w:rsidR="000C6C71" w:rsidRPr="004E022B">
        <w:rPr>
          <w:rFonts w:cs="Times New Roman"/>
          <w:color w:val="000000" w:themeColor="text1"/>
          <w:szCs w:val="24"/>
        </w:rPr>
        <w:t xml:space="preserve">lub </w:t>
      </w:r>
      <w:r w:rsidR="00DD47EA" w:rsidRPr="004E022B">
        <w:rPr>
          <w:rFonts w:cs="Times New Roman"/>
          <w:color w:val="000000" w:themeColor="text1"/>
          <w:szCs w:val="24"/>
        </w:rPr>
        <w:t xml:space="preserve">poprzez </w:t>
      </w:r>
      <w:r w:rsidR="000C6C71" w:rsidRPr="004E022B">
        <w:rPr>
          <w:rFonts w:cs="Times New Roman"/>
          <w:color w:val="000000" w:themeColor="text1"/>
          <w:szCs w:val="24"/>
        </w:rPr>
        <w:t>podpisani</w:t>
      </w:r>
      <w:r w:rsidR="00DD47EA" w:rsidRPr="004E022B">
        <w:rPr>
          <w:rFonts w:cs="Times New Roman"/>
          <w:color w:val="000000" w:themeColor="text1"/>
          <w:szCs w:val="24"/>
        </w:rPr>
        <w:t>e</w:t>
      </w:r>
      <w:r w:rsidR="000C6C71" w:rsidRPr="004E022B">
        <w:rPr>
          <w:rFonts w:cs="Times New Roman"/>
          <w:color w:val="000000" w:themeColor="text1"/>
          <w:szCs w:val="24"/>
        </w:rPr>
        <w:t xml:space="preserve"> listy oraz/lub </w:t>
      </w:r>
      <w:r w:rsidR="00DD47EA" w:rsidRPr="004E022B">
        <w:rPr>
          <w:rFonts w:cs="Times New Roman"/>
          <w:color w:val="000000" w:themeColor="text1"/>
          <w:szCs w:val="24"/>
        </w:rPr>
        <w:t xml:space="preserve">za pośrednictwem </w:t>
      </w:r>
      <w:r w:rsidR="000C6C71" w:rsidRPr="004E022B">
        <w:rPr>
          <w:rFonts w:cs="Times New Roman"/>
          <w:color w:val="000000" w:themeColor="text1"/>
          <w:szCs w:val="24"/>
        </w:rPr>
        <w:t>aplikacji mobilnej</w:t>
      </w:r>
      <w:r w:rsidRPr="004E022B">
        <w:rPr>
          <w:rFonts w:cs="Times New Roman"/>
          <w:color w:val="000000" w:themeColor="text1"/>
          <w:szCs w:val="24"/>
        </w:rPr>
        <w:t xml:space="preserve"> na terenie całego kraju</w:t>
      </w:r>
      <w:r w:rsidR="00820E8D" w:rsidRPr="004E022B">
        <w:rPr>
          <w:rFonts w:cs="Times New Roman"/>
          <w:color w:val="000000" w:themeColor="text1"/>
          <w:szCs w:val="24"/>
        </w:rPr>
        <w:t>,</w:t>
      </w:r>
      <w:r w:rsidR="00320E10" w:rsidRPr="004E022B">
        <w:rPr>
          <w:rFonts w:cs="Times New Roman"/>
          <w:color w:val="000000" w:themeColor="text1"/>
          <w:szCs w:val="24"/>
        </w:rPr>
        <w:t xml:space="preserve"> </w:t>
      </w:r>
      <w:r w:rsidR="00320E10" w:rsidRPr="004E022B">
        <w:rPr>
          <w:szCs w:val="24"/>
        </w:rPr>
        <w:t>zgłoszeni pracownicy będą posiadali dostęp do minimum 1000 obiektów sportowych na terenie całej Polski</w:t>
      </w:r>
      <w:r w:rsidRPr="004E022B">
        <w:rPr>
          <w:rFonts w:cs="Times New Roman"/>
          <w:color w:val="000000" w:themeColor="text1"/>
          <w:szCs w:val="24"/>
        </w:rPr>
        <w:t xml:space="preserve">, w szczególności w Trójmieście i miejscowościach </w:t>
      </w:r>
      <w:r w:rsidRPr="004E022B">
        <w:rPr>
          <w:rFonts w:cs="Times New Roman"/>
          <w:szCs w:val="24"/>
        </w:rPr>
        <w:t xml:space="preserve">znajdujących się w okolicach Trójmiasta. </w:t>
      </w:r>
    </w:p>
    <w:p w14:paraId="12ADB937" w14:textId="4EA6BBBF" w:rsidR="006C6858" w:rsidRPr="004E022B" w:rsidRDefault="006C6858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Zakres usług, dostępnych w ramach Programu (pakietu sportowego), będzie dostępny na stronie internetowej Wykonawcy</w:t>
      </w:r>
      <w:r w:rsidR="00AC0850" w:rsidRPr="004E022B">
        <w:rPr>
          <w:color w:val="auto"/>
        </w:rPr>
        <w:t xml:space="preserve"> i będzie obejmować np.</w:t>
      </w:r>
      <w:r w:rsidRPr="004E022B">
        <w:rPr>
          <w:color w:val="auto"/>
        </w:rPr>
        <w:t xml:space="preserve">: </w:t>
      </w:r>
      <w:proofErr w:type="spellStart"/>
      <w:r w:rsidRPr="004E022B">
        <w:rPr>
          <w:color w:val="auto"/>
        </w:rPr>
        <w:t>aerobic</w:t>
      </w:r>
      <w:proofErr w:type="spellEnd"/>
      <w:r w:rsidRPr="004E022B">
        <w:rPr>
          <w:color w:val="auto"/>
        </w:rPr>
        <w:t xml:space="preserve">, </w:t>
      </w:r>
      <w:proofErr w:type="spellStart"/>
      <w:r w:rsidRPr="004E022B">
        <w:rPr>
          <w:color w:val="auto"/>
        </w:rPr>
        <w:t>aqua</w:t>
      </w:r>
      <w:proofErr w:type="spellEnd"/>
      <w:r w:rsidRPr="004E022B">
        <w:rPr>
          <w:color w:val="auto"/>
        </w:rPr>
        <w:t xml:space="preserve"> </w:t>
      </w:r>
      <w:proofErr w:type="spellStart"/>
      <w:r w:rsidRPr="004E022B">
        <w:rPr>
          <w:color w:val="auto"/>
        </w:rPr>
        <w:t>aerobic</w:t>
      </w:r>
      <w:proofErr w:type="spellEnd"/>
      <w:r w:rsidRPr="004E022B">
        <w:rPr>
          <w:color w:val="auto"/>
        </w:rPr>
        <w:t xml:space="preserve">, basen, </w:t>
      </w:r>
      <w:proofErr w:type="spellStart"/>
      <w:r w:rsidRPr="004E022B">
        <w:rPr>
          <w:color w:val="auto"/>
        </w:rPr>
        <w:t>indoor</w:t>
      </w:r>
      <w:proofErr w:type="spellEnd"/>
      <w:r w:rsidRPr="004E022B">
        <w:rPr>
          <w:color w:val="auto"/>
        </w:rPr>
        <w:t xml:space="preserve"> </w:t>
      </w:r>
      <w:proofErr w:type="spellStart"/>
      <w:r w:rsidRPr="004E022B">
        <w:rPr>
          <w:color w:val="auto"/>
        </w:rPr>
        <w:t>cycling</w:t>
      </w:r>
      <w:proofErr w:type="spellEnd"/>
      <w:r w:rsidRPr="004E022B">
        <w:rPr>
          <w:color w:val="auto"/>
        </w:rPr>
        <w:t>, f</w:t>
      </w:r>
      <w:r w:rsidR="00AC0850" w:rsidRPr="004E022B">
        <w:rPr>
          <w:color w:val="auto"/>
        </w:rPr>
        <w:t>itness, gimnastyka,</w:t>
      </w:r>
      <w:r w:rsidRPr="004E022B">
        <w:rPr>
          <w:color w:val="auto"/>
        </w:rPr>
        <w:t xml:space="preserve"> jacuzzi, joga, łaźnia, nauka sztuk walki, nauka tańca, </w:t>
      </w:r>
      <w:proofErr w:type="spellStart"/>
      <w:r w:rsidRPr="004E022B">
        <w:rPr>
          <w:color w:val="auto"/>
        </w:rPr>
        <w:t>pilates</w:t>
      </w:r>
      <w:proofErr w:type="spellEnd"/>
      <w:r w:rsidRPr="004E022B">
        <w:rPr>
          <w:color w:val="auto"/>
        </w:rPr>
        <w:t>, sauna, ścianka wspinaczkowa, siłownia, sp</w:t>
      </w:r>
      <w:r w:rsidR="00AC0850" w:rsidRPr="004E022B">
        <w:rPr>
          <w:color w:val="auto"/>
        </w:rPr>
        <w:t>inning, squash.</w:t>
      </w:r>
    </w:p>
    <w:p w14:paraId="57FDBBC6" w14:textId="50D905A8" w:rsidR="001B0E50" w:rsidRPr="004E022B" w:rsidRDefault="001B0E50" w:rsidP="00986CD6">
      <w:pPr>
        <w:pStyle w:val="Akapitzlist"/>
        <w:numPr>
          <w:ilvl w:val="0"/>
          <w:numId w:val="3"/>
        </w:numPr>
        <w:jc w:val="both"/>
        <w:rPr>
          <w:rFonts w:cs="Times New Roman"/>
          <w:kern w:val="0"/>
          <w:szCs w:val="24"/>
          <w:lang w:eastAsia="pl-PL" w:bidi="ar-SA"/>
        </w:rPr>
      </w:pPr>
      <w:r w:rsidRPr="004E022B">
        <w:rPr>
          <w:rFonts w:cs="Times New Roman"/>
          <w:kern w:val="0"/>
          <w:szCs w:val="24"/>
          <w:lang w:eastAsia="pl-PL" w:bidi="ar-SA"/>
        </w:rPr>
        <w:t xml:space="preserve">Uczestnicy Programu uprawnieni do korzystania z usług będą mieli możliwość dostępu do obiektów za okazaniem karty imiennej: w mieście Gdańsku, w województwie pomorskim oraz w całej Polsce. </w:t>
      </w:r>
    </w:p>
    <w:p w14:paraId="4B72BEC2" w14:textId="77777777" w:rsidR="00FA3791" w:rsidRPr="004E022B" w:rsidRDefault="006C6858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Zamawiający nie dopuszcza możliwości dostępu dla Użytkownika Programu do obiektu sportowo-rekreacyjnego na zasadzie zniżki bądź upustu cenowego</w:t>
      </w:r>
      <w:r w:rsidR="00DD47EA" w:rsidRPr="004E022B">
        <w:rPr>
          <w:color w:val="auto"/>
        </w:rPr>
        <w:t>.</w:t>
      </w:r>
      <w:r w:rsidRPr="004E022B">
        <w:rPr>
          <w:color w:val="auto"/>
        </w:rPr>
        <w:t xml:space="preserve"> Użytkownik Programu będzie miał dostęp do usług bez żadnych dodatkowych dopłat.</w:t>
      </w:r>
    </w:p>
    <w:p w14:paraId="2DA7288E" w14:textId="2152A5E7" w:rsidR="006C6858" w:rsidRPr="004E022B" w:rsidRDefault="006C6858" w:rsidP="00FA379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4E022B">
        <w:rPr>
          <w:color w:val="auto"/>
        </w:rPr>
        <w:t xml:space="preserve"> </w:t>
      </w:r>
      <w:r w:rsidR="00FA3791" w:rsidRPr="004E022B">
        <w:rPr>
          <w:color w:val="auto"/>
        </w:rPr>
        <w:t xml:space="preserve">Aktualna lista usług oraz obiektów będzie dostępna na stronie internetowej Wykonawcy. </w:t>
      </w:r>
    </w:p>
    <w:p w14:paraId="00CBA48F" w14:textId="09346CF7" w:rsidR="006C6858" w:rsidRPr="004E022B" w:rsidRDefault="007362A2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Zamawiający dopuszcza jedynie</w:t>
      </w:r>
      <w:r w:rsidR="00EA70C1" w:rsidRPr="004E022B">
        <w:rPr>
          <w:color w:val="auto"/>
        </w:rPr>
        <w:t>,</w:t>
      </w:r>
      <w:r w:rsidRPr="004E022B">
        <w:rPr>
          <w:color w:val="auto"/>
        </w:rPr>
        <w:t xml:space="preserve"> </w:t>
      </w:r>
      <w:r w:rsidR="006C6858" w:rsidRPr="004E022B">
        <w:rPr>
          <w:color w:val="auto"/>
        </w:rPr>
        <w:t xml:space="preserve">iż w obiektach sportowo - rekreacyjnych mogą wystąpić ograniczenia czasowe takie jak np. wejście na basen min 45 minut, wejście na saunę min 30 minut, wynajem kortu do </w:t>
      </w:r>
      <w:proofErr w:type="spellStart"/>
      <w:r w:rsidR="006C6858" w:rsidRPr="004E022B">
        <w:rPr>
          <w:color w:val="auto"/>
        </w:rPr>
        <w:t>squasha</w:t>
      </w:r>
      <w:proofErr w:type="spellEnd"/>
      <w:r w:rsidR="006C6858" w:rsidRPr="004E022B">
        <w:rPr>
          <w:color w:val="auto"/>
        </w:rPr>
        <w:t xml:space="preserve"> min 60 minut. Zamawiający wymaga, iż generalnie dostęp do usług sportowo – rekreacyjnych będzie zwolniony z dodatkowych opłat z wyjątkiem szczególnych sytuacji, w których takie dopłaty pobierane będą przez same obiekty sportowo-rekreacyjne, a </w:t>
      </w:r>
      <w:r w:rsidR="006C6858" w:rsidRPr="004E022B">
        <w:rPr>
          <w:color w:val="000000" w:themeColor="text1"/>
        </w:rPr>
        <w:t xml:space="preserve">jednostkowa </w:t>
      </w:r>
      <w:r w:rsidR="00762134" w:rsidRPr="004E022B">
        <w:rPr>
          <w:color w:val="000000" w:themeColor="text1"/>
        </w:rPr>
        <w:t xml:space="preserve">dopłata </w:t>
      </w:r>
      <w:r w:rsidR="006C6858" w:rsidRPr="004E022B">
        <w:rPr>
          <w:color w:val="auto"/>
        </w:rPr>
        <w:t xml:space="preserve">regulowana będzie przez Użytkownika w obiekcie, nie obciążając przy tym Zamawiającego (np. squash, tenis itp.). </w:t>
      </w:r>
    </w:p>
    <w:p w14:paraId="0F22552B" w14:textId="30F3FC4D" w:rsidR="00BA7621" w:rsidRPr="004E022B" w:rsidRDefault="006C6858" w:rsidP="00BA7621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00B050"/>
        </w:rPr>
      </w:pPr>
      <w:r w:rsidRPr="004E022B">
        <w:rPr>
          <w:color w:val="auto"/>
        </w:rPr>
        <w:t>Środki na sfinansowanie przedmiotowych usług wchodzących w zakres umowy, pochodzą z wpłat włas</w:t>
      </w:r>
      <w:r w:rsidR="00AC0850" w:rsidRPr="004E022B">
        <w:rPr>
          <w:color w:val="auto"/>
        </w:rPr>
        <w:t>nych Użytkowników Programu.</w:t>
      </w:r>
    </w:p>
    <w:p w14:paraId="5B442990" w14:textId="2F38955F" w:rsidR="006C6858" w:rsidRPr="004E022B" w:rsidRDefault="00BA7621" w:rsidP="00BA7621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00B050"/>
        </w:rPr>
      </w:pPr>
      <w:r w:rsidRPr="004E022B">
        <w:rPr>
          <w:color w:val="auto"/>
        </w:rPr>
        <w:t xml:space="preserve">Wykonawca zapewni zgłoszonym pracownikom dostęp </w:t>
      </w:r>
      <w:r w:rsidR="00ED2150" w:rsidRPr="004E022B">
        <w:rPr>
          <w:color w:val="auto"/>
        </w:rPr>
        <w:t>do obiektów</w:t>
      </w:r>
      <w:r w:rsidR="006C6858" w:rsidRPr="004E022B">
        <w:rPr>
          <w:color w:val="auto"/>
        </w:rPr>
        <w:t xml:space="preserve"> sportowyc</w:t>
      </w:r>
      <w:r w:rsidR="00652F05" w:rsidRPr="004E022B">
        <w:rPr>
          <w:color w:val="auto"/>
        </w:rPr>
        <w:t>h w całej Polsce</w:t>
      </w:r>
      <w:r w:rsidR="00AC0850" w:rsidRPr="004E022B">
        <w:rPr>
          <w:color w:val="auto"/>
        </w:rPr>
        <w:t>.</w:t>
      </w:r>
      <w:r w:rsidR="00652F05" w:rsidRPr="004E022B">
        <w:rPr>
          <w:color w:val="auto"/>
        </w:rPr>
        <w:t xml:space="preserve"> </w:t>
      </w:r>
      <w:r w:rsidR="00AC0850" w:rsidRPr="004E022B">
        <w:t>Z</w:t>
      </w:r>
      <w:r w:rsidR="00D023D6" w:rsidRPr="004E022B">
        <w:t>głoszeni pracownicy będą posiadali dostęp do minimum 1000 obiektów sportowych na terenie całej Polski</w:t>
      </w:r>
      <w:r w:rsidR="00282D5D" w:rsidRPr="004E022B">
        <w:t>, w tym obligatoryjnie dostęp do minimum 100 obiektów na terenie  Trójmiasta (Gdańsk, Gdynia, Sopot)</w:t>
      </w:r>
      <w:r w:rsidR="00AC0850" w:rsidRPr="004E022B">
        <w:rPr>
          <w:color w:val="auto"/>
        </w:rPr>
        <w:t>.</w:t>
      </w:r>
      <w:r w:rsidR="006C6858" w:rsidRPr="004E022B">
        <w:rPr>
          <w:color w:val="auto"/>
        </w:rPr>
        <w:t xml:space="preserve"> Na potwierdzenie Wykonawca do oferty dołączy szczegółowy wykaz obiektów wraz z dokładną charakterystyką dostępu do obiektu (informacje o ograniczeniach czasowych, ewentualnych dopłatach i limitach). Przez jeden obiekt sportowy rozumie się budynek lub samodzielny lokal, w którym świadczone są usługi objęte zamówieniem. Jeżeli dwa niezależne podmioty świadczące usługi odpowiadające swym przedmiotem treści zamówienia zostały zlokalizowane w odrębnych lokalach tego samego budynku wówczas zostaną zakwalifikowane jako dwa odrębne obiekty </w:t>
      </w:r>
      <w:r w:rsidR="006C6858" w:rsidRPr="004E022B">
        <w:rPr>
          <w:color w:val="000000" w:themeColor="text1"/>
        </w:rPr>
        <w:t>sportowe.</w:t>
      </w:r>
      <w:r w:rsidR="00B86DD3" w:rsidRPr="004E022B">
        <w:rPr>
          <w:color w:val="000000" w:themeColor="text1"/>
        </w:rPr>
        <w:t xml:space="preserve"> W przypadku,</w:t>
      </w:r>
      <w:r w:rsidR="00762134" w:rsidRPr="004E022B">
        <w:rPr>
          <w:color w:val="000000" w:themeColor="text1"/>
        </w:rPr>
        <w:t xml:space="preserve"> jeżeli </w:t>
      </w:r>
      <w:r w:rsidR="00B86DD3" w:rsidRPr="004E022B">
        <w:rPr>
          <w:color w:val="000000" w:themeColor="text1"/>
        </w:rPr>
        <w:t xml:space="preserve"> dwa niezależne podmioty świadczące usługi odpowiadające swym przedmiotem treści zamówienia publicznego zostały zlokalizowane pod tym samym adresem, a także w tym samym lokalu, wówczas zostaną zakwalifikowane jako dwa odrębne obiekty sportowe.</w:t>
      </w:r>
    </w:p>
    <w:p w14:paraId="60FB610D" w14:textId="77777777" w:rsidR="006C6858" w:rsidRPr="004E022B" w:rsidRDefault="006C6858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 xml:space="preserve">Wykonawca zapewni dla pracowników </w:t>
      </w:r>
      <w:r w:rsidR="007362A2" w:rsidRPr="004E022B">
        <w:rPr>
          <w:color w:val="auto"/>
        </w:rPr>
        <w:t>Sądu Rejonowego Gdańsk-Północ w Gdańsku</w:t>
      </w:r>
      <w:r w:rsidRPr="004E022B">
        <w:rPr>
          <w:color w:val="auto"/>
        </w:rPr>
        <w:t xml:space="preserve"> możliwość wyboru rodzaju kart w zależności</w:t>
      </w:r>
      <w:r w:rsidR="007362A2" w:rsidRPr="004E022B">
        <w:rPr>
          <w:color w:val="auto"/>
        </w:rPr>
        <w:t xml:space="preserve"> od liczby wejść w miesiącu do </w:t>
      </w:r>
      <w:r w:rsidRPr="004E022B">
        <w:rPr>
          <w:color w:val="auto"/>
        </w:rPr>
        <w:t xml:space="preserve">różnych obiektów sportowych. Rodzaje kart, o których mowa </w:t>
      </w:r>
      <w:r w:rsidR="007362A2" w:rsidRPr="004E022B">
        <w:rPr>
          <w:color w:val="auto"/>
        </w:rPr>
        <w:t>powyżej powinny być następujące</w:t>
      </w:r>
      <w:r w:rsidRPr="004E022B">
        <w:rPr>
          <w:color w:val="auto"/>
        </w:rPr>
        <w:t>:</w:t>
      </w:r>
    </w:p>
    <w:p w14:paraId="26C708E4" w14:textId="77777777" w:rsidR="006C6858" w:rsidRPr="004E022B" w:rsidRDefault="006C6858" w:rsidP="00D7789E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4E022B">
        <w:rPr>
          <w:color w:val="auto"/>
        </w:rPr>
        <w:lastRenderedPageBreak/>
        <w:t>Karta, która zapewni możliwość 8 wejść w ciągu miesiąca na różne obiekty sportowe,</w:t>
      </w:r>
    </w:p>
    <w:p w14:paraId="3CACCC26" w14:textId="77777777" w:rsidR="006C6858" w:rsidRPr="004E022B" w:rsidRDefault="006C6858" w:rsidP="00D7789E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4E022B">
        <w:rPr>
          <w:color w:val="auto"/>
        </w:rPr>
        <w:t>Kart</w:t>
      </w:r>
      <w:r w:rsidR="007E1648" w:rsidRPr="004E022B">
        <w:rPr>
          <w:color w:val="auto"/>
        </w:rPr>
        <w:t>a, która zapewni możliwość jednego</w:t>
      </w:r>
      <w:r w:rsidRPr="004E022B">
        <w:rPr>
          <w:color w:val="auto"/>
        </w:rPr>
        <w:t xml:space="preserve"> wejścia w ciągu dnia na różne obiekty sportowe</w:t>
      </w:r>
      <w:r w:rsidR="007362A2" w:rsidRPr="004E022B">
        <w:rPr>
          <w:color w:val="auto"/>
        </w:rPr>
        <w:t>,</w:t>
      </w:r>
    </w:p>
    <w:p w14:paraId="4C20A5EC" w14:textId="77777777" w:rsidR="006C6858" w:rsidRPr="004E022B" w:rsidRDefault="006C6858" w:rsidP="00D7789E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4E022B">
        <w:rPr>
          <w:color w:val="auto"/>
        </w:rPr>
        <w:t>Karta, która zapewni możliwość kilkukrotnego wejścia w ciągu dnia na różne obiekty sportowe.</w:t>
      </w:r>
    </w:p>
    <w:p w14:paraId="1B8A1997" w14:textId="77777777" w:rsidR="006C6858" w:rsidRPr="004E022B" w:rsidRDefault="006C6858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Wykonawca zapewni uprawnionym możliwość korzystania z kilku zajęć w ciągu jednego dnia bez deklaracji korzystania z jednej lokalizacji tzn. brak limitów, czy interwałów czasowych</w:t>
      </w:r>
      <w:r w:rsidR="007362A2" w:rsidRPr="004E022B">
        <w:rPr>
          <w:color w:val="auto"/>
        </w:rPr>
        <w:t>,</w:t>
      </w:r>
      <w:r w:rsidRPr="004E022B">
        <w:rPr>
          <w:color w:val="auto"/>
        </w:rPr>
        <w:t xml:space="preserve"> jeżeli chodzi o liczbę wejść generowanych przez jedną kartę.</w:t>
      </w:r>
    </w:p>
    <w:p w14:paraId="1C047AF1" w14:textId="77777777" w:rsidR="00EA70C1" w:rsidRPr="004E022B" w:rsidRDefault="00EA70C1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Wykonawca umożliwi uprawnionym wybór dowolnego typu karty oraz podejmowanie decyzji o zmianie typu karty, rezygnacji z karty, dopisaniu się do Programu lub zgłoszeniu członków rodziny.</w:t>
      </w:r>
    </w:p>
    <w:p w14:paraId="72ED3528" w14:textId="18889B7C" w:rsidR="006C6858" w:rsidRPr="004E022B" w:rsidRDefault="007362A2" w:rsidP="00DA02C8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W Sądzie R</w:t>
      </w:r>
      <w:r w:rsidRPr="004E022B">
        <w:rPr>
          <w:color w:val="000000" w:themeColor="text1"/>
        </w:rPr>
        <w:t>ejonowym Gdańsk-Północ w Gdańsku</w:t>
      </w:r>
      <w:r w:rsidR="006C6858" w:rsidRPr="004E022B">
        <w:rPr>
          <w:color w:val="000000" w:themeColor="text1"/>
        </w:rPr>
        <w:t xml:space="preserve"> pracuje aktualnie na miesiąc </w:t>
      </w:r>
      <w:r w:rsidR="00ED5E05" w:rsidRPr="004E022B">
        <w:rPr>
          <w:color w:val="000000" w:themeColor="text1"/>
        </w:rPr>
        <w:t>wrzesień</w:t>
      </w:r>
      <w:r w:rsidR="00D07045" w:rsidRPr="004E022B">
        <w:rPr>
          <w:color w:val="000000" w:themeColor="text1"/>
        </w:rPr>
        <w:t xml:space="preserve"> 202</w:t>
      </w:r>
      <w:r w:rsidR="00ED5E05" w:rsidRPr="004E022B">
        <w:rPr>
          <w:color w:val="000000" w:themeColor="text1"/>
        </w:rPr>
        <w:t>4</w:t>
      </w:r>
      <w:r w:rsidR="002B0621" w:rsidRPr="004E022B">
        <w:rPr>
          <w:color w:val="000000" w:themeColor="text1"/>
        </w:rPr>
        <w:t xml:space="preserve"> roku </w:t>
      </w:r>
      <w:r w:rsidR="00D07045" w:rsidRPr="004E022B">
        <w:rPr>
          <w:color w:val="000000" w:themeColor="text1"/>
        </w:rPr>
        <w:t>5</w:t>
      </w:r>
      <w:r w:rsidR="00AC406E" w:rsidRPr="004E022B">
        <w:rPr>
          <w:color w:val="000000" w:themeColor="text1"/>
        </w:rPr>
        <w:t>10</w:t>
      </w:r>
      <w:r w:rsidR="006C6858" w:rsidRPr="004E022B">
        <w:rPr>
          <w:color w:val="000000" w:themeColor="text1"/>
        </w:rPr>
        <w:t xml:space="preserve"> </w:t>
      </w:r>
      <w:r w:rsidR="004555CC" w:rsidRPr="004E022B">
        <w:rPr>
          <w:color w:val="000000" w:themeColor="text1"/>
        </w:rPr>
        <w:t>osób</w:t>
      </w:r>
      <w:r w:rsidR="004555CC" w:rsidRPr="004E022B">
        <w:rPr>
          <w:color w:val="00B050"/>
        </w:rPr>
        <w:t xml:space="preserve">. </w:t>
      </w:r>
      <w:r w:rsidR="004555CC" w:rsidRPr="004E022B">
        <w:rPr>
          <w:color w:val="auto"/>
        </w:rPr>
        <w:t>Ilość osób wstępnie zainteresowanych usługami dostępu do obiektów i za</w:t>
      </w:r>
      <w:r w:rsidR="002B0621" w:rsidRPr="004E022B">
        <w:rPr>
          <w:color w:val="auto"/>
        </w:rPr>
        <w:t>jęć sportowo-rekreacyjnyc</w:t>
      </w:r>
      <w:r w:rsidR="002B0621" w:rsidRPr="004E022B">
        <w:rPr>
          <w:color w:val="000000" w:themeColor="text1"/>
        </w:rPr>
        <w:t>h to</w:t>
      </w:r>
      <w:r w:rsidR="00D07045" w:rsidRPr="004E022B">
        <w:rPr>
          <w:color w:val="000000" w:themeColor="text1"/>
        </w:rPr>
        <w:t xml:space="preserve"> 9</w:t>
      </w:r>
      <w:r w:rsidR="001B5345" w:rsidRPr="004E022B">
        <w:rPr>
          <w:color w:val="000000" w:themeColor="text1"/>
        </w:rPr>
        <w:t>1</w:t>
      </w:r>
      <w:r w:rsidR="004555CC" w:rsidRPr="004E022B">
        <w:rPr>
          <w:color w:val="000000" w:themeColor="text1"/>
        </w:rPr>
        <w:t xml:space="preserve"> osób.</w:t>
      </w:r>
    </w:p>
    <w:p w14:paraId="111D35EC" w14:textId="77777777" w:rsidR="006C6858" w:rsidRPr="004E022B" w:rsidRDefault="006C6858" w:rsidP="00B85EBF">
      <w:pPr>
        <w:pStyle w:val="Default"/>
        <w:spacing w:line="276" w:lineRule="auto"/>
        <w:ind w:firstLine="284"/>
        <w:jc w:val="both"/>
        <w:rPr>
          <w:color w:val="auto"/>
        </w:rPr>
      </w:pPr>
      <w:r w:rsidRPr="004E022B">
        <w:rPr>
          <w:color w:val="auto"/>
        </w:rPr>
        <w:t>Podane powyżej ilości są jedynie szacunkowe i nie mają odniesienia w umowie.</w:t>
      </w:r>
    </w:p>
    <w:p w14:paraId="28AA51EA" w14:textId="77777777" w:rsidR="006C6858" w:rsidRPr="004E022B" w:rsidRDefault="006C6858" w:rsidP="00D7789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Wykonawca w ramach umowy umożliwi także dodatkowo korzystanie z nowo dostępnych usług w ramach pakietu sportowego, świadczonych przez podmioty, z którymi Wykonawca nawiąże współpracę w trakcie trwania niniejszej umowy. Aktualna lista usług oraz podmiotów będzie zawsze dostępna na stronie internetowej Wykonawcy.</w:t>
      </w:r>
    </w:p>
    <w:p w14:paraId="77821DEB" w14:textId="4E01F832" w:rsidR="006C6858" w:rsidRPr="004E022B" w:rsidRDefault="006C6858" w:rsidP="00135B96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color w:val="auto"/>
        </w:rPr>
      </w:pPr>
      <w:r w:rsidRPr="004E022B">
        <w:rPr>
          <w:color w:val="auto"/>
        </w:rPr>
        <w:t>Zamawiający przewiduje zmiany w zakresie ilości osób korzystających z programu</w:t>
      </w:r>
      <w:r w:rsidR="007362A2" w:rsidRPr="004E022B">
        <w:rPr>
          <w:color w:val="auto"/>
        </w:rPr>
        <w:t>,</w:t>
      </w:r>
      <w:r w:rsidRPr="004E022B">
        <w:rPr>
          <w:color w:val="auto"/>
        </w:rPr>
        <w:t xml:space="preserve"> która jest szacunkowa. </w:t>
      </w:r>
    </w:p>
    <w:p w14:paraId="55C2BE40" w14:textId="448300AB" w:rsidR="006C6858" w:rsidRPr="004E022B" w:rsidRDefault="006C6858" w:rsidP="00135B96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4E022B">
        <w:rPr>
          <w:color w:val="auto"/>
        </w:rPr>
        <w:t>Szczegółowe warunki korzystania z kart i ich obsługi zgodnie</w:t>
      </w:r>
      <w:r w:rsidR="002804C3" w:rsidRPr="004E022B">
        <w:rPr>
          <w:color w:val="auto"/>
        </w:rPr>
        <w:t xml:space="preserve"> z ogólnodostępnym regulaminem W</w:t>
      </w:r>
      <w:r w:rsidRPr="004E022B">
        <w:rPr>
          <w:color w:val="auto"/>
        </w:rPr>
        <w:t xml:space="preserve">ykonawcy. </w:t>
      </w:r>
    </w:p>
    <w:p w14:paraId="2B097D16" w14:textId="4566A39E" w:rsidR="006C6858" w:rsidRPr="004E022B" w:rsidRDefault="006C6858" w:rsidP="00135B96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4E022B">
        <w:rPr>
          <w:color w:val="auto"/>
        </w:rPr>
        <w:t xml:space="preserve">Warunki powierzenia i przetwarzania danych osobowych zostaną </w:t>
      </w:r>
      <w:r w:rsidR="002804C3" w:rsidRPr="004E022B">
        <w:rPr>
          <w:color w:val="auto"/>
        </w:rPr>
        <w:t>uzgodnione z wybranym W</w:t>
      </w:r>
      <w:r w:rsidRPr="004E022B">
        <w:rPr>
          <w:color w:val="auto"/>
        </w:rPr>
        <w:t xml:space="preserve">ykonawcą oddzielnym dokumentem. </w:t>
      </w:r>
    </w:p>
    <w:p w14:paraId="261074AF" w14:textId="77777777" w:rsidR="006C6858" w:rsidRPr="004E022B" w:rsidRDefault="006C6858" w:rsidP="006C6858">
      <w:pPr>
        <w:pStyle w:val="Default"/>
        <w:ind w:left="284"/>
        <w:jc w:val="both"/>
        <w:rPr>
          <w:color w:val="auto"/>
        </w:rPr>
      </w:pPr>
    </w:p>
    <w:p w14:paraId="6059202F" w14:textId="77777777" w:rsidR="006C6858" w:rsidRPr="004E022B" w:rsidRDefault="006C6858" w:rsidP="006C6858">
      <w:pPr>
        <w:pStyle w:val="Default"/>
        <w:ind w:left="284"/>
        <w:jc w:val="both"/>
        <w:rPr>
          <w:color w:val="auto"/>
        </w:rPr>
      </w:pPr>
    </w:p>
    <w:p w14:paraId="46EE7A94" w14:textId="77777777" w:rsidR="007924E0" w:rsidRPr="004E022B" w:rsidRDefault="007924E0" w:rsidP="006C6858">
      <w:pPr>
        <w:pStyle w:val="Default"/>
        <w:ind w:left="284"/>
        <w:jc w:val="both"/>
        <w:rPr>
          <w:color w:val="auto"/>
        </w:rPr>
      </w:pPr>
    </w:p>
    <w:p w14:paraId="73342A16" w14:textId="77777777" w:rsidR="007924E0" w:rsidRPr="004E022B" w:rsidRDefault="007924E0" w:rsidP="006C6858">
      <w:pPr>
        <w:pStyle w:val="Default"/>
        <w:ind w:left="284"/>
        <w:jc w:val="both"/>
        <w:rPr>
          <w:color w:val="auto"/>
        </w:rPr>
      </w:pPr>
    </w:p>
    <w:p w14:paraId="281987AB" w14:textId="77777777" w:rsidR="007924E0" w:rsidRPr="004E022B" w:rsidRDefault="007924E0" w:rsidP="006C6858">
      <w:pPr>
        <w:pStyle w:val="Default"/>
        <w:ind w:left="284"/>
        <w:jc w:val="both"/>
        <w:rPr>
          <w:color w:val="auto"/>
        </w:rPr>
      </w:pPr>
    </w:p>
    <w:p w14:paraId="3A64D3B9" w14:textId="77777777" w:rsidR="007924E0" w:rsidRPr="004E022B" w:rsidRDefault="007924E0" w:rsidP="006C6858">
      <w:pPr>
        <w:pStyle w:val="Default"/>
        <w:ind w:left="284"/>
        <w:jc w:val="both"/>
        <w:rPr>
          <w:color w:val="auto"/>
        </w:rPr>
      </w:pPr>
    </w:p>
    <w:p w14:paraId="56BC551C" w14:textId="77777777" w:rsidR="007924E0" w:rsidRPr="004E022B" w:rsidRDefault="007924E0" w:rsidP="00AE7292">
      <w:pPr>
        <w:pStyle w:val="Default"/>
        <w:jc w:val="both"/>
        <w:rPr>
          <w:color w:val="auto"/>
        </w:rPr>
      </w:pPr>
    </w:p>
    <w:p w14:paraId="497E4DA1" w14:textId="77777777" w:rsidR="007924E0" w:rsidRPr="004E022B" w:rsidRDefault="007924E0" w:rsidP="006C6858">
      <w:pPr>
        <w:pStyle w:val="Default"/>
        <w:ind w:left="284"/>
        <w:jc w:val="both"/>
        <w:rPr>
          <w:color w:val="auto"/>
        </w:rPr>
      </w:pPr>
    </w:p>
    <w:p w14:paraId="56349745" w14:textId="77777777" w:rsidR="002804C3" w:rsidRPr="004E022B" w:rsidRDefault="002804C3" w:rsidP="007A1517">
      <w:pPr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4812EEC" w14:textId="77777777" w:rsidR="00C7051C" w:rsidRPr="004E022B" w:rsidRDefault="00C7051C" w:rsidP="00ED5E05">
      <w:pPr>
        <w:rPr>
          <w:rFonts w:ascii="Times New Roman" w:hAnsi="Times New Roman" w:cs="Times New Roman"/>
          <w:sz w:val="24"/>
          <w:szCs w:val="24"/>
        </w:rPr>
      </w:pPr>
    </w:p>
    <w:sectPr w:rsidR="00C7051C" w:rsidRPr="004E022B" w:rsidSect="00B60309">
      <w:footerReference w:type="default" r:id="rId11"/>
      <w:type w:val="continuous"/>
      <w:pgSz w:w="11909" w:h="16834"/>
      <w:pgMar w:top="1418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FC81A" w14:textId="77777777" w:rsidR="005E701D" w:rsidRDefault="005E701D" w:rsidP="003F4BF1">
      <w:pPr>
        <w:spacing w:after="0" w:line="240" w:lineRule="auto"/>
      </w:pPr>
      <w:r>
        <w:separator/>
      </w:r>
    </w:p>
  </w:endnote>
  <w:endnote w:type="continuationSeparator" w:id="0">
    <w:p w14:paraId="5034E48B" w14:textId="77777777" w:rsidR="005E701D" w:rsidRDefault="005E701D" w:rsidP="003F4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360937"/>
      <w:docPartObj>
        <w:docPartGallery w:val="Page Numbers (Bottom of Page)"/>
        <w:docPartUnique/>
      </w:docPartObj>
    </w:sdtPr>
    <w:sdtEndPr/>
    <w:sdtContent>
      <w:p w14:paraId="206DEC54" w14:textId="2A994726" w:rsidR="003F4BF1" w:rsidRDefault="003F4B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22B">
          <w:rPr>
            <w:noProof/>
          </w:rPr>
          <w:t>3</w:t>
        </w:r>
        <w:r>
          <w:fldChar w:fldCharType="end"/>
        </w:r>
      </w:p>
    </w:sdtContent>
  </w:sdt>
  <w:p w14:paraId="34101DE5" w14:textId="77777777" w:rsidR="003F4BF1" w:rsidRDefault="003F4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5C0AE" w14:textId="77777777" w:rsidR="005E701D" w:rsidRDefault="005E701D" w:rsidP="003F4BF1">
      <w:pPr>
        <w:spacing w:after="0" w:line="240" w:lineRule="auto"/>
      </w:pPr>
      <w:r>
        <w:separator/>
      </w:r>
    </w:p>
  </w:footnote>
  <w:footnote w:type="continuationSeparator" w:id="0">
    <w:p w14:paraId="1AC29B54" w14:textId="77777777" w:rsidR="005E701D" w:rsidRDefault="005E701D" w:rsidP="003F4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B03DE"/>
    <w:multiLevelType w:val="hybridMultilevel"/>
    <w:tmpl w:val="1890A1A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02483"/>
    <w:multiLevelType w:val="hybridMultilevel"/>
    <w:tmpl w:val="E44248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B466D8"/>
    <w:multiLevelType w:val="hybridMultilevel"/>
    <w:tmpl w:val="6D966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0013"/>
    <w:multiLevelType w:val="hybridMultilevel"/>
    <w:tmpl w:val="6B66AD1E"/>
    <w:lvl w:ilvl="0" w:tplc="CF00DD6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A1CEA"/>
    <w:multiLevelType w:val="hybridMultilevel"/>
    <w:tmpl w:val="055256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CE567F"/>
    <w:multiLevelType w:val="hybridMultilevel"/>
    <w:tmpl w:val="05DE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9111D"/>
    <w:multiLevelType w:val="hybridMultilevel"/>
    <w:tmpl w:val="8CBA3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37342"/>
    <w:multiLevelType w:val="hybridMultilevel"/>
    <w:tmpl w:val="D76E32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B90A25"/>
    <w:multiLevelType w:val="hybridMultilevel"/>
    <w:tmpl w:val="764E0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35F7E"/>
    <w:multiLevelType w:val="hybridMultilevel"/>
    <w:tmpl w:val="E656E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D1D73"/>
    <w:multiLevelType w:val="hybridMultilevel"/>
    <w:tmpl w:val="DB4EC1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7CB2ED0"/>
    <w:multiLevelType w:val="hybridMultilevel"/>
    <w:tmpl w:val="B99E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06C6E"/>
    <w:multiLevelType w:val="hybridMultilevel"/>
    <w:tmpl w:val="6772D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809B2"/>
    <w:multiLevelType w:val="hybridMultilevel"/>
    <w:tmpl w:val="292E2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17F49"/>
    <w:multiLevelType w:val="hybridMultilevel"/>
    <w:tmpl w:val="C6CE6608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5AD1675"/>
    <w:multiLevelType w:val="hybridMultilevel"/>
    <w:tmpl w:val="C22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F2A42"/>
    <w:multiLevelType w:val="hybridMultilevel"/>
    <w:tmpl w:val="781EA790"/>
    <w:lvl w:ilvl="0" w:tplc="CD04C7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95E4D"/>
    <w:multiLevelType w:val="hybridMultilevel"/>
    <w:tmpl w:val="9508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24B1A"/>
    <w:multiLevelType w:val="hybridMultilevel"/>
    <w:tmpl w:val="D10EA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4440C"/>
    <w:multiLevelType w:val="hybridMultilevel"/>
    <w:tmpl w:val="3AF40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5CD3"/>
    <w:multiLevelType w:val="hybridMultilevel"/>
    <w:tmpl w:val="B4467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6"/>
  </w:num>
  <w:num w:numId="4">
    <w:abstractNumId w:val="10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15"/>
  </w:num>
  <w:num w:numId="12">
    <w:abstractNumId w:val="18"/>
  </w:num>
  <w:num w:numId="13">
    <w:abstractNumId w:val="5"/>
  </w:num>
  <w:num w:numId="14">
    <w:abstractNumId w:val="20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1"/>
  </w:num>
  <w:num w:numId="20">
    <w:abstractNumId w:val="8"/>
  </w:num>
  <w:num w:numId="2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3A"/>
    <w:rsid w:val="0000632E"/>
    <w:rsid w:val="00024307"/>
    <w:rsid w:val="0003309B"/>
    <w:rsid w:val="00037A03"/>
    <w:rsid w:val="00046A9C"/>
    <w:rsid w:val="000C6C71"/>
    <w:rsid w:val="000E00B3"/>
    <w:rsid w:val="000F05C8"/>
    <w:rsid w:val="00107B9A"/>
    <w:rsid w:val="00112D14"/>
    <w:rsid w:val="00135B96"/>
    <w:rsid w:val="00144857"/>
    <w:rsid w:val="0017669C"/>
    <w:rsid w:val="00192F3B"/>
    <w:rsid w:val="001B0E50"/>
    <w:rsid w:val="001B5345"/>
    <w:rsid w:val="0020445A"/>
    <w:rsid w:val="00222FF8"/>
    <w:rsid w:val="002262E0"/>
    <w:rsid w:val="0024735D"/>
    <w:rsid w:val="002804C3"/>
    <w:rsid w:val="00282D5D"/>
    <w:rsid w:val="002A1CE6"/>
    <w:rsid w:val="002B0621"/>
    <w:rsid w:val="002B64F1"/>
    <w:rsid w:val="002C09B4"/>
    <w:rsid w:val="002E0AC9"/>
    <w:rsid w:val="002F0EEE"/>
    <w:rsid w:val="002F62E9"/>
    <w:rsid w:val="00317233"/>
    <w:rsid w:val="00320E10"/>
    <w:rsid w:val="003413CA"/>
    <w:rsid w:val="00354230"/>
    <w:rsid w:val="003A596B"/>
    <w:rsid w:val="003D485F"/>
    <w:rsid w:val="003F4BF1"/>
    <w:rsid w:val="004555CC"/>
    <w:rsid w:val="004603A3"/>
    <w:rsid w:val="004A28AF"/>
    <w:rsid w:val="004B2874"/>
    <w:rsid w:val="004C05D9"/>
    <w:rsid w:val="004D26FB"/>
    <w:rsid w:val="004E022B"/>
    <w:rsid w:val="004E18CD"/>
    <w:rsid w:val="0054134D"/>
    <w:rsid w:val="0054337C"/>
    <w:rsid w:val="005509E6"/>
    <w:rsid w:val="00551A6D"/>
    <w:rsid w:val="005577A5"/>
    <w:rsid w:val="00584E1F"/>
    <w:rsid w:val="005A0338"/>
    <w:rsid w:val="005A393B"/>
    <w:rsid w:val="005C242F"/>
    <w:rsid w:val="005C5737"/>
    <w:rsid w:val="005D6CBB"/>
    <w:rsid w:val="005E701D"/>
    <w:rsid w:val="006109AE"/>
    <w:rsid w:val="0062570B"/>
    <w:rsid w:val="00625E2A"/>
    <w:rsid w:val="00627367"/>
    <w:rsid w:val="00652F05"/>
    <w:rsid w:val="00673C68"/>
    <w:rsid w:val="006A598C"/>
    <w:rsid w:val="006A622F"/>
    <w:rsid w:val="006C3F59"/>
    <w:rsid w:val="006C543F"/>
    <w:rsid w:val="006C6858"/>
    <w:rsid w:val="006F58B7"/>
    <w:rsid w:val="006F6588"/>
    <w:rsid w:val="00700DC0"/>
    <w:rsid w:val="00710646"/>
    <w:rsid w:val="007362A2"/>
    <w:rsid w:val="00741ADC"/>
    <w:rsid w:val="00743C51"/>
    <w:rsid w:val="00762134"/>
    <w:rsid w:val="007924E0"/>
    <w:rsid w:val="007A1517"/>
    <w:rsid w:val="007A2982"/>
    <w:rsid w:val="007B06CE"/>
    <w:rsid w:val="007B6FD3"/>
    <w:rsid w:val="007C2EE0"/>
    <w:rsid w:val="007E1648"/>
    <w:rsid w:val="00802A8B"/>
    <w:rsid w:val="00812C78"/>
    <w:rsid w:val="00820E8D"/>
    <w:rsid w:val="008454AE"/>
    <w:rsid w:val="00847A7F"/>
    <w:rsid w:val="00852BD5"/>
    <w:rsid w:val="0085453A"/>
    <w:rsid w:val="0089333F"/>
    <w:rsid w:val="00897B1D"/>
    <w:rsid w:val="008A494D"/>
    <w:rsid w:val="008D32FB"/>
    <w:rsid w:val="00925A6A"/>
    <w:rsid w:val="009503D7"/>
    <w:rsid w:val="00986CD6"/>
    <w:rsid w:val="009C0C57"/>
    <w:rsid w:val="009C2CD4"/>
    <w:rsid w:val="009D16A2"/>
    <w:rsid w:val="009D7B9A"/>
    <w:rsid w:val="00A30D70"/>
    <w:rsid w:val="00A45760"/>
    <w:rsid w:val="00A966F9"/>
    <w:rsid w:val="00AA1BCD"/>
    <w:rsid w:val="00AC0850"/>
    <w:rsid w:val="00AC2B1A"/>
    <w:rsid w:val="00AC406E"/>
    <w:rsid w:val="00AD633A"/>
    <w:rsid w:val="00AE2B82"/>
    <w:rsid w:val="00AE49E7"/>
    <w:rsid w:val="00AE7292"/>
    <w:rsid w:val="00B00FF5"/>
    <w:rsid w:val="00B12508"/>
    <w:rsid w:val="00B60309"/>
    <w:rsid w:val="00B61CCC"/>
    <w:rsid w:val="00B85EBF"/>
    <w:rsid w:val="00B86DD3"/>
    <w:rsid w:val="00B944C5"/>
    <w:rsid w:val="00BA2990"/>
    <w:rsid w:val="00BA7621"/>
    <w:rsid w:val="00BB2EB2"/>
    <w:rsid w:val="00BC625A"/>
    <w:rsid w:val="00BE054D"/>
    <w:rsid w:val="00C048CD"/>
    <w:rsid w:val="00C15FC8"/>
    <w:rsid w:val="00C7051C"/>
    <w:rsid w:val="00C7427E"/>
    <w:rsid w:val="00C971BF"/>
    <w:rsid w:val="00CB0C5F"/>
    <w:rsid w:val="00CB3B31"/>
    <w:rsid w:val="00D023D6"/>
    <w:rsid w:val="00D04112"/>
    <w:rsid w:val="00D07045"/>
    <w:rsid w:val="00D120E9"/>
    <w:rsid w:val="00D24580"/>
    <w:rsid w:val="00D43420"/>
    <w:rsid w:val="00D53992"/>
    <w:rsid w:val="00D7789E"/>
    <w:rsid w:val="00D92235"/>
    <w:rsid w:val="00DA02C8"/>
    <w:rsid w:val="00DB1C70"/>
    <w:rsid w:val="00DD1010"/>
    <w:rsid w:val="00DD47EA"/>
    <w:rsid w:val="00E25109"/>
    <w:rsid w:val="00E27C8C"/>
    <w:rsid w:val="00E46845"/>
    <w:rsid w:val="00E63A9E"/>
    <w:rsid w:val="00E67C6D"/>
    <w:rsid w:val="00E717A7"/>
    <w:rsid w:val="00E91512"/>
    <w:rsid w:val="00E96FB5"/>
    <w:rsid w:val="00EA70C1"/>
    <w:rsid w:val="00ED2150"/>
    <w:rsid w:val="00ED5E05"/>
    <w:rsid w:val="00F05DF9"/>
    <w:rsid w:val="00F1316C"/>
    <w:rsid w:val="00F2191D"/>
    <w:rsid w:val="00F227B8"/>
    <w:rsid w:val="00F34044"/>
    <w:rsid w:val="00F717EF"/>
    <w:rsid w:val="00F8113A"/>
    <w:rsid w:val="00F836C8"/>
    <w:rsid w:val="00F94045"/>
    <w:rsid w:val="00FA3791"/>
    <w:rsid w:val="00FC6457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C3C6"/>
  <w15:chartTrackingRefBased/>
  <w15:docId w15:val="{BAFE3EBA-75E9-400A-AE45-67BF8CA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03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4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944C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DF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E27C8C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aliases w:val="L1,Numerowanie,List Paragraph"/>
    <w:basedOn w:val="Normalny"/>
    <w:uiPriority w:val="34"/>
    <w:qFormat/>
    <w:rsid w:val="00E27C8C"/>
    <w:pPr>
      <w:suppressAutoHyphens/>
      <w:spacing w:after="0" w:line="100" w:lineRule="atLeast"/>
      <w:ind w:left="708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BE054D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B944C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4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A03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F4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BF1"/>
  </w:style>
  <w:style w:type="paragraph" w:styleId="Stopka">
    <w:name w:val="footer"/>
    <w:basedOn w:val="Normalny"/>
    <w:link w:val="StopkaZnak"/>
    <w:uiPriority w:val="99"/>
    <w:unhideWhenUsed/>
    <w:rsid w:val="003F4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BF1"/>
  </w:style>
  <w:style w:type="paragraph" w:customStyle="1" w:styleId="Default">
    <w:name w:val="Default"/>
    <w:rsid w:val="006C68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2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2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2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2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2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64A9B-EF8A-486C-B4EC-8DFA74754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F540F3-34B2-4B6E-9286-4FDC361FE1C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d0c8b72-fb26-4d9a-8dda-9750784951d0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ADB7796-D26E-4074-901E-7AAB815ADE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DDDB37-8A28-4248-9456-2F82D199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Ryś</dc:creator>
  <cp:keywords/>
  <dc:description/>
  <cp:lastModifiedBy>Gotzek-Bałdowska Anna</cp:lastModifiedBy>
  <cp:revision>2</cp:revision>
  <cp:lastPrinted>2023-10-04T11:48:00Z</cp:lastPrinted>
  <dcterms:created xsi:type="dcterms:W3CDTF">2024-09-26T12:55:00Z</dcterms:created>
  <dcterms:modified xsi:type="dcterms:W3CDTF">2024-09-26T12:55:00Z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