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022E6" w14:textId="0F1BD4CC" w:rsidR="00622D7E" w:rsidRPr="00622D7E" w:rsidRDefault="00622D7E" w:rsidP="00622D7E">
      <w:pPr>
        <w:pStyle w:val="Default"/>
        <w:jc w:val="right"/>
        <w:rPr>
          <w:rFonts w:ascii="Cambria" w:hAnsi="Cambria" w:cs="Times New Roman"/>
          <w:b/>
          <w:sz w:val="22"/>
          <w:szCs w:val="22"/>
        </w:rPr>
      </w:pPr>
      <w:r w:rsidRPr="00622D7E">
        <w:rPr>
          <w:rFonts w:ascii="Cambria" w:hAnsi="Cambria" w:cs="Times New Roman"/>
          <w:b/>
          <w:sz w:val="22"/>
          <w:szCs w:val="22"/>
        </w:rPr>
        <w:t>Załącznik nr 4.</w:t>
      </w:r>
      <w:r w:rsidR="004C53EB">
        <w:rPr>
          <w:rFonts w:ascii="Cambria" w:hAnsi="Cambria" w:cs="Times New Roman"/>
          <w:b/>
          <w:sz w:val="22"/>
          <w:szCs w:val="22"/>
        </w:rPr>
        <w:t>1</w:t>
      </w:r>
      <w:r w:rsidRPr="00622D7E">
        <w:rPr>
          <w:rFonts w:ascii="Cambria" w:hAnsi="Cambria" w:cs="Times New Roman"/>
          <w:b/>
          <w:sz w:val="22"/>
          <w:szCs w:val="22"/>
        </w:rPr>
        <w:t xml:space="preserve"> do SWZ </w:t>
      </w:r>
    </w:p>
    <w:p w14:paraId="42478388" w14:textId="77777777" w:rsidR="00622D7E" w:rsidRPr="00622D7E" w:rsidRDefault="00622D7E" w:rsidP="00622D7E">
      <w:pPr>
        <w:keepNext/>
        <w:keepLines/>
        <w:jc w:val="right"/>
        <w:outlineLvl w:val="2"/>
        <w:rPr>
          <w:rFonts w:ascii="Cambria" w:eastAsiaTheme="majorEastAsia" w:hAnsi="Cambria" w:cs="Calibri Light"/>
          <w:bCs/>
          <w:sz w:val="22"/>
          <w:szCs w:val="22"/>
        </w:rPr>
      </w:pPr>
    </w:p>
    <w:p w14:paraId="4C8DD82A" w14:textId="77777777" w:rsidR="00622D7E" w:rsidRPr="00622D7E" w:rsidRDefault="00622D7E" w:rsidP="00622D7E">
      <w:pPr>
        <w:jc w:val="center"/>
        <w:rPr>
          <w:rFonts w:ascii="Cambria" w:eastAsia="Calibri" w:hAnsi="Cambria" w:cs="Calibri Light"/>
          <w:b/>
          <w:bCs/>
          <w:iCs/>
          <w:sz w:val="22"/>
          <w:szCs w:val="22"/>
          <w:lang w:eastAsia="pl-PL"/>
        </w:rPr>
      </w:pPr>
      <w:r w:rsidRPr="00622D7E">
        <w:rPr>
          <w:rFonts w:ascii="Cambria" w:eastAsia="Calibri" w:hAnsi="Cambria" w:cs="Calibri Light"/>
          <w:b/>
          <w:bCs/>
          <w:iCs/>
          <w:sz w:val="22"/>
          <w:szCs w:val="22"/>
          <w:lang w:eastAsia="pl-PL"/>
        </w:rPr>
        <w:t>OPIS PRZEDMIOTU ZAMÓWIENIA</w:t>
      </w:r>
    </w:p>
    <w:p w14:paraId="62B15658" w14:textId="0EF9D3E3" w:rsidR="009F72A3" w:rsidRPr="00622D7E" w:rsidRDefault="0077387E" w:rsidP="00622D7E">
      <w:pPr>
        <w:jc w:val="center"/>
        <w:rPr>
          <w:rFonts w:ascii="Cambria" w:eastAsia="Calibri" w:hAnsi="Cambria" w:cs="Calibri Light"/>
          <w:b/>
          <w:bCs/>
          <w:iCs/>
          <w:sz w:val="22"/>
          <w:szCs w:val="22"/>
          <w:lang w:eastAsia="pl-PL"/>
        </w:rPr>
      </w:pPr>
      <w:r>
        <w:rPr>
          <w:rFonts w:ascii="Cambria" w:eastAsia="Calibri" w:hAnsi="Cambria" w:cs="Calibri Light"/>
          <w:b/>
          <w:bCs/>
          <w:iCs/>
          <w:sz w:val="22"/>
          <w:szCs w:val="22"/>
          <w:lang w:eastAsia="pl-PL"/>
        </w:rPr>
        <w:t xml:space="preserve">Zadanie </w:t>
      </w:r>
      <w:r w:rsidR="004C53EB">
        <w:rPr>
          <w:rFonts w:ascii="Cambria" w:eastAsia="Calibri" w:hAnsi="Cambria" w:cs="Calibri Light"/>
          <w:b/>
          <w:bCs/>
          <w:iCs/>
          <w:sz w:val="22"/>
          <w:szCs w:val="22"/>
          <w:lang w:eastAsia="pl-PL"/>
        </w:rPr>
        <w:t>1</w:t>
      </w:r>
    </w:p>
    <w:p w14:paraId="484A4D47" w14:textId="6FADFCE6" w:rsidR="009F72A3" w:rsidRPr="00622D7E" w:rsidRDefault="00622D7E" w:rsidP="00622D7E">
      <w:pPr>
        <w:jc w:val="center"/>
        <w:rPr>
          <w:rFonts w:ascii="Cambria" w:eastAsia="Calibri" w:hAnsi="Cambria" w:cs="Calibri Light"/>
          <w:b/>
          <w:bCs/>
          <w:iCs/>
          <w:sz w:val="22"/>
          <w:szCs w:val="22"/>
          <w:lang w:eastAsia="pl-PL"/>
        </w:rPr>
      </w:pPr>
      <w:r w:rsidRPr="00622D7E">
        <w:rPr>
          <w:rFonts w:ascii="Cambria" w:eastAsia="Calibri" w:hAnsi="Cambria" w:cs="Calibri Light"/>
          <w:b/>
          <w:bCs/>
          <w:iCs/>
          <w:sz w:val="22"/>
          <w:szCs w:val="22"/>
          <w:lang w:eastAsia="pl-PL"/>
        </w:rPr>
        <w:t>„</w:t>
      </w:r>
      <w:r w:rsidR="0077387E" w:rsidRPr="00B50FC3">
        <w:rPr>
          <w:rStyle w:val="Teksttreci4Bezpogrubienia"/>
          <w:rFonts w:ascii="Cambria" w:eastAsia="Arial Unicode MS" w:hAnsi="Cambria"/>
          <w:bCs w:val="0"/>
          <w:sz w:val="22"/>
          <w:szCs w:val="22"/>
        </w:rPr>
        <w:t>Opracowanie dokumentacji projektowej - Przebudowy drogi wojewódzkiej nr 973 na odcinku  110 km 1+893 - 110 km 2+364 w miejscowości Ilkowice gm. Żabno, polegająca na budowie lewostronnego chodnika</w:t>
      </w:r>
      <w:r w:rsidRPr="00622D7E">
        <w:rPr>
          <w:rFonts w:ascii="Cambria" w:eastAsia="Calibri" w:hAnsi="Cambria" w:cs="Calibri Light"/>
          <w:b/>
          <w:bCs/>
          <w:iCs/>
          <w:sz w:val="22"/>
          <w:szCs w:val="22"/>
          <w:lang w:eastAsia="pl-PL"/>
        </w:rPr>
        <w:t>”</w:t>
      </w:r>
    </w:p>
    <w:p w14:paraId="6583786E" w14:textId="77777777" w:rsidR="009F72A3" w:rsidRPr="00622D7E" w:rsidRDefault="009F72A3" w:rsidP="00622D7E">
      <w:pPr>
        <w:rPr>
          <w:rFonts w:ascii="Cambria" w:hAnsi="Cambria" w:cs="Calibri Light"/>
          <w:sz w:val="22"/>
          <w:szCs w:val="22"/>
        </w:rPr>
      </w:pPr>
    </w:p>
    <w:p w14:paraId="7FAFF36B" w14:textId="6F9361EA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rPr>
          <w:rFonts w:ascii="Cambria" w:hAnsi="Cambria" w:cs="Calibri Light"/>
          <w:sz w:val="22"/>
          <w:szCs w:val="22"/>
          <w:lang w:eastAsia="pl-PL"/>
        </w:rPr>
      </w:pPr>
      <w:bookmarkStart w:id="0" w:name="_Hlk491020584"/>
      <w:bookmarkStart w:id="1" w:name="_Hlk492656456"/>
      <w:r w:rsidRPr="00622D7E">
        <w:rPr>
          <w:rFonts w:ascii="Cambria" w:hAnsi="Cambria" w:cs="Calibri Light"/>
          <w:sz w:val="22"/>
          <w:szCs w:val="22"/>
          <w:lang w:eastAsia="pl-PL"/>
        </w:rPr>
        <w:t xml:space="preserve">Przedmiotem zamówienia jest usługa obejmująca opracowanie dokumentacji projektowej przebudowy drogi </w:t>
      </w:r>
      <w:r w:rsidR="00283547" w:rsidRPr="00622D7E">
        <w:rPr>
          <w:rFonts w:ascii="Cambria" w:hAnsi="Cambria" w:cs="Calibri Light"/>
          <w:sz w:val="22"/>
          <w:szCs w:val="22"/>
          <w:lang w:eastAsia="pl-PL"/>
        </w:rPr>
        <w:t>wojewódzkiej</w:t>
      </w:r>
      <w:r w:rsidRPr="00622D7E">
        <w:rPr>
          <w:rFonts w:ascii="Cambria" w:hAnsi="Cambria" w:cs="Calibri Light"/>
          <w:sz w:val="22"/>
          <w:szCs w:val="22"/>
          <w:lang w:eastAsia="pl-PL"/>
        </w:rPr>
        <w:t xml:space="preserve"> nr </w:t>
      </w:r>
      <w:r w:rsidR="00283547" w:rsidRPr="00622D7E">
        <w:rPr>
          <w:rFonts w:ascii="Cambria" w:hAnsi="Cambria" w:cs="Calibri Light"/>
          <w:sz w:val="22"/>
          <w:szCs w:val="22"/>
          <w:lang w:eastAsia="pl-PL"/>
        </w:rPr>
        <w:t>973</w:t>
      </w:r>
      <w:r w:rsidR="00A81D3F" w:rsidRPr="00622D7E">
        <w:rPr>
          <w:rFonts w:ascii="Cambria" w:hAnsi="Cambria" w:cs="Calibri Light"/>
          <w:sz w:val="22"/>
          <w:szCs w:val="22"/>
          <w:lang w:eastAsia="pl-PL"/>
        </w:rPr>
        <w:t xml:space="preserve"> na odcinku 110 km 1+893 - 110 km 2+364 </w:t>
      </w:r>
      <w:r w:rsidRPr="00622D7E">
        <w:rPr>
          <w:rFonts w:ascii="Cambria" w:hAnsi="Cambria" w:cs="Calibri Light"/>
          <w:sz w:val="22"/>
          <w:szCs w:val="22"/>
          <w:lang w:eastAsia="pl-PL"/>
        </w:rPr>
        <w:t xml:space="preserve">polegającej na budowie chodnika i innymi robotami towarzyszącymi wynikającymi z przyjętych rozwiązań projektowych. Opracowana dokumentacja projektowa ma służyć do dokonania zgłoszenia robót i/lub uzyskania </w:t>
      </w:r>
      <w:r w:rsidR="00A81D3F" w:rsidRPr="00622D7E">
        <w:rPr>
          <w:rFonts w:ascii="Cambria" w:hAnsi="Cambria" w:cs="Calibri Light"/>
          <w:sz w:val="22"/>
          <w:szCs w:val="22"/>
          <w:lang w:eastAsia="pl-PL"/>
        </w:rPr>
        <w:t xml:space="preserve">prawomocnej decyzji pozwolenia na budowę i </w:t>
      </w:r>
      <w:r w:rsidRPr="00622D7E">
        <w:rPr>
          <w:rFonts w:ascii="Cambria" w:hAnsi="Cambria" w:cs="Calibri Light"/>
          <w:sz w:val="22"/>
          <w:szCs w:val="22"/>
          <w:lang w:eastAsia="pl-PL"/>
        </w:rPr>
        <w:t>do przeprowadzenia postępowania o udzielenie zamówienia publicznego zgodnie z ustawą z dnia 11 września 2019 r. – Prawo zamówień publicznych (t.j. Dz. U. z 2023 r. poz. 1605 z późn. zm.)  – stanowić będzie opis przedmiotu zamówienia na roboty budowlane.</w:t>
      </w:r>
    </w:p>
    <w:p w14:paraId="1FBF74FE" w14:textId="77777777" w:rsidR="006D70E2" w:rsidRPr="006D70E2" w:rsidRDefault="006D70E2" w:rsidP="006D70E2">
      <w:pPr>
        <w:numPr>
          <w:ilvl w:val="0"/>
          <w:numId w:val="1"/>
        </w:numPr>
        <w:contextualSpacing/>
        <w:jc w:val="both"/>
        <w:rPr>
          <w:rFonts w:ascii="Cambria" w:hAnsi="Cambria" w:cs="Calibri Light"/>
          <w:sz w:val="22"/>
          <w:szCs w:val="22"/>
          <w:lang w:eastAsia="pl-PL"/>
        </w:rPr>
      </w:pPr>
      <w:r w:rsidRPr="006D70E2">
        <w:rPr>
          <w:rFonts w:ascii="Cambria" w:hAnsi="Cambria" w:cs="Calibri Light"/>
          <w:sz w:val="22"/>
          <w:szCs w:val="22"/>
          <w:lang w:eastAsia="pl-PL"/>
        </w:rPr>
        <w:t>Przedmiot niniejszego zamówienia obejmuje również - w okresie rękojmi za wady i gwarancji jakości - nadzór autorski.</w:t>
      </w:r>
    </w:p>
    <w:p w14:paraId="351AA1B5" w14:textId="22474A99" w:rsidR="009F72A3" w:rsidRPr="00622D7E" w:rsidRDefault="009F72A3" w:rsidP="00622D7E">
      <w:pPr>
        <w:pStyle w:val="Akapitzlist"/>
        <w:numPr>
          <w:ilvl w:val="0"/>
          <w:numId w:val="1"/>
        </w:numPr>
        <w:suppressAutoHyphens w:val="0"/>
        <w:overflowPunct/>
        <w:autoSpaceDE/>
        <w:spacing w:after="200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 xml:space="preserve">Przed przystąpieniem do właściwych prac projektowych Zamawiający wymaga przedłożenia przez Wykonawcę projektu w wersji roboczej (projekt koncepcyjny) na mapie </w:t>
      </w:r>
      <w:r w:rsidR="0077387E">
        <w:rPr>
          <w:rFonts w:ascii="Cambria" w:hAnsi="Cambria" w:cs="Calibri Light"/>
          <w:sz w:val="22"/>
          <w:szCs w:val="22"/>
          <w:lang w:eastAsia="pl-PL"/>
        </w:rPr>
        <w:t>sytuacyjno-wysokościowej,</w:t>
      </w:r>
      <w:r w:rsidRPr="00622D7E">
        <w:rPr>
          <w:rFonts w:ascii="Cambria" w:hAnsi="Cambria" w:cs="Calibri Light"/>
          <w:sz w:val="22"/>
          <w:szCs w:val="22"/>
          <w:lang w:eastAsia="pl-PL"/>
        </w:rPr>
        <w:t xml:space="preserve"> do uzgodnień przedprojektowych w celu dokonania ewentualnych korekt oraz akceptacji. Projekt w wersji roboczej zawierał będzie m. in. proponowane rozwiązania konstrukcyjne i materiałowe, wstępnie określone parametry techniczne, projekt </w:t>
      </w:r>
      <w:r w:rsidR="00605A61" w:rsidRPr="00622D7E">
        <w:rPr>
          <w:rFonts w:ascii="Cambria" w:hAnsi="Cambria" w:cs="Calibri Light"/>
          <w:sz w:val="22"/>
          <w:szCs w:val="22"/>
          <w:lang w:eastAsia="pl-PL"/>
        </w:rPr>
        <w:t>zastosowania konstrukcji oporowych od strony istniejącego rowu przy DW973 oraz</w:t>
      </w:r>
      <w:r w:rsidR="00605A61" w:rsidRPr="00622D7E">
        <w:rPr>
          <w:rFonts w:ascii="Cambria" w:hAnsi="Cambria"/>
          <w:sz w:val="22"/>
          <w:szCs w:val="22"/>
        </w:rPr>
        <w:t xml:space="preserve"> </w:t>
      </w:r>
      <w:r w:rsidR="00605A61" w:rsidRPr="00622D7E">
        <w:rPr>
          <w:rFonts w:ascii="Cambria" w:hAnsi="Cambria" w:cs="Calibri Light"/>
          <w:sz w:val="22"/>
          <w:szCs w:val="22"/>
          <w:lang w:eastAsia="pl-PL"/>
        </w:rPr>
        <w:t>przebudowę wylotu przepustu pod koroną DW973</w:t>
      </w:r>
      <w:r w:rsidRPr="00622D7E">
        <w:rPr>
          <w:rFonts w:ascii="Cambria" w:hAnsi="Cambria" w:cs="Calibri Light"/>
          <w:sz w:val="22"/>
          <w:szCs w:val="22"/>
          <w:lang w:eastAsia="pl-PL"/>
        </w:rPr>
        <w:t>.</w:t>
      </w:r>
      <w:r w:rsidR="00D50177" w:rsidRPr="00622D7E">
        <w:rPr>
          <w:rFonts w:ascii="Cambria" w:hAnsi="Cambria" w:cs="Calibri Light"/>
          <w:sz w:val="22"/>
          <w:szCs w:val="22"/>
          <w:lang w:eastAsia="pl-PL"/>
        </w:rPr>
        <w:t xml:space="preserve"> Ponadto uzyska warunki techniczne, dotyczycące budowy chodnika oraz </w:t>
      </w:r>
      <w:r w:rsidR="00A06101" w:rsidRPr="00622D7E">
        <w:rPr>
          <w:rFonts w:ascii="Cambria" w:hAnsi="Cambria" w:cs="Calibri Light"/>
          <w:sz w:val="22"/>
          <w:szCs w:val="22"/>
          <w:lang w:eastAsia="pl-PL"/>
        </w:rPr>
        <w:t xml:space="preserve">pozytywne </w:t>
      </w:r>
      <w:r w:rsidR="00D50177" w:rsidRPr="00622D7E">
        <w:rPr>
          <w:rFonts w:ascii="Cambria" w:hAnsi="Cambria" w:cs="Calibri Light"/>
          <w:sz w:val="22"/>
          <w:szCs w:val="22"/>
          <w:lang w:eastAsia="pl-PL"/>
        </w:rPr>
        <w:t xml:space="preserve">zaopiniowanie koncepcji z zarządcą drogi – tj. z Zarządem Dróg Wojewódzkich </w:t>
      </w:r>
      <w:r w:rsidR="00FF7C1B" w:rsidRPr="00622D7E">
        <w:rPr>
          <w:rFonts w:ascii="Cambria" w:hAnsi="Cambria" w:cs="Calibri Light"/>
          <w:sz w:val="22"/>
          <w:szCs w:val="22"/>
          <w:lang w:eastAsia="pl-PL"/>
        </w:rPr>
        <w:t xml:space="preserve"> </w:t>
      </w:r>
      <w:r w:rsidR="00D50177" w:rsidRPr="00622D7E">
        <w:rPr>
          <w:rFonts w:ascii="Cambria" w:hAnsi="Cambria" w:cs="Calibri Light"/>
          <w:sz w:val="22"/>
          <w:szCs w:val="22"/>
          <w:lang w:eastAsia="pl-PL"/>
        </w:rPr>
        <w:t>w Krakowie, ul. Głowackiego 5</w:t>
      </w:r>
      <w:r w:rsidR="0077387E">
        <w:rPr>
          <w:rFonts w:ascii="Cambria" w:hAnsi="Cambria" w:cs="Calibri Light"/>
          <w:sz w:val="22"/>
          <w:szCs w:val="22"/>
          <w:lang w:eastAsia="pl-PL"/>
        </w:rPr>
        <w:t>6</w:t>
      </w:r>
      <w:r w:rsidR="00D50177" w:rsidRPr="00622D7E">
        <w:rPr>
          <w:rFonts w:ascii="Cambria" w:hAnsi="Cambria" w:cs="Calibri Light"/>
          <w:sz w:val="22"/>
          <w:szCs w:val="22"/>
          <w:lang w:eastAsia="pl-PL"/>
        </w:rPr>
        <w:t xml:space="preserve">, 30-085 Kraków. </w:t>
      </w:r>
    </w:p>
    <w:p w14:paraId="59BA67AE" w14:textId="77777777" w:rsidR="009F72A3" w:rsidRPr="00622D7E" w:rsidRDefault="009F72A3" w:rsidP="00622D7E">
      <w:pPr>
        <w:pStyle w:val="Akapitzlist"/>
        <w:numPr>
          <w:ilvl w:val="0"/>
          <w:numId w:val="1"/>
        </w:numPr>
        <w:suppressAutoHyphens w:val="0"/>
        <w:overflowPunct/>
        <w:autoSpaceDE/>
        <w:spacing w:after="200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>Parametry techniczne do projektowania.</w:t>
      </w:r>
    </w:p>
    <w:p w14:paraId="5F2870A0" w14:textId="77777777" w:rsidR="009F72A3" w:rsidRPr="00622D7E" w:rsidRDefault="009F72A3" w:rsidP="00622D7E">
      <w:pPr>
        <w:pStyle w:val="Akapitzlist"/>
        <w:numPr>
          <w:ilvl w:val="1"/>
          <w:numId w:val="1"/>
        </w:numPr>
        <w:suppressAutoHyphens w:val="0"/>
        <w:overflowPunct/>
        <w:autoSpaceDE/>
        <w:spacing w:after="200"/>
        <w:ind w:left="851" w:hanging="491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>Dokumentację projektową należy opracować przy następujących założeniach:</w:t>
      </w:r>
    </w:p>
    <w:p w14:paraId="2D7591FA" w14:textId="2E44E5DD" w:rsidR="009F72A3" w:rsidRPr="00622D7E" w:rsidRDefault="009F72A3" w:rsidP="00622D7E">
      <w:pPr>
        <w:pStyle w:val="Akapitzlist"/>
        <w:numPr>
          <w:ilvl w:val="2"/>
          <w:numId w:val="2"/>
        </w:numPr>
        <w:ind w:left="1134" w:hanging="283"/>
        <w:jc w:val="both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 xml:space="preserve">Klasa drogi wojewódzkiej – </w:t>
      </w:r>
      <w:r w:rsidR="0077387E">
        <w:rPr>
          <w:rFonts w:ascii="Cambria" w:hAnsi="Cambria" w:cs="Calibri Light"/>
          <w:sz w:val="22"/>
          <w:szCs w:val="22"/>
          <w:lang w:eastAsia="pl-PL"/>
        </w:rPr>
        <w:t xml:space="preserve">co najmniej </w:t>
      </w:r>
      <w:r w:rsidRPr="00622D7E">
        <w:rPr>
          <w:rFonts w:ascii="Cambria" w:hAnsi="Cambria" w:cs="Calibri Light"/>
          <w:sz w:val="22"/>
          <w:szCs w:val="22"/>
          <w:lang w:eastAsia="pl-PL"/>
        </w:rPr>
        <w:t>G</w:t>
      </w:r>
    </w:p>
    <w:p w14:paraId="126DF439" w14:textId="06157DFA" w:rsidR="009F72A3" w:rsidRPr="00622D7E" w:rsidRDefault="009F72A3" w:rsidP="00622D7E">
      <w:pPr>
        <w:pStyle w:val="Akapitzlist"/>
        <w:numPr>
          <w:ilvl w:val="2"/>
          <w:numId w:val="1"/>
        </w:numPr>
        <w:ind w:left="1134" w:hanging="283"/>
        <w:jc w:val="both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>Kategoria ruchu – KR4</w:t>
      </w:r>
    </w:p>
    <w:bookmarkEnd w:id="0"/>
    <w:bookmarkEnd w:id="1"/>
    <w:p w14:paraId="1F3EDE5D" w14:textId="77777777" w:rsidR="009F72A3" w:rsidRPr="00622D7E" w:rsidRDefault="009F72A3" w:rsidP="00622D7E">
      <w:pPr>
        <w:pStyle w:val="Akapitzlist"/>
        <w:numPr>
          <w:ilvl w:val="0"/>
          <w:numId w:val="1"/>
        </w:numPr>
        <w:suppressAutoHyphens w:val="0"/>
        <w:overflowPunct/>
        <w:autoSpaceDE/>
        <w:autoSpaceDN w:val="0"/>
        <w:spacing w:after="200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 xml:space="preserve">Opracowana dokumentacja projektowa musi: </w:t>
      </w:r>
    </w:p>
    <w:p w14:paraId="49E55D57" w14:textId="6245F51D" w:rsidR="009F72A3" w:rsidRPr="00622D7E" w:rsidRDefault="009F72A3" w:rsidP="00622D7E">
      <w:pPr>
        <w:pStyle w:val="Akapitzlist"/>
        <w:numPr>
          <w:ilvl w:val="1"/>
          <w:numId w:val="1"/>
        </w:numPr>
        <w:suppressAutoHyphens w:val="0"/>
        <w:overflowPunct/>
        <w:autoSpaceDE/>
        <w:autoSpaceDN w:val="0"/>
        <w:spacing w:after="200"/>
        <w:ind w:left="851" w:hanging="491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>zawierać wszystkie uzgodnienia, decyzje, oceny, opinie, badania i inne dokumenty niezbędne do uzyskania pozwolenia na budowę lub zgłoszenia zamiaru wykonania robót budowlanych</w:t>
      </w:r>
      <w:r w:rsidR="0077387E">
        <w:rPr>
          <w:rFonts w:ascii="Cambria" w:hAnsi="Cambria" w:cs="Calibri Light"/>
          <w:sz w:val="22"/>
          <w:szCs w:val="22"/>
          <w:lang w:eastAsia="pl-PL"/>
        </w:rPr>
        <w:t xml:space="preserve"> oraz uzyskanie decyzji </w:t>
      </w:r>
      <w:r w:rsidR="0077387E" w:rsidRPr="005D5CC2">
        <w:rPr>
          <w:rFonts w:ascii="Cambria" w:hAnsi="Cambria" w:cs="Calibri Light"/>
          <w:bCs/>
          <w:iCs/>
          <w:sz w:val="22"/>
          <w:szCs w:val="22"/>
        </w:rPr>
        <w:t xml:space="preserve">pozwolenia na budowę </w:t>
      </w:r>
    </w:p>
    <w:p w14:paraId="7F3ABE59" w14:textId="77777777" w:rsidR="009F72A3" w:rsidRPr="00622D7E" w:rsidRDefault="009F72A3" w:rsidP="00622D7E">
      <w:pPr>
        <w:pStyle w:val="Akapitzlist"/>
        <w:numPr>
          <w:ilvl w:val="1"/>
          <w:numId w:val="1"/>
        </w:numPr>
        <w:suppressAutoHyphens w:val="0"/>
        <w:overflowPunct/>
        <w:autoSpaceDE/>
        <w:autoSpaceDN w:val="0"/>
        <w:spacing w:after="200"/>
        <w:ind w:left="851" w:hanging="491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>uwzględniać wykonanie niezbędnych robót towarzyszących wynikających z przyjętych rozwiązań projektowych (projekty branżowe),</w:t>
      </w:r>
    </w:p>
    <w:p w14:paraId="0BA5642E" w14:textId="25F95CA2" w:rsidR="009F72A3" w:rsidRPr="00622D7E" w:rsidRDefault="009F72A3" w:rsidP="00622D7E">
      <w:pPr>
        <w:pStyle w:val="Akapitzlist"/>
        <w:numPr>
          <w:ilvl w:val="1"/>
          <w:numId w:val="1"/>
        </w:numPr>
        <w:suppressAutoHyphens w:val="0"/>
        <w:overflowPunct/>
        <w:autoSpaceDE/>
        <w:autoSpaceDN w:val="0"/>
        <w:spacing w:after="200"/>
        <w:ind w:left="851" w:hanging="491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>zawierać projekt docelowej organizacji ruchu (zmiany)</w:t>
      </w:r>
      <w:r w:rsidR="00475D4F" w:rsidRPr="00622D7E">
        <w:rPr>
          <w:rFonts w:ascii="Cambria" w:hAnsi="Cambria" w:cs="Calibri Light"/>
          <w:sz w:val="22"/>
          <w:szCs w:val="22"/>
          <w:lang w:eastAsia="pl-PL"/>
        </w:rPr>
        <w:t xml:space="preserve"> – jeżeli jest wymagany</w:t>
      </w:r>
      <w:r w:rsidRPr="00622D7E">
        <w:rPr>
          <w:rFonts w:ascii="Cambria" w:hAnsi="Cambria" w:cs="Calibri Light"/>
          <w:sz w:val="22"/>
          <w:szCs w:val="22"/>
          <w:lang w:eastAsia="pl-PL"/>
        </w:rPr>
        <w:t xml:space="preserve"> oraz tymczasowej organizacji ruchu na czas prowadzenia robót - zamawiający wymaga, aby dokumentacja projektowa, w tym projekt organizacji ruchu, zapewniały zachowania ciągłości ruchu samochodowego oraz pieszych w trakcie realizacji robót.</w:t>
      </w:r>
    </w:p>
    <w:p w14:paraId="37436A29" w14:textId="77777777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W ramach zamówienia wykonawca zobowiązany będzie opracować:</w:t>
      </w:r>
    </w:p>
    <w:p w14:paraId="304C70DA" w14:textId="77777777" w:rsidR="009F72A3" w:rsidRPr="00622D7E" w:rsidRDefault="009F72A3" w:rsidP="00622D7E">
      <w:pPr>
        <w:pStyle w:val="Akapitzlist"/>
        <w:numPr>
          <w:ilvl w:val="1"/>
          <w:numId w:val="1"/>
        </w:numPr>
        <w:ind w:left="851" w:hanging="491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projekt roboczy (koncepcyjny),</w:t>
      </w:r>
    </w:p>
    <w:p w14:paraId="7F921962" w14:textId="7BCD7CE7" w:rsidR="009F72A3" w:rsidRPr="00622D7E" w:rsidRDefault="009F72A3" w:rsidP="00622D7E">
      <w:pPr>
        <w:numPr>
          <w:ilvl w:val="1"/>
          <w:numId w:val="1"/>
        </w:numPr>
        <w:suppressAutoHyphens w:val="0"/>
        <w:overflowPunct/>
        <w:autoSpaceDE/>
        <w:autoSpaceDN w:val="0"/>
        <w:ind w:left="851" w:hanging="491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bookmarkStart w:id="2" w:name="_Hlk120022926"/>
      <w:r w:rsidRPr="00622D7E">
        <w:rPr>
          <w:rFonts w:ascii="Cambria" w:hAnsi="Cambria" w:cs="Calibri Light"/>
          <w:sz w:val="22"/>
          <w:szCs w:val="22"/>
          <w:lang w:eastAsia="pl-PL"/>
        </w:rPr>
        <w:t>Projekt budowlany w zakresie</w:t>
      </w:r>
      <w:r w:rsidR="00F86920" w:rsidRPr="00622D7E">
        <w:rPr>
          <w:rFonts w:ascii="Cambria" w:hAnsi="Cambria" w:cs="Calibri Light"/>
          <w:sz w:val="22"/>
          <w:szCs w:val="22"/>
          <w:lang w:eastAsia="pl-PL"/>
        </w:rPr>
        <w:t xml:space="preserve"> kons</w:t>
      </w:r>
      <w:r w:rsidR="00034796" w:rsidRPr="00622D7E">
        <w:rPr>
          <w:rFonts w:ascii="Cambria" w:hAnsi="Cambria" w:cs="Calibri Light"/>
          <w:sz w:val="22"/>
          <w:szCs w:val="22"/>
          <w:lang w:eastAsia="pl-PL"/>
        </w:rPr>
        <w:t>trukcji oporowych</w:t>
      </w:r>
      <w:r w:rsidRPr="00622D7E">
        <w:rPr>
          <w:rFonts w:ascii="Cambria" w:hAnsi="Cambria" w:cs="Calibri Light"/>
          <w:sz w:val="22"/>
          <w:szCs w:val="22"/>
          <w:lang w:eastAsia="pl-PL"/>
        </w:rPr>
        <w:t>:</w:t>
      </w:r>
    </w:p>
    <w:p w14:paraId="6EE591D3" w14:textId="77777777" w:rsidR="009F72A3" w:rsidRPr="00622D7E" w:rsidRDefault="009F72A3" w:rsidP="00622D7E">
      <w:pPr>
        <w:numPr>
          <w:ilvl w:val="1"/>
          <w:numId w:val="1"/>
        </w:numPr>
        <w:suppressAutoHyphens w:val="0"/>
        <w:overflowPunct/>
        <w:autoSpaceDE/>
        <w:autoSpaceDN w:val="0"/>
        <w:ind w:left="851" w:hanging="491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>Projekt techniczny oraz projekt wykonawczy,</w:t>
      </w:r>
    </w:p>
    <w:p w14:paraId="780ACC25" w14:textId="130CD4F7" w:rsidR="00034796" w:rsidRPr="00622D7E" w:rsidRDefault="00034796" w:rsidP="00622D7E">
      <w:pPr>
        <w:numPr>
          <w:ilvl w:val="1"/>
          <w:numId w:val="1"/>
        </w:numPr>
        <w:suppressAutoHyphens w:val="0"/>
        <w:overflowPunct/>
        <w:autoSpaceDE/>
        <w:autoSpaceDN w:val="0"/>
        <w:ind w:left="851" w:hanging="491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>Operat wodnoprawny</w:t>
      </w:r>
      <w:r w:rsidR="00FB5BFF" w:rsidRPr="00622D7E">
        <w:rPr>
          <w:rFonts w:ascii="Cambria" w:hAnsi="Cambria" w:cs="Calibri Light"/>
          <w:sz w:val="22"/>
          <w:szCs w:val="22"/>
          <w:lang w:eastAsia="pl-PL"/>
        </w:rPr>
        <w:t xml:space="preserve"> (jeżeli dotyczy)</w:t>
      </w:r>
      <w:r w:rsidRPr="00622D7E">
        <w:rPr>
          <w:rFonts w:ascii="Cambria" w:hAnsi="Cambria" w:cs="Calibri Light"/>
          <w:sz w:val="22"/>
          <w:szCs w:val="22"/>
          <w:lang w:eastAsia="pl-PL"/>
        </w:rPr>
        <w:t>,</w:t>
      </w:r>
    </w:p>
    <w:p w14:paraId="781834C6" w14:textId="77777777" w:rsidR="009F72A3" w:rsidRPr="00622D7E" w:rsidRDefault="009F72A3" w:rsidP="00622D7E">
      <w:pPr>
        <w:numPr>
          <w:ilvl w:val="1"/>
          <w:numId w:val="1"/>
        </w:numPr>
        <w:suppressAutoHyphens w:val="0"/>
        <w:overflowPunct/>
        <w:autoSpaceDE/>
        <w:autoSpaceDN w:val="0"/>
        <w:ind w:left="851" w:hanging="491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>Specyfikacja techniczna wykonania i odbioru robót budowlanych,</w:t>
      </w:r>
    </w:p>
    <w:p w14:paraId="53AD8A23" w14:textId="77777777" w:rsidR="009F72A3" w:rsidRDefault="009F72A3" w:rsidP="00622D7E">
      <w:pPr>
        <w:numPr>
          <w:ilvl w:val="1"/>
          <w:numId w:val="1"/>
        </w:numPr>
        <w:suppressAutoHyphens w:val="0"/>
        <w:overflowPunct/>
        <w:autoSpaceDE/>
        <w:autoSpaceDN w:val="0"/>
        <w:ind w:left="851" w:hanging="491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r w:rsidRPr="00622D7E">
        <w:rPr>
          <w:rFonts w:ascii="Cambria" w:hAnsi="Cambria" w:cs="Calibri Light"/>
          <w:sz w:val="22"/>
          <w:szCs w:val="22"/>
          <w:lang w:eastAsia="pl-PL"/>
        </w:rPr>
        <w:t>Przedmiar robót oraz kosztorys inwestorski,</w:t>
      </w:r>
    </w:p>
    <w:p w14:paraId="1B159333" w14:textId="1506647A" w:rsidR="0077387E" w:rsidRPr="00622D7E" w:rsidRDefault="0077387E" w:rsidP="00622D7E">
      <w:pPr>
        <w:numPr>
          <w:ilvl w:val="1"/>
          <w:numId w:val="1"/>
        </w:numPr>
        <w:suppressAutoHyphens w:val="0"/>
        <w:overflowPunct/>
        <w:autoSpaceDE/>
        <w:autoSpaceDN w:val="0"/>
        <w:ind w:left="851" w:hanging="491"/>
        <w:jc w:val="both"/>
        <w:textAlignment w:val="auto"/>
        <w:rPr>
          <w:rFonts w:ascii="Cambria" w:hAnsi="Cambria" w:cs="Calibri Light"/>
          <w:sz w:val="22"/>
          <w:szCs w:val="22"/>
          <w:lang w:eastAsia="pl-PL"/>
        </w:rPr>
      </w:pPr>
      <w:r>
        <w:rPr>
          <w:rFonts w:ascii="Cambria" w:hAnsi="Cambria" w:cs="Calibri Light"/>
          <w:sz w:val="22"/>
          <w:szCs w:val="22"/>
          <w:lang w:eastAsia="pl-PL"/>
        </w:rPr>
        <w:t>Projekty branżowe przebudowy sieci kolidujących z przebiegiem chodnika</w:t>
      </w:r>
    </w:p>
    <w:p w14:paraId="43994472" w14:textId="1E679BE6" w:rsidR="009F72A3" w:rsidRPr="00622D7E" w:rsidRDefault="009F72A3" w:rsidP="00622D7E">
      <w:pPr>
        <w:pStyle w:val="Akapitzlist"/>
        <w:numPr>
          <w:ilvl w:val="1"/>
          <w:numId w:val="1"/>
        </w:numPr>
        <w:ind w:left="851" w:hanging="491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 xml:space="preserve">Projekt docelowej </w:t>
      </w:r>
      <w:r w:rsidR="00D32159" w:rsidRPr="00622D7E">
        <w:rPr>
          <w:rFonts w:ascii="Cambria" w:hAnsi="Cambria" w:cs="Calibri Light"/>
          <w:sz w:val="22"/>
          <w:szCs w:val="22"/>
        </w:rPr>
        <w:t xml:space="preserve">(jeżeli dotyczy) </w:t>
      </w:r>
      <w:r w:rsidRPr="00622D7E">
        <w:rPr>
          <w:rFonts w:ascii="Cambria" w:hAnsi="Cambria" w:cs="Calibri Light"/>
          <w:sz w:val="22"/>
          <w:szCs w:val="22"/>
        </w:rPr>
        <w:t>oraz tymczasowej (na czas robót) organizacji ruchu.</w:t>
      </w:r>
    </w:p>
    <w:bookmarkEnd w:id="2"/>
    <w:p w14:paraId="5B9EF5EF" w14:textId="5B170BC2" w:rsidR="009F72A3" w:rsidRPr="00622D7E" w:rsidRDefault="009F72A3" w:rsidP="00622D7E">
      <w:pPr>
        <w:pStyle w:val="Akapitzlist"/>
        <w:numPr>
          <w:ilvl w:val="0"/>
          <w:numId w:val="1"/>
        </w:numPr>
        <w:suppressAutoHyphens w:val="0"/>
        <w:overflowPunct/>
        <w:autoSpaceDE/>
        <w:autoSpaceDN w:val="0"/>
        <w:spacing w:after="200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 xml:space="preserve">Zamawiający do </w:t>
      </w:r>
      <w:r w:rsidR="00FF7C1B" w:rsidRPr="00622D7E">
        <w:rPr>
          <w:rFonts w:ascii="Cambria" w:hAnsi="Cambria" w:cs="Calibri Light"/>
          <w:sz w:val="22"/>
          <w:szCs w:val="22"/>
        </w:rPr>
        <w:t>7</w:t>
      </w:r>
      <w:r w:rsidRPr="00622D7E">
        <w:rPr>
          <w:rFonts w:ascii="Cambria" w:hAnsi="Cambria" w:cs="Calibri Light"/>
          <w:sz w:val="22"/>
          <w:szCs w:val="22"/>
        </w:rPr>
        <w:t xml:space="preserve"> dni od daty podpisania umowy przekaże Wykonawcy pełnomocnictwo/upoważnienie do występowania w jego imieniu i na jego rzecz przed wszelkimi organami władzy i administracji publicznej, gestorami sieci itp. w celu dokonania uzgodnień, oraz uzyskania opinii i decyzji niezbędnych do uzyskania </w:t>
      </w:r>
      <w:r w:rsidRPr="00622D7E">
        <w:rPr>
          <w:rFonts w:ascii="Cambria" w:hAnsi="Cambria" w:cs="Calibri Light"/>
          <w:color w:val="000000"/>
          <w:sz w:val="22"/>
          <w:szCs w:val="22"/>
          <w:lang w:eastAsia="pl-PL"/>
        </w:rPr>
        <w:t xml:space="preserve">decyzji o </w:t>
      </w:r>
      <w:r w:rsidR="00241451" w:rsidRPr="00622D7E">
        <w:rPr>
          <w:rFonts w:ascii="Cambria" w:hAnsi="Cambria" w:cs="Calibri Light"/>
          <w:color w:val="000000"/>
          <w:sz w:val="22"/>
          <w:szCs w:val="22"/>
          <w:lang w:eastAsia="pl-PL"/>
        </w:rPr>
        <w:t xml:space="preserve">pozwoleniu na budowę </w:t>
      </w:r>
      <w:r w:rsidRPr="00622D7E">
        <w:rPr>
          <w:rFonts w:ascii="Cambria" w:hAnsi="Cambria" w:cs="Calibri Light"/>
          <w:color w:val="000000"/>
          <w:sz w:val="22"/>
          <w:szCs w:val="22"/>
          <w:lang w:eastAsia="pl-PL"/>
        </w:rPr>
        <w:t xml:space="preserve">i/lub dokonania zgłoszenia robót budowlanych. </w:t>
      </w:r>
    </w:p>
    <w:p w14:paraId="7C4DAB23" w14:textId="270FB911" w:rsidR="009F72A3" w:rsidRPr="00622D7E" w:rsidRDefault="009F72A3" w:rsidP="00622D7E">
      <w:pPr>
        <w:pStyle w:val="Akapitzlist"/>
        <w:numPr>
          <w:ilvl w:val="0"/>
          <w:numId w:val="1"/>
        </w:numPr>
        <w:suppressAutoHyphens w:val="0"/>
        <w:overflowPunct/>
        <w:autoSpaceDE/>
        <w:autoSpaceDN w:val="0"/>
        <w:spacing w:after="200"/>
        <w:jc w:val="both"/>
        <w:textAlignment w:val="auto"/>
        <w:rPr>
          <w:rFonts w:ascii="Cambria" w:hAnsi="Cambria" w:cs="Calibri Light"/>
          <w:i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lastRenderedPageBreak/>
        <w:t>Dokumentację projektowo-kosztorysową należy dostarczyć w następujących ilościach egzemplarzy i formatach:</w:t>
      </w:r>
    </w:p>
    <w:p w14:paraId="7D0A7821" w14:textId="77777777" w:rsidR="00622D7E" w:rsidRPr="00622D7E" w:rsidRDefault="009F72A3" w:rsidP="00622D7E">
      <w:pPr>
        <w:pStyle w:val="Akapitzlist"/>
        <w:numPr>
          <w:ilvl w:val="1"/>
          <w:numId w:val="1"/>
        </w:numPr>
        <w:autoSpaceDN w:val="0"/>
        <w:spacing w:after="200"/>
        <w:ind w:left="851" w:hanging="491"/>
        <w:jc w:val="both"/>
        <w:rPr>
          <w:rFonts w:ascii="Cambria" w:hAnsi="Cambria" w:cs="Calibri Light"/>
          <w:iCs/>
          <w:sz w:val="22"/>
          <w:szCs w:val="22"/>
        </w:rPr>
      </w:pPr>
      <w:r w:rsidRPr="00622D7E">
        <w:rPr>
          <w:rFonts w:ascii="Cambria" w:hAnsi="Cambria" w:cs="Calibri Light"/>
          <w:iCs/>
          <w:sz w:val="22"/>
          <w:szCs w:val="22"/>
        </w:rPr>
        <w:t>Projekty robocze (projekt koncepcyjny) – 2 egz. wersji papierowej oraz 1 egz. w wersji elektronicznej w formacie: *.pdf, *.dxf lub *.dwg</w:t>
      </w:r>
    </w:p>
    <w:p w14:paraId="11AF1AFA" w14:textId="12D2D95E" w:rsidR="00622D7E" w:rsidRPr="00622D7E" w:rsidRDefault="009F72A3" w:rsidP="00622D7E">
      <w:pPr>
        <w:pStyle w:val="Akapitzlist"/>
        <w:numPr>
          <w:ilvl w:val="1"/>
          <w:numId w:val="1"/>
        </w:numPr>
        <w:autoSpaceDN w:val="0"/>
        <w:spacing w:after="200"/>
        <w:ind w:left="851" w:hanging="491"/>
        <w:jc w:val="both"/>
        <w:rPr>
          <w:rFonts w:ascii="Cambria" w:hAnsi="Cambria" w:cs="Calibri Light"/>
          <w:iCs/>
          <w:sz w:val="22"/>
          <w:szCs w:val="22"/>
        </w:rPr>
      </w:pPr>
      <w:r w:rsidRPr="00622D7E">
        <w:rPr>
          <w:rFonts w:ascii="Cambria" w:hAnsi="Cambria" w:cs="Calibri Light"/>
          <w:iCs/>
          <w:sz w:val="22"/>
          <w:szCs w:val="22"/>
        </w:rPr>
        <w:t xml:space="preserve">projekty budowlane i wykonawcze - </w:t>
      </w:r>
      <w:r w:rsidR="00241451" w:rsidRPr="00622D7E">
        <w:rPr>
          <w:rFonts w:ascii="Cambria" w:hAnsi="Cambria" w:cs="Calibri Light"/>
          <w:iCs/>
          <w:sz w:val="22"/>
          <w:szCs w:val="22"/>
        </w:rPr>
        <w:t>3</w:t>
      </w:r>
      <w:r w:rsidRPr="00622D7E">
        <w:rPr>
          <w:rFonts w:ascii="Cambria" w:hAnsi="Cambria" w:cs="Calibri Light"/>
          <w:iCs/>
          <w:sz w:val="22"/>
          <w:szCs w:val="22"/>
        </w:rPr>
        <w:t xml:space="preserve"> egz. wersji papierowej oraz 1 egz. w wersji elektronicznej w formacie: *.pdf, *.dxf lub *.dwg</w:t>
      </w:r>
    </w:p>
    <w:p w14:paraId="7CFD0C6E" w14:textId="77777777" w:rsidR="00622D7E" w:rsidRPr="00622D7E" w:rsidRDefault="009F72A3" w:rsidP="00622D7E">
      <w:pPr>
        <w:pStyle w:val="Akapitzlist"/>
        <w:numPr>
          <w:ilvl w:val="1"/>
          <w:numId w:val="1"/>
        </w:numPr>
        <w:autoSpaceDN w:val="0"/>
        <w:spacing w:after="200"/>
        <w:ind w:left="851" w:hanging="491"/>
        <w:jc w:val="both"/>
        <w:rPr>
          <w:rFonts w:ascii="Cambria" w:hAnsi="Cambria" w:cs="Calibri Light"/>
          <w:iCs/>
          <w:sz w:val="22"/>
          <w:szCs w:val="22"/>
        </w:rPr>
      </w:pPr>
      <w:r w:rsidRPr="00622D7E">
        <w:rPr>
          <w:rFonts w:ascii="Cambria" w:hAnsi="Cambria" w:cs="Calibri Light"/>
          <w:iCs/>
          <w:sz w:val="22"/>
          <w:szCs w:val="22"/>
        </w:rPr>
        <w:t>przedmiar robót wraz z kosztorysem inwestorskim – 2 egz. wersji papierowej oraz 1 egz. wersji elektronicznej w formacie *.pdf, *.xls, oraz *.ath lub *.xml</w:t>
      </w:r>
    </w:p>
    <w:p w14:paraId="55EF60CB" w14:textId="01A04829" w:rsidR="009F72A3" w:rsidRPr="00622D7E" w:rsidRDefault="009F72A3" w:rsidP="00622D7E">
      <w:pPr>
        <w:pStyle w:val="Akapitzlist"/>
        <w:numPr>
          <w:ilvl w:val="1"/>
          <w:numId w:val="1"/>
        </w:numPr>
        <w:autoSpaceDN w:val="0"/>
        <w:spacing w:after="200"/>
        <w:ind w:left="851" w:hanging="491"/>
        <w:jc w:val="both"/>
        <w:rPr>
          <w:rFonts w:ascii="Cambria" w:hAnsi="Cambria" w:cs="Calibri Light"/>
          <w:iCs/>
          <w:sz w:val="22"/>
          <w:szCs w:val="22"/>
        </w:rPr>
      </w:pPr>
      <w:r w:rsidRPr="00622D7E">
        <w:rPr>
          <w:rFonts w:ascii="Cambria" w:hAnsi="Cambria" w:cs="Calibri Light"/>
          <w:iCs/>
          <w:sz w:val="22"/>
          <w:szCs w:val="22"/>
        </w:rPr>
        <w:t xml:space="preserve">specyfikacje techniczne wykonania i odbioru robót – 2 egz. wersji papierowej oraz 1 egz. wersji elektronicznej w formacie *.pdf oraz *.doc </w:t>
      </w:r>
    </w:p>
    <w:p w14:paraId="5B61353E" w14:textId="77777777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bCs/>
          <w:color w:val="000000"/>
          <w:sz w:val="22"/>
          <w:szCs w:val="22"/>
          <w:lang w:eastAsia="pl-PL"/>
        </w:rPr>
      </w:pPr>
      <w:r w:rsidRPr="00622D7E">
        <w:rPr>
          <w:rFonts w:ascii="Cambria" w:hAnsi="Cambria" w:cs="Calibri Light"/>
          <w:bCs/>
          <w:color w:val="000000"/>
          <w:sz w:val="22"/>
          <w:szCs w:val="22"/>
          <w:lang w:eastAsia="pl-PL"/>
        </w:rPr>
        <w:t>Zakładany harmonogram prac projektowych:</w:t>
      </w:r>
    </w:p>
    <w:p w14:paraId="42F43A9D" w14:textId="357F3318" w:rsidR="00622D7E" w:rsidRPr="005D5CC2" w:rsidRDefault="00622D7E" w:rsidP="00622D7E">
      <w:pPr>
        <w:numPr>
          <w:ilvl w:val="1"/>
          <w:numId w:val="1"/>
        </w:numPr>
        <w:autoSpaceDN w:val="0"/>
        <w:spacing w:after="200"/>
        <w:ind w:left="851" w:hanging="491"/>
        <w:contextualSpacing/>
        <w:jc w:val="both"/>
        <w:rPr>
          <w:rFonts w:ascii="Cambria" w:hAnsi="Cambria" w:cs="Calibri Light"/>
          <w:iCs/>
          <w:sz w:val="22"/>
          <w:szCs w:val="22"/>
        </w:rPr>
      </w:pPr>
      <w:r w:rsidRPr="005D5CC2">
        <w:rPr>
          <w:rFonts w:ascii="Cambria" w:hAnsi="Cambria" w:cs="Calibri Light"/>
          <w:bCs/>
          <w:iCs/>
          <w:sz w:val="22"/>
          <w:szCs w:val="22"/>
        </w:rPr>
        <w:t xml:space="preserve">Opracowanie projektu koncepcyjnego (roboczego) – do </w:t>
      </w:r>
      <w:r w:rsidR="00DE1331">
        <w:rPr>
          <w:rFonts w:ascii="Cambria" w:hAnsi="Cambria" w:cs="Calibri Light"/>
          <w:bCs/>
          <w:iCs/>
          <w:sz w:val="22"/>
          <w:szCs w:val="22"/>
        </w:rPr>
        <w:t>2</w:t>
      </w:r>
      <w:r w:rsidRPr="005D5CC2">
        <w:rPr>
          <w:rFonts w:ascii="Cambria" w:hAnsi="Cambria" w:cs="Calibri Light"/>
          <w:bCs/>
          <w:iCs/>
          <w:sz w:val="22"/>
          <w:szCs w:val="22"/>
        </w:rPr>
        <w:t> m-c</w:t>
      </w:r>
      <w:r w:rsidR="00DE1331">
        <w:rPr>
          <w:rFonts w:ascii="Cambria" w:hAnsi="Cambria" w:cs="Calibri Light"/>
          <w:bCs/>
          <w:iCs/>
          <w:sz w:val="22"/>
          <w:szCs w:val="22"/>
        </w:rPr>
        <w:t>y</w:t>
      </w:r>
      <w:r w:rsidRPr="005D5CC2">
        <w:rPr>
          <w:rFonts w:ascii="Cambria" w:hAnsi="Cambria" w:cs="Calibri Light"/>
          <w:bCs/>
          <w:iCs/>
          <w:sz w:val="22"/>
          <w:szCs w:val="22"/>
        </w:rPr>
        <w:t xml:space="preserve"> od daty podpisania umowy, </w:t>
      </w:r>
    </w:p>
    <w:p w14:paraId="2E7978DF" w14:textId="6056D6F4" w:rsidR="00622D7E" w:rsidRPr="005D5CC2" w:rsidRDefault="00622D7E" w:rsidP="00622D7E">
      <w:pPr>
        <w:numPr>
          <w:ilvl w:val="1"/>
          <w:numId w:val="1"/>
        </w:numPr>
        <w:autoSpaceDN w:val="0"/>
        <w:ind w:left="851" w:hanging="491"/>
        <w:contextualSpacing/>
        <w:jc w:val="both"/>
        <w:rPr>
          <w:rFonts w:ascii="Cambria" w:hAnsi="Cambria" w:cs="Calibri Light"/>
          <w:bCs/>
          <w:iCs/>
          <w:sz w:val="22"/>
          <w:szCs w:val="22"/>
        </w:rPr>
      </w:pPr>
      <w:r w:rsidRPr="005D5CC2">
        <w:rPr>
          <w:rFonts w:ascii="Cambria" w:hAnsi="Cambria" w:cs="Calibri Light"/>
          <w:bCs/>
          <w:iCs/>
          <w:sz w:val="22"/>
          <w:szCs w:val="22"/>
        </w:rPr>
        <w:t xml:space="preserve">Opracowanie kosztorysów inwestorskich, projektu docelowej organizacji ruchu, Projekt wykonawczy wraz ze STWIORB oraz uzyskanie decyzji pozwolenia na budowę  i/lub zaświadczenia o braku sprzeciwu na zgłoszenie robót budowlanych – </w:t>
      </w:r>
      <w:r w:rsidR="00DE1331" w:rsidRPr="005D5CC2">
        <w:rPr>
          <w:rFonts w:ascii="Cambria" w:hAnsi="Cambria" w:cs="Calibri Light"/>
          <w:bCs/>
          <w:iCs/>
          <w:sz w:val="22"/>
          <w:szCs w:val="22"/>
        </w:rPr>
        <w:t xml:space="preserve">do </w:t>
      </w:r>
      <w:r w:rsidR="00DE1331">
        <w:rPr>
          <w:rFonts w:ascii="Cambria" w:hAnsi="Cambria" w:cs="Calibri Light"/>
          <w:bCs/>
          <w:iCs/>
          <w:sz w:val="22"/>
          <w:szCs w:val="22"/>
        </w:rPr>
        <w:t>12</w:t>
      </w:r>
      <w:r w:rsidR="00DE1331" w:rsidRPr="005D5CC2">
        <w:rPr>
          <w:rFonts w:ascii="Cambria" w:hAnsi="Cambria" w:cs="Calibri Light"/>
          <w:bCs/>
          <w:iCs/>
          <w:sz w:val="22"/>
          <w:szCs w:val="22"/>
        </w:rPr>
        <w:t> m-c</w:t>
      </w:r>
      <w:r w:rsidR="00DE1331">
        <w:rPr>
          <w:rFonts w:ascii="Cambria" w:hAnsi="Cambria" w:cs="Calibri Light"/>
          <w:bCs/>
          <w:iCs/>
          <w:sz w:val="22"/>
          <w:szCs w:val="22"/>
        </w:rPr>
        <w:t>y</w:t>
      </w:r>
      <w:r w:rsidR="00DE1331" w:rsidRPr="005D5CC2">
        <w:rPr>
          <w:rFonts w:ascii="Cambria" w:hAnsi="Cambria" w:cs="Calibri Light"/>
          <w:bCs/>
          <w:iCs/>
          <w:sz w:val="22"/>
          <w:szCs w:val="22"/>
        </w:rPr>
        <w:t xml:space="preserve"> od daty podpisania umowy</w:t>
      </w:r>
      <w:r w:rsidR="00DE1331">
        <w:rPr>
          <w:rFonts w:ascii="Cambria" w:hAnsi="Cambria" w:cs="Calibri Light"/>
          <w:bCs/>
          <w:iCs/>
          <w:sz w:val="22"/>
          <w:szCs w:val="22"/>
        </w:rPr>
        <w:t>.</w:t>
      </w:r>
    </w:p>
    <w:p w14:paraId="6C4DB9A3" w14:textId="6872F460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 xml:space="preserve">Dokumentacja projektowo-kosztorysowa musi zostać opracowana zgodnie z obowiązującymi przepisami i normami w tym zakresie, w tym: </w:t>
      </w:r>
    </w:p>
    <w:p w14:paraId="7CD79381" w14:textId="77777777" w:rsidR="009F72A3" w:rsidRPr="00622D7E" w:rsidRDefault="009F72A3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Rozporządzenia Ministra Rozwoju i Technologii z dnia 20 grudnia 2021 r. w sprawie szczegółowego zakresu i formy dokumentacji projektowej, specyfikacji technicznych wykonania i odbioru robót budowlanych oraz programu funkcjonalno-użytkowego (Dz. U. z 2021 r. poz. 2454);</w:t>
      </w:r>
    </w:p>
    <w:p w14:paraId="7542AE47" w14:textId="45D92F29" w:rsidR="009F72A3" w:rsidRPr="00622D7E" w:rsidRDefault="009F72A3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Rozporządzenia Ministra Rozwoju z dnia 11 września 2020 r. w sprawie szczegółowego zakresu i formy projektu budowlanego (t.j. Dz. U. z 2022 r. poz. 1679 z późn. zm.);</w:t>
      </w:r>
    </w:p>
    <w:p w14:paraId="1A24C1B9" w14:textId="37F3060C" w:rsidR="009F72A3" w:rsidRPr="00622D7E" w:rsidRDefault="009F72A3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Rozporządzenia Ministra Rozwoju i Technologii z dnia 20 grudnia 2021 r. w sprawie określenia metod i podstaw sporządzania kosztorysu inwestorskiego, obliczania planowanych kosztów prac projektowych oraz planowanych kosztów robót budowlanych określonych w programie funkcjonalno-użytkowym (Dz. U. z 2021 r. poz. 2458);</w:t>
      </w:r>
    </w:p>
    <w:p w14:paraId="0F28874A" w14:textId="79FAA33C" w:rsidR="009F72A3" w:rsidRPr="00622D7E" w:rsidRDefault="009F72A3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Ustawy z dnia 11 września 2019 r. – Prawo zamówień publicznych</w:t>
      </w:r>
      <w:r w:rsidR="00DE1331">
        <w:rPr>
          <w:rFonts w:ascii="Cambria" w:hAnsi="Cambria" w:cs="Calibri Light"/>
          <w:sz w:val="22"/>
          <w:szCs w:val="22"/>
        </w:rPr>
        <w:t xml:space="preserve"> </w:t>
      </w:r>
      <w:r w:rsidRPr="00622D7E">
        <w:rPr>
          <w:rFonts w:ascii="Cambria" w:hAnsi="Cambria" w:cs="Calibri Light"/>
          <w:sz w:val="22"/>
          <w:szCs w:val="22"/>
        </w:rPr>
        <w:t>(t.j. Dz. U. z 2023 r. poz. 1605 z późn. zm.);</w:t>
      </w:r>
    </w:p>
    <w:p w14:paraId="20DAD463" w14:textId="77777777" w:rsidR="009F72A3" w:rsidRPr="00622D7E" w:rsidRDefault="009F72A3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Ustawy z dnia 7 lipca 1994 r. Prawo budowlane (t.j. Dz. U. z 2024 r. poz. 725 z późn. zm.);</w:t>
      </w:r>
    </w:p>
    <w:p w14:paraId="726E3A6E" w14:textId="267E8A15" w:rsidR="00605A61" w:rsidRPr="00622D7E" w:rsidRDefault="00605A61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Ustawy z dnia 20 lipca 2017 r. Prawo wodne (Dz. U. z 2022 r. poz. 2625);</w:t>
      </w:r>
    </w:p>
    <w:p w14:paraId="06129DC7" w14:textId="77777777" w:rsidR="009F72A3" w:rsidRPr="00622D7E" w:rsidRDefault="009F72A3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Rozporządzenia Ministra Infrastruktury z dnia 24 czerwca 2022 r. w sprawie przepisów techniczno-budowlanych dotyczących dróg publicznych (Dz. U. z 2022 r. poz. 1518);</w:t>
      </w:r>
    </w:p>
    <w:p w14:paraId="133B9D88" w14:textId="77777777" w:rsidR="009F72A3" w:rsidRPr="00622D7E" w:rsidRDefault="009F72A3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Rozporządzenia Komisji (WE) Nr 213/2008 z 28 listopada 2007 r. zmieniającego Rozporządzenie (WE) Nr 2195/2002 Parlamentu Europejskiego oraz Rady w sprawie Wspólnego Słownika Zamówień (CPV);</w:t>
      </w:r>
    </w:p>
    <w:p w14:paraId="711733C2" w14:textId="77777777" w:rsidR="009F72A3" w:rsidRPr="00622D7E" w:rsidRDefault="009F72A3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Rozporządzenia Ministra Infrastruktury z dnia 23 czerwca 2003 r. w sprawie informacji dotyczącej bezpieczeństwa i ochrony zdrowia oraz planu bezpieczeństwa i ochrony zdrowia (Dz. U. z 2003 r., Nr 120, poz. 1126);</w:t>
      </w:r>
    </w:p>
    <w:p w14:paraId="22299303" w14:textId="77777777" w:rsidR="009F72A3" w:rsidRPr="00622D7E" w:rsidRDefault="009F72A3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Ustawy z dnia 3 października 2008 r. o udostępnianiu informacji o środowisku i jego ochronie, udziale społeczeństwa w ochronie środowiska oraz o ocenach oddziaływania na środowisko (t.j. Dz. U. z 2023 r. poz. 1029 z późn. zm.);</w:t>
      </w:r>
    </w:p>
    <w:p w14:paraId="2FF9A58B" w14:textId="77777777" w:rsidR="009F72A3" w:rsidRPr="00622D7E" w:rsidRDefault="009F72A3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Rozporządzenia Ministra Transportu, Budownictwa i Gospodarki Morskiej z dnia 25 kwietnia 2012 r. w sprawie ustalania geotechnicznych warunków posadawiania obiektów budowlanych (Dz. U. z 2012 r. poz. 463).</w:t>
      </w:r>
    </w:p>
    <w:p w14:paraId="17509BF7" w14:textId="77777777" w:rsidR="009F72A3" w:rsidRPr="00622D7E" w:rsidRDefault="009F72A3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Wytyczne zawarte w branżowych przepisach szczegółowych, obowiązujących Polskich Normach, zgodnie z zasadami wiedzy technicznej i założeniami Zamawiającego,</w:t>
      </w:r>
    </w:p>
    <w:p w14:paraId="0A7C1DBD" w14:textId="77777777" w:rsidR="009F72A3" w:rsidRPr="00622D7E" w:rsidRDefault="009F72A3" w:rsidP="00622D7E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Innych niewymienionych powyżej aktów prawnych, niezbędnych do jego prawidłowej realizacji.</w:t>
      </w:r>
    </w:p>
    <w:p w14:paraId="568D8851" w14:textId="77777777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lastRenderedPageBreak/>
        <w:t>Przedmiot niniejszego zamówienia obejmuje również udzielenie Zamawiającemu odpowiedzi i wyjaśnień dotyczących zakresu robót objętego dokumentacją projektową w przypadku zapytań, lub wniesienia środków odwoławczych przez uczestników postępowania o zamówienie publiczne na roboty budowlane; stosowne wyjaśnienia Wykonawca zobowiązany jest przekazać niezwłocznie, lecz nie później niż w ciągu 2 dni roboczych od otrzymania zapytania drogą faksową, elektroniczną lub w formie pisemnej od Zamawiającego.</w:t>
      </w:r>
    </w:p>
    <w:p w14:paraId="0EB36F29" w14:textId="7BEACE1B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W okresie udzielonej rękojmi za wady Wykonawca zobowiązuje się do aktualizacji na wezwania Zamawiającego kosztorysów inwestorskich – nie częściej niż 1 raz na 6 m-cy.</w:t>
      </w:r>
    </w:p>
    <w:p w14:paraId="14BC224F" w14:textId="0283AA7F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sz w:val="22"/>
          <w:szCs w:val="22"/>
        </w:rPr>
      </w:pPr>
      <w:bookmarkStart w:id="3" w:name="_Hlk3294042"/>
      <w:r w:rsidRPr="00622D7E">
        <w:rPr>
          <w:rFonts w:ascii="Cambria" w:hAnsi="Cambria" w:cs="Calibri Light"/>
          <w:sz w:val="22"/>
          <w:szCs w:val="22"/>
        </w:rPr>
        <w:t xml:space="preserve">Wykonawca zobowiązany będzie w ramach niniejszego zamówienia i otrzymanego wynagrodzenia do min. 8 pobytów na budowie na wezwanie Zamawiającego. </w:t>
      </w:r>
      <w:bookmarkEnd w:id="3"/>
      <w:r w:rsidRPr="00622D7E">
        <w:rPr>
          <w:rFonts w:ascii="Cambria" w:hAnsi="Cambria" w:cs="Calibri Light"/>
          <w:sz w:val="22"/>
          <w:szCs w:val="22"/>
        </w:rPr>
        <w:t>Przez pobyt rozumie się sprawowanie nadzoru autorskiego na i poza terenem budowy (w wymiarze maksymalnie 8 godzin w ramach jednego pobytu) – jeżeli wynika to z potrzeb realizacji zadania; w takim przypadku za teren pełnienia nadzoru będzie uznawana siedziba Wykonawcy, Zamawiającego, wykonawcy robót budowlanych i dostawcy materiałów, maszyn lub urządzeń. Każdy pobyt musi być potwierdzony wpisem do dziennika budowy. Czas reakcji Wykonawcy na wezwanie (pisemne lub drogą elektroniczną) wynosić będzie maksymalnie trzy dni robocze, a w przypadkach szczególnie skomplikowanych w terminie uzgodnionym z Zamawiającym.</w:t>
      </w:r>
    </w:p>
    <w:p w14:paraId="2C4B87C5" w14:textId="30FA1EDF" w:rsidR="006D70E2" w:rsidRPr="006D70E2" w:rsidRDefault="006D70E2" w:rsidP="006D70E2">
      <w:pPr>
        <w:numPr>
          <w:ilvl w:val="0"/>
          <w:numId w:val="1"/>
        </w:numPr>
        <w:contextualSpacing/>
        <w:jc w:val="both"/>
        <w:rPr>
          <w:rFonts w:ascii="Cambria" w:hAnsi="Cambria" w:cs="Calibri Light"/>
          <w:sz w:val="22"/>
          <w:szCs w:val="22"/>
        </w:rPr>
      </w:pPr>
      <w:r w:rsidRPr="006F36F6">
        <w:rPr>
          <w:rFonts w:ascii="Cambria" w:hAnsi="Cambria" w:cs="Calibri Light"/>
          <w:sz w:val="22"/>
          <w:szCs w:val="22"/>
        </w:rPr>
        <w:t>Wykonawca sprawować będzie nadzór autorski zgodnie z warunkami określonymi w umowie, stosownie do art. 20 ust. 1 pkt. 4 Prawa budowlanego, w sposób zgodny z umową zawartą przez Zamawiającego z wykonawcą robót budowlanych oraz wynikający z zaistniałych potrzeb rozwiązywania problemów wynikłych na tle realizacji zadania.</w:t>
      </w:r>
    </w:p>
    <w:p w14:paraId="2130B0B2" w14:textId="5AEC0A14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W trakcie realizacji prac projektowych Wykonawca zobowiązany będzie do raportowania (nie rzadziej niż 1 raz na miesiąc) postępów prac projektowych (m. in. informacji na temat uzyskanych opinii, zezwoleń, warunków, złożonych wniosków itp.</w:t>
      </w:r>
    </w:p>
    <w:p w14:paraId="63F763EB" w14:textId="77777777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Do obowiązków Wykonawcy w ramach nadzoru autorskiego należeć będzie w szczególności:</w:t>
      </w:r>
    </w:p>
    <w:p w14:paraId="24C1249C" w14:textId="77777777" w:rsidR="009F72A3" w:rsidRPr="00216FD9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216FD9">
        <w:rPr>
          <w:rFonts w:ascii="Cambria" w:hAnsi="Cambria" w:cs="Calibri Light"/>
          <w:sz w:val="22"/>
          <w:szCs w:val="22"/>
        </w:rPr>
        <w:t>Nadzór nad zgodnością wykonawstwa z dokumentacją projektową w zakresie rozwiązań użytkowych, technicznych, technologicznych, materiałowych i doboru urządzeń,</w:t>
      </w:r>
    </w:p>
    <w:p w14:paraId="20A64047" w14:textId="77777777" w:rsidR="009F72A3" w:rsidRPr="00216FD9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216FD9">
        <w:rPr>
          <w:rFonts w:ascii="Cambria" w:hAnsi="Cambria" w:cs="Calibri Light"/>
          <w:sz w:val="22"/>
          <w:szCs w:val="22"/>
        </w:rPr>
        <w:t xml:space="preserve"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  </w:t>
      </w:r>
    </w:p>
    <w:p w14:paraId="24FCA1D6" w14:textId="6D069F32" w:rsidR="009F72A3" w:rsidRPr="00216FD9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216FD9">
        <w:rPr>
          <w:rFonts w:ascii="Cambria" w:hAnsi="Cambria" w:cs="Calibri Light"/>
          <w:sz w:val="22"/>
          <w:szCs w:val="22"/>
        </w:rPr>
        <w:t xml:space="preserve">uzgadnianie z Zamawiającym i wykonawcą robót budowlanych możliwości wprowadzenia rozwiązań zamiennych w stosunku do przewidzianych w dokumentacji projektowej w zakresie materiałów i konstrukcji, rozwiązań technicznych, technologicznych i użytkowych, jednak o jakości i standardzie nie niższych niż przewidziano w dokumentacji projektowej, </w:t>
      </w:r>
    </w:p>
    <w:p w14:paraId="0AD95182" w14:textId="32162C03" w:rsidR="009F72A3" w:rsidRPr="00216FD9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216FD9">
        <w:rPr>
          <w:rFonts w:ascii="Cambria" w:hAnsi="Cambria" w:cs="Calibri Light"/>
          <w:sz w:val="22"/>
          <w:szCs w:val="22"/>
        </w:rPr>
        <w:t xml:space="preserve">opiniowanie przedstawionych przez wykonawcę robót lub zamawiającego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budowlanej, a koszt zastosowania nowych nie zwiększy kosztów zadania z zastrzeżeniem, że każde z rozwiązań musi być zaakceptowane przez Zamawiającego, </w:t>
      </w:r>
    </w:p>
    <w:p w14:paraId="4E1895A2" w14:textId="17A349D5" w:rsidR="009F72A3" w:rsidRPr="00216FD9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216FD9">
        <w:rPr>
          <w:rFonts w:ascii="Cambria" w:hAnsi="Cambria" w:cs="Calibri Light"/>
          <w:sz w:val="22"/>
          <w:szCs w:val="22"/>
        </w:rPr>
        <w:t xml:space="preserve">ocena parametrów lub wyników szczegółowych badań materiałów i konstrukcji w zakresie zgodności z rozwiązaniami projektowymi, normami i obowiązującymi przepisami, </w:t>
      </w:r>
    </w:p>
    <w:p w14:paraId="2031448A" w14:textId="77777777" w:rsidR="009F72A3" w:rsidRPr="00216FD9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216FD9">
        <w:rPr>
          <w:rFonts w:ascii="Cambria" w:hAnsi="Cambria" w:cs="Calibri Light"/>
          <w:sz w:val="22"/>
          <w:szCs w:val="22"/>
        </w:rPr>
        <w:t xml:space="preserve">dokonaniu zmian rozwiązań projektowych – na żądanie Zamawiającego, </w:t>
      </w:r>
    </w:p>
    <w:p w14:paraId="1D1F3010" w14:textId="6E542294" w:rsidR="009F72A3" w:rsidRPr="00216FD9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216FD9">
        <w:rPr>
          <w:rFonts w:ascii="Cambria" w:hAnsi="Cambria" w:cs="Calibri Light"/>
          <w:sz w:val="22"/>
          <w:szCs w:val="22"/>
        </w:rPr>
        <w:t xml:space="preserve">udział w naradach i komisjach technicznych, odbiorach robót zanikowych próbach instalacji i procedurach rozruchu oraz końcowym odbiorze zadania, </w:t>
      </w:r>
    </w:p>
    <w:p w14:paraId="508385B1" w14:textId="77777777" w:rsidR="009F72A3" w:rsidRPr="00216FD9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216FD9">
        <w:rPr>
          <w:rFonts w:ascii="Cambria" w:hAnsi="Cambria" w:cs="Calibri Light"/>
          <w:sz w:val="22"/>
          <w:szCs w:val="22"/>
        </w:rPr>
        <w:t xml:space="preserve">poprawiania błędów projektowych, likwidacji kolizji między branżami lub uzupełnienia rysunków, detali bądź opisu technologii wykonania nie zawartych w dokumentacji autorskiej – bez prawa do odrębnego wynagrodzenia. </w:t>
      </w:r>
    </w:p>
    <w:p w14:paraId="60ACB3C3" w14:textId="2CBF7C6E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W przypadku wprowadzenia zmian stanowiących istotne odstępstwo od zatwierdzonego projektu,</w:t>
      </w:r>
      <w:r w:rsidR="00380263" w:rsidRPr="00622D7E">
        <w:rPr>
          <w:rFonts w:ascii="Cambria" w:hAnsi="Cambria" w:cs="Calibri Light"/>
          <w:sz w:val="22"/>
          <w:szCs w:val="22"/>
        </w:rPr>
        <w:t xml:space="preserve"> W</w:t>
      </w:r>
      <w:r w:rsidRPr="00622D7E">
        <w:rPr>
          <w:rFonts w:ascii="Cambria" w:hAnsi="Cambria" w:cs="Calibri Light"/>
          <w:sz w:val="22"/>
          <w:szCs w:val="22"/>
        </w:rPr>
        <w:t xml:space="preserve">ykonawca obowiązany jest własnym staraniem i na własny koszt doprowadzić do </w:t>
      </w:r>
      <w:r w:rsidRPr="00622D7E">
        <w:rPr>
          <w:rFonts w:ascii="Cambria" w:hAnsi="Cambria" w:cs="Calibri Light"/>
          <w:sz w:val="22"/>
          <w:szCs w:val="22"/>
        </w:rPr>
        <w:lastRenderedPageBreak/>
        <w:t>zgodności z obowiązującym prawem (sporządzenie projektu zamiennego, uzgodnienia, pozwolenie na budowę/roboty budowlane lub zgłoszenie remontowe).</w:t>
      </w:r>
    </w:p>
    <w:p w14:paraId="5C791F39" w14:textId="5347934D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Wykonawca zobowiązany jest przedstawić Zamawiającemu skutki finansowe proponowanych zmian w dokumentacji w stosunku do rozwiązań poprzednich i uzyskać protokólarną zgodę Zamawiającego na ich wprowadzenie. Wykonawca poniesie wszelkie skutki finansowe zmian, które wprowadził bez wiedzy i zgody Zamawiającego.</w:t>
      </w:r>
    </w:p>
    <w:p w14:paraId="2DAFB050" w14:textId="77777777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Udokumentowanie aktualizacji rozwiązań projektowych wprowadzonych do dokumentacji projektowo-kosztorysowej w czasie wykonywania robót budowlanych stanowić będą podpisane przez projektanta lub projektantów sprawujących nadzór autorski:</w:t>
      </w:r>
    </w:p>
    <w:p w14:paraId="480BC866" w14:textId="77777777" w:rsidR="009F72A3" w:rsidRPr="00622D7E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 xml:space="preserve">zapisy na rysunkach wchodzących w skład dokumentacji projektowej, </w:t>
      </w:r>
    </w:p>
    <w:p w14:paraId="0713DB02" w14:textId="77777777" w:rsidR="009F72A3" w:rsidRPr="00622D7E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 xml:space="preserve">rysunki zamienne lub szkice albo nowe projekty opatrzone datą, podpisem projektanta (autora) oraz informacją jaki element dokumentacji projektowej zastępują </w:t>
      </w:r>
    </w:p>
    <w:p w14:paraId="1FC5890F" w14:textId="77777777" w:rsidR="009F72A3" w:rsidRPr="00622D7E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 xml:space="preserve">wpisy do dziennika budowy, </w:t>
      </w:r>
    </w:p>
    <w:p w14:paraId="7827DA2A" w14:textId="77777777" w:rsidR="009F72A3" w:rsidRPr="00622D7E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protokoły lub notatki służbowe podpisane przez strony.</w:t>
      </w:r>
    </w:p>
    <w:p w14:paraId="2BE975AB" w14:textId="77777777" w:rsidR="009F72A3" w:rsidRPr="00622D7E" w:rsidRDefault="009F72A3" w:rsidP="00622D7E">
      <w:pPr>
        <w:pStyle w:val="Akapitzlist"/>
        <w:numPr>
          <w:ilvl w:val="0"/>
          <w:numId w:val="1"/>
        </w:numPr>
        <w:jc w:val="both"/>
        <w:textAlignment w:val="auto"/>
        <w:rPr>
          <w:rFonts w:ascii="Cambria" w:hAnsi="Cambria" w:cs="Calibri Light"/>
          <w:sz w:val="22"/>
          <w:szCs w:val="22"/>
        </w:rPr>
      </w:pPr>
      <w:r w:rsidRPr="00622D7E">
        <w:rPr>
          <w:rFonts w:ascii="Cambria" w:hAnsi="Cambria" w:cs="Calibri Light"/>
          <w:sz w:val="22"/>
          <w:szCs w:val="22"/>
        </w:rPr>
        <w:t>Pozostałe informacje i załączniki dotyczące przedmiotu zamówienia:</w:t>
      </w:r>
    </w:p>
    <w:p w14:paraId="3653F711" w14:textId="4E5CA732" w:rsidR="009F72A3" w:rsidRDefault="009F72A3" w:rsidP="00216FD9">
      <w:pPr>
        <w:pStyle w:val="Akapitzlist"/>
        <w:numPr>
          <w:ilvl w:val="1"/>
          <w:numId w:val="1"/>
        </w:numPr>
        <w:ind w:left="993" w:hanging="633"/>
        <w:jc w:val="both"/>
        <w:rPr>
          <w:rFonts w:ascii="Cambria" w:hAnsi="Cambria" w:cs="Calibri Light"/>
          <w:sz w:val="22"/>
          <w:szCs w:val="22"/>
        </w:rPr>
      </w:pPr>
      <w:r w:rsidRPr="00216FD9">
        <w:rPr>
          <w:rFonts w:ascii="Cambria" w:hAnsi="Cambria" w:cs="Calibri Light"/>
          <w:sz w:val="22"/>
          <w:szCs w:val="22"/>
        </w:rPr>
        <w:t>Mapa poglądowa</w:t>
      </w:r>
      <w:r w:rsidR="00216FD9">
        <w:rPr>
          <w:rFonts w:ascii="Cambria" w:hAnsi="Cambria" w:cs="Calibri Light"/>
          <w:sz w:val="22"/>
          <w:szCs w:val="22"/>
        </w:rPr>
        <w:t>:</w:t>
      </w:r>
    </w:p>
    <w:p w14:paraId="7D31F30A" w14:textId="5A8A2DE7" w:rsidR="00216FD9" w:rsidRDefault="00216FD9" w:rsidP="00216FD9">
      <w:pPr>
        <w:pStyle w:val="Akapitzlist"/>
        <w:ind w:left="993"/>
        <w:jc w:val="both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C5CDF7E" wp14:editId="12F5F6FF">
            <wp:simplePos x="0" y="0"/>
            <wp:positionH relativeFrom="column">
              <wp:posOffset>-880746</wp:posOffset>
            </wp:positionH>
            <wp:positionV relativeFrom="paragraph">
              <wp:posOffset>147320</wp:posOffset>
            </wp:positionV>
            <wp:extent cx="7512639" cy="3619500"/>
            <wp:effectExtent l="0" t="0" r="0" b="0"/>
            <wp:wrapNone/>
            <wp:docPr id="17834103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6369" cy="362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BE5C7D" w14:textId="3791417D" w:rsidR="00216FD9" w:rsidRPr="00216FD9" w:rsidRDefault="00216FD9" w:rsidP="00216FD9">
      <w:pPr>
        <w:pStyle w:val="Akapitzlist"/>
        <w:ind w:left="993"/>
        <w:jc w:val="both"/>
        <w:rPr>
          <w:rFonts w:ascii="Cambria" w:hAnsi="Cambria" w:cs="Calibri Light"/>
          <w:sz w:val="22"/>
          <w:szCs w:val="22"/>
        </w:rPr>
      </w:pPr>
    </w:p>
    <w:sectPr w:rsidR="00216FD9" w:rsidRPr="00216FD9" w:rsidSect="009F72A3">
      <w:headerReference w:type="default" r:id="rId8"/>
      <w:pgSz w:w="11906" w:h="16838"/>
      <w:pgMar w:top="1135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8FD91" w14:textId="77777777" w:rsidR="007A6FD8" w:rsidRDefault="007A6FD8" w:rsidP="009F72A3">
      <w:r>
        <w:separator/>
      </w:r>
    </w:p>
  </w:endnote>
  <w:endnote w:type="continuationSeparator" w:id="0">
    <w:p w14:paraId="1F492905" w14:textId="77777777" w:rsidR="007A6FD8" w:rsidRDefault="007A6FD8" w:rsidP="009F7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E96CE" w14:textId="77777777" w:rsidR="007A6FD8" w:rsidRDefault="007A6FD8" w:rsidP="009F72A3">
      <w:r>
        <w:separator/>
      </w:r>
    </w:p>
  </w:footnote>
  <w:footnote w:type="continuationSeparator" w:id="0">
    <w:p w14:paraId="077C7FB3" w14:textId="77777777" w:rsidR="007A6FD8" w:rsidRDefault="007A6FD8" w:rsidP="009F7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6C76D" w14:textId="174C0576" w:rsidR="00622D7E" w:rsidRDefault="00622D7E">
    <w:pPr>
      <w:pStyle w:val="Nagwek"/>
    </w:pPr>
    <w:r>
      <w:rPr>
        <w:noProof/>
      </w:rPr>
      <w:drawing>
        <wp:inline distT="0" distB="0" distL="0" distR="0" wp14:anchorId="5A7A4985" wp14:editId="57BACBDD">
          <wp:extent cx="5760720" cy="58420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7144E4"/>
    <w:multiLevelType w:val="multilevel"/>
    <w:tmpl w:val="042C7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C43166C"/>
    <w:multiLevelType w:val="multilevel"/>
    <w:tmpl w:val="042C7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6801837">
    <w:abstractNumId w:val="0"/>
  </w:num>
  <w:num w:numId="2" w16cid:durableId="1618364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2A3"/>
    <w:rsid w:val="00034796"/>
    <w:rsid w:val="000679CA"/>
    <w:rsid w:val="000D6EED"/>
    <w:rsid w:val="001442AD"/>
    <w:rsid w:val="00157298"/>
    <w:rsid w:val="00216FD9"/>
    <w:rsid w:val="00223757"/>
    <w:rsid w:val="00241451"/>
    <w:rsid w:val="00283547"/>
    <w:rsid w:val="00324BF8"/>
    <w:rsid w:val="00380263"/>
    <w:rsid w:val="00475D4F"/>
    <w:rsid w:val="004C53EB"/>
    <w:rsid w:val="004E5EFC"/>
    <w:rsid w:val="005C2517"/>
    <w:rsid w:val="00605A61"/>
    <w:rsid w:val="00622D7E"/>
    <w:rsid w:val="006D70E2"/>
    <w:rsid w:val="00712BD6"/>
    <w:rsid w:val="007708CF"/>
    <w:rsid w:val="0077387E"/>
    <w:rsid w:val="007A6FD8"/>
    <w:rsid w:val="008560E4"/>
    <w:rsid w:val="009F72A3"/>
    <w:rsid w:val="00A0458D"/>
    <w:rsid w:val="00A06101"/>
    <w:rsid w:val="00A81D3F"/>
    <w:rsid w:val="00BC6F32"/>
    <w:rsid w:val="00BD2E2E"/>
    <w:rsid w:val="00D32159"/>
    <w:rsid w:val="00D50177"/>
    <w:rsid w:val="00DE1331"/>
    <w:rsid w:val="00EE4634"/>
    <w:rsid w:val="00F70BC5"/>
    <w:rsid w:val="00F86920"/>
    <w:rsid w:val="00FB5BFF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2A4B"/>
  <w15:chartTrackingRefBased/>
  <w15:docId w15:val="{44376641-577E-4B02-A4C1-FA0005FD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2A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9F72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F72A3"/>
    <w:rPr>
      <w:rFonts w:asciiTheme="majorHAnsi" w:eastAsiaTheme="majorEastAsia" w:hAnsiTheme="majorHAnsi" w:cstheme="majorBidi"/>
      <w:b/>
      <w:bCs/>
      <w:color w:val="4472C4" w:themeColor="accent1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F72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F72A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F72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72A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Hipercze">
    <w:name w:val="Hyperlink"/>
    <w:basedOn w:val="Domylnaczcionkaakapitu"/>
    <w:uiPriority w:val="99"/>
    <w:unhideWhenUsed/>
    <w:rsid w:val="009F72A3"/>
    <w:rPr>
      <w:color w:val="0563C1" w:themeColor="hyperlink"/>
      <w:u w:val="single"/>
    </w:rPr>
  </w:style>
  <w:style w:type="table" w:styleId="Jasnecieniowanieakcent4">
    <w:name w:val="Light Shading Accent 4"/>
    <w:basedOn w:val="Standardowy"/>
    <w:uiPriority w:val="60"/>
    <w:rsid w:val="009F72A3"/>
    <w:pPr>
      <w:spacing w:after="0" w:line="240" w:lineRule="auto"/>
    </w:pPr>
    <w:rPr>
      <w:color w:val="BF8F00" w:themeColor="accent4" w:themeShade="BF"/>
      <w:kern w:val="0"/>
      <w14:ligatures w14:val="none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9F72A3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qFormat/>
    <w:locked/>
    <w:rsid w:val="009F72A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622D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customStyle="1" w:styleId="Teksttreci4Bezpogrubienia">
    <w:name w:val="Tekst treści (4) + Bez pogrubienia"/>
    <w:basedOn w:val="Domylnaczcionkaakapitu"/>
    <w:rsid w:val="00773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1739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Radziszewski</dc:creator>
  <cp:keywords/>
  <dc:description/>
  <cp:lastModifiedBy>Arkadiusz Mosio</cp:lastModifiedBy>
  <cp:revision>14</cp:revision>
  <cp:lastPrinted>2024-09-02T12:04:00Z</cp:lastPrinted>
  <dcterms:created xsi:type="dcterms:W3CDTF">2024-08-26T13:45:00Z</dcterms:created>
  <dcterms:modified xsi:type="dcterms:W3CDTF">2024-09-26T07:31:00Z</dcterms:modified>
</cp:coreProperties>
</file>