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0176" w:type="dxa"/>
        <w:tblInd w:w="-5" w:type="dxa"/>
        <w:tblLook w:val="04A0" w:firstRow="1" w:lastRow="0" w:firstColumn="1" w:lastColumn="0" w:noHBand="0" w:noVBand="1"/>
      </w:tblPr>
      <w:tblGrid>
        <w:gridCol w:w="10176"/>
      </w:tblGrid>
      <w:tr w:rsidR="007F4F66" w:rsidRPr="000E368E" w:rsidTr="0018153F">
        <w:trPr>
          <w:trHeight w:val="808"/>
        </w:trPr>
        <w:tc>
          <w:tcPr>
            <w:tcW w:w="10176" w:type="dxa"/>
          </w:tcPr>
          <w:p w:rsidR="007F4F66" w:rsidRPr="000F6CE6" w:rsidRDefault="007F4F66" w:rsidP="0018153F">
            <w:pPr>
              <w:shd w:val="clear" w:color="auto" w:fill="FFFFFF" w:themeFill="background1"/>
              <w:tabs>
                <w:tab w:val="left" w:pos="408"/>
              </w:tabs>
              <w:ind w:left="360"/>
              <w:jc w:val="center"/>
              <w:rPr>
                <w:b/>
                <w:sz w:val="6"/>
                <w:szCs w:val="6"/>
              </w:rPr>
            </w:pPr>
          </w:p>
          <w:p w:rsidR="007F4F66" w:rsidRDefault="00495655" w:rsidP="0018153F">
            <w:pPr>
              <w:shd w:val="clear" w:color="auto" w:fill="FFFFFF" w:themeFill="background1"/>
              <w:tabs>
                <w:tab w:val="left" w:pos="408"/>
              </w:tabs>
              <w:ind w:left="360"/>
              <w:jc w:val="center"/>
              <w:rPr>
                <w:b/>
              </w:rPr>
            </w:pPr>
            <w:r>
              <w:rPr>
                <w:b/>
                <w:noProof/>
              </w:rPr>
              <w:drawing>
                <wp:inline distT="0" distB="0" distL="0" distR="0" wp14:anchorId="7BC5F292" wp14:editId="73F7CD30">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p w:rsidR="007F4F66" w:rsidRDefault="007F4F66" w:rsidP="0018153F">
            <w:pPr>
              <w:shd w:val="clear" w:color="auto" w:fill="FFFFFF" w:themeFill="background1"/>
              <w:tabs>
                <w:tab w:val="left" w:pos="408"/>
              </w:tabs>
              <w:ind w:left="360"/>
              <w:jc w:val="center"/>
              <w:rPr>
                <w:b/>
              </w:rPr>
            </w:pPr>
          </w:p>
          <w:p w:rsidR="007F4F66" w:rsidRPr="009C6825" w:rsidRDefault="007F4F66" w:rsidP="0018153F">
            <w:pPr>
              <w:shd w:val="clear" w:color="auto" w:fill="FFFFFF" w:themeFill="background1"/>
              <w:tabs>
                <w:tab w:val="left" w:pos="408"/>
              </w:tabs>
              <w:ind w:left="360"/>
              <w:jc w:val="center"/>
              <w:rPr>
                <w:b/>
              </w:rPr>
            </w:pPr>
          </w:p>
        </w:tc>
      </w:tr>
      <w:tr w:rsidR="007F4F66" w:rsidRPr="00B74C3B" w:rsidTr="0018153F">
        <w:trPr>
          <w:trHeight w:val="285"/>
        </w:trPr>
        <w:tc>
          <w:tcPr>
            <w:tcW w:w="10176" w:type="dxa"/>
            <w:shd w:val="clear" w:color="auto" w:fill="auto"/>
          </w:tcPr>
          <w:p w:rsidR="007F4F66" w:rsidRPr="00B74C3B" w:rsidRDefault="007F4F66" w:rsidP="0018153F">
            <w:pPr>
              <w:pStyle w:val="Nagwek"/>
              <w:shd w:val="clear" w:color="auto" w:fill="FFFFFF" w:themeFill="background1"/>
              <w:tabs>
                <w:tab w:val="left" w:pos="3256"/>
              </w:tabs>
              <w:rPr>
                <w:b/>
              </w:rPr>
            </w:pPr>
            <w:bookmarkStart w:id="0" w:name="_Hlk125444948"/>
            <w:r w:rsidRPr="009C6825">
              <w:rPr>
                <w:b/>
              </w:rPr>
              <w:t>Treść tego dokumentu należy czytać łącznie z SWZ - jest to integralna część Rozdziału I - Instrukcja dla Wykonawców (IDW)</w:t>
            </w:r>
            <w:r>
              <w:rPr>
                <w:b/>
              </w:rPr>
              <w:t>.</w:t>
            </w:r>
          </w:p>
        </w:tc>
      </w:tr>
      <w:tr w:rsidR="007F4F66" w:rsidRPr="00B74C3B" w:rsidTr="0018153F">
        <w:trPr>
          <w:trHeight w:val="682"/>
        </w:trPr>
        <w:tc>
          <w:tcPr>
            <w:tcW w:w="10176" w:type="dxa"/>
            <w:shd w:val="clear" w:color="auto" w:fill="auto"/>
          </w:tcPr>
          <w:p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p>
          <w:p w:rsidR="007F4F66"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PODSTAWOWE INFORMACJE DOTYCZĄCE POSTĘPOWANIA (PIDP)</w:t>
            </w:r>
          </w:p>
          <w:p w:rsidR="007F4F66" w:rsidRPr="00EA37E4" w:rsidRDefault="007F4F66" w:rsidP="0018153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p>
          <w:p w:rsidR="007F4F66" w:rsidRPr="00B74C3B" w:rsidRDefault="007F4F66" w:rsidP="00B3681C">
            <w:pPr>
              <w:pStyle w:val="Tekstpodstawowy2"/>
              <w:shd w:val="clear" w:color="auto" w:fill="FFFFFF" w:themeFill="background1"/>
              <w:spacing w:after="0" w:line="276" w:lineRule="auto"/>
              <w:jc w:val="center"/>
              <w:rPr>
                <w:b/>
              </w:rPr>
            </w:pPr>
            <w:r w:rsidRPr="00B74C3B">
              <w:rPr>
                <w:bCs/>
              </w:rPr>
              <w:t>Numer referencyjny:</w:t>
            </w:r>
            <w:r w:rsidRPr="00B74C3B">
              <w:rPr>
                <w:b/>
                <w:bCs/>
              </w:rPr>
              <w:t xml:space="preserve"> </w:t>
            </w:r>
            <w:r>
              <w:rPr>
                <w:b/>
                <w:bCs/>
              </w:rPr>
              <w:t>Zn_</w:t>
            </w:r>
            <w:r w:rsidR="00351705">
              <w:rPr>
                <w:b/>
                <w:bCs/>
              </w:rPr>
              <w:t>2024_20</w:t>
            </w:r>
          </w:p>
        </w:tc>
      </w:tr>
      <w:bookmarkEnd w:id="0"/>
    </w:tbl>
    <w:p w:rsidR="007F4F66" w:rsidRPr="000F6CE6" w:rsidRDefault="007F4F66" w:rsidP="007F4F66">
      <w:pPr>
        <w:shd w:val="clear" w:color="auto" w:fill="FFFFFF" w:themeFill="background1"/>
        <w:tabs>
          <w:tab w:val="left" w:pos="408"/>
        </w:tabs>
        <w:ind w:left="360"/>
        <w:jc w:val="center"/>
        <w:rPr>
          <w:b/>
          <w:sz w:val="14"/>
          <w:szCs w:val="14"/>
        </w:rPr>
      </w:pPr>
    </w:p>
    <w:tbl>
      <w:tblPr>
        <w:tblStyle w:val="Tabela-Siatka"/>
        <w:tblpPr w:leftFromText="141" w:rightFromText="141" w:vertAnchor="text" w:tblpX="392" w:tblpY="1"/>
        <w:tblOverlap w:val="never"/>
        <w:tblW w:w="9180" w:type="dxa"/>
        <w:shd w:val="clear" w:color="auto" w:fill="FFFFFF" w:themeFill="background1"/>
        <w:tblLayout w:type="fixed"/>
        <w:tblLook w:val="04A0" w:firstRow="1" w:lastRow="0" w:firstColumn="1" w:lastColumn="0" w:noHBand="0" w:noVBand="1"/>
      </w:tblPr>
      <w:tblGrid>
        <w:gridCol w:w="1384"/>
        <w:gridCol w:w="7796"/>
      </w:tblGrid>
      <w:tr w:rsidR="007F4F66" w:rsidRPr="00A639C4" w:rsidTr="0018153F">
        <w:trPr>
          <w:trHeight w:val="693"/>
        </w:trPr>
        <w:tc>
          <w:tcPr>
            <w:tcW w:w="1384" w:type="dxa"/>
            <w:tcBorders>
              <w:bottom w:val="single" w:sz="4" w:space="0" w:color="auto"/>
            </w:tcBorders>
            <w:shd w:val="clear" w:color="auto" w:fill="FFFFFF" w:themeFill="background1"/>
            <w:vAlign w:val="center"/>
          </w:tcPr>
          <w:p w:rsidR="007F4F66" w:rsidRPr="00A639C4" w:rsidRDefault="007F4F66" w:rsidP="0018153F">
            <w:pPr>
              <w:shd w:val="clear" w:color="auto" w:fill="FFFFFF" w:themeFill="background1"/>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FFFFFF" w:themeFill="background1"/>
            <w:vAlign w:val="center"/>
          </w:tcPr>
          <w:p w:rsidR="007F4F66" w:rsidRPr="009C6825" w:rsidRDefault="007F4F66" w:rsidP="0018153F">
            <w:pPr>
              <w:shd w:val="clear" w:color="auto" w:fill="FFFFFF" w:themeFill="background1"/>
              <w:tabs>
                <w:tab w:val="left" w:pos="408"/>
              </w:tabs>
              <w:jc w:val="center"/>
              <w:rPr>
                <w:b/>
              </w:rPr>
            </w:pPr>
            <w:r w:rsidRPr="009C6825">
              <w:rPr>
                <w:b/>
              </w:rPr>
              <w:t>Treść informacji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4.1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rPr>
                <w:b/>
              </w:rPr>
            </w:pPr>
            <w:r w:rsidRPr="00A639C4">
              <w:rPr>
                <w:b/>
              </w:rPr>
              <w:t>Pełna nazwa zamówienia, opis przedmiotu zamówienia, sposób realizacji zamówienia oraz oznaczenie wg Wspólnego Słownika Zamówień (CPV)</w:t>
            </w:r>
          </w:p>
        </w:tc>
      </w:tr>
      <w:tr w:rsidR="007F4F66" w:rsidRPr="00A639C4" w:rsidTr="0018153F">
        <w:tc>
          <w:tcPr>
            <w:tcW w:w="1384" w:type="dxa"/>
            <w:vMerge w:val="restart"/>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Default="007F4F66" w:rsidP="0018153F">
            <w:pPr>
              <w:shd w:val="clear" w:color="auto" w:fill="FFFFFF" w:themeFill="background1"/>
              <w:ind w:left="300" w:hanging="300"/>
              <w:jc w:val="both"/>
              <w:rPr>
                <w:b/>
              </w:rPr>
            </w:pPr>
            <w:r w:rsidRPr="00A639C4">
              <w:rPr>
                <w:b/>
              </w:rPr>
              <w:t>Pełna nazwa zamówienia:</w:t>
            </w:r>
          </w:p>
          <w:p w:rsidR="00B3681C" w:rsidRPr="00A639C4" w:rsidRDefault="00B3681C" w:rsidP="0018153F">
            <w:pPr>
              <w:shd w:val="clear" w:color="auto" w:fill="FFFFFF" w:themeFill="background1"/>
              <w:ind w:left="300" w:hanging="300"/>
              <w:jc w:val="both"/>
              <w:rPr>
                <w:b/>
              </w:rPr>
            </w:pPr>
          </w:p>
          <w:p w:rsidR="007F4F66" w:rsidRPr="00A639C4" w:rsidRDefault="00B3681C" w:rsidP="0018153F">
            <w:pPr>
              <w:shd w:val="clear" w:color="auto" w:fill="FFFFFF" w:themeFill="background1"/>
              <w:jc w:val="both"/>
              <w:rPr>
                <w:b/>
                <w:color w:val="000000"/>
              </w:rPr>
            </w:pPr>
            <w:bookmarkStart w:id="1" w:name="_GoBack"/>
            <w:r w:rsidRPr="00B3681C">
              <w:rPr>
                <w:b/>
                <w:color w:val="000000"/>
              </w:rPr>
              <w:t>Opracowanie dokumentacji oraz wykonanie instalacji w ramach zadania</w:t>
            </w:r>
            <w:r w:rsidR="000037D1">
              <w:rPr>
                <w:b/>
                <w:color w:val="000000"/>
              </w:rPr>
              <w:t>:</w:t>
            </w:r>
            <w:r w:rsidRPr="00B3681C">
              <w:rPr>
                <w:b/>
                <w:color w:val="000000"/>
              </w:rPr>
              <w:t xml:space="preserve"> </w:t>
            </w:r>
            <w:r w:rsidR="000037D1">
              <w:rPr>
                <w:b/>
                <w:color w:val="000000"/>
              </w:rPr>
              <w:t>„</w:t>
            </w:r>
            <w:r w:rsidRPr="00B3681C">
              <w:rPr>
                <w:b/>
                <w:color w:val="000000"/>
              </w:rPr>
              <w:t>Instalacja przeciwpożarowa w Szpitalu Powiatowym im. Św. Ojca Pio</w:t>
            </w:r>
            <w:r w:rsidR="004D69B9">
              <w:rPr>
                <w:b/>
                <w:color w:val="000000"/>
              </w:rPr>
              <w:t xml:space="preserve"> w Sędziszowie Małopolskim” – </w:t>
            </w:r>
            <w:r w:rsidR="001A279D">
              <w:rPr>
                <w:b/>
                <w:color w:val="000000"/>
              </w:rPr>
              <w:t>IV</w:t>
            </w:r>
            <w:r w:rsidR="004D69B9">
              <w:rPr>
                <w:b/>
                <w:color w:val="000000"/>
              </w:rPr>
              <w:t xml:space="preserve"> postępowanie</w:t>
            </w:r>
          </w:p>
          <w:bookmarkEnd w:id="1"/>
          <w:p w:rsidR="007F4F66" w:rsidRPr="00A639C4" w:rsidRDefault="007F4F66" w:rsidP="0018153F">
            <w:pPr>
              <w:shd w:val="clear" w:color="auto" w:fill="FFFFFF" w:themeFill="background1"/>
              <w:jc w:val="both"/>
              <w:rPr>
                <w:b/>
                <w:color w:val="000000"/>
              </w:rPr>
            </w:pPr>
          </w:p>
          <w:p w:rsidR="007F4F66" w:rsidRPr="00A639C4" w:rsidRDefault="007F4F66" w:rsidP="0018153F">
            <w:pPr>
              <w:shd w:val="clear" w:color="auto" w:fill="FFFFFF" w:themeFill="background1"/>
              <w:ind w:left="300" w:hanging="300"/>
              <w:jc w:val="both"/>
              <w:rPr>
                <w:bCs/>
              </w:rPr>
            </w:pPr>
            <w:r w:rsidRPr="00A639C4">
              <w:rPr>
                <w:bCs/>
              </w:rPr>
              <w:t xml:space="preserve">W/w nazwy należy używać na każdym etapie prowadzonego postępowania. </w:t>
            </w:r>
          </w:p>
          <w:p w:rsidR="007F4F66" w:rsidRPr="00A639C4" w:rsidRDefault="007F4F66" w:rsidP="0018153F">
            <w:pPr>
              <w:shd w:val="clear" w:color="auto" w:fill="FFFFFF" w:themeFill="background1"/>
              <w:ind w:left="34"/>
              <w:jc w:val="both"/>
              <w:rPr>
                <w:bCs/>
              </w:rPr>
            </w:pPr>
            <w:r w:rsidRPr="00A639C4">
              <w:rPr>
                <w:bCs/>
              </w:rPr>
              <w:t>Z uwagi na możliwość wpisania ograniczonej liczby znaków w platformie e-zamówienia nazwa zamówienia może się różnić od nazwy użytej w innych dokumentach postępowania.</w:t>
            </w:r>
          </w:p>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ind w:left="300" w:hanging="300"/>
              <w:jc w:val="both"/>
              <w:rPr>
                <w:b/>
              </w:rPr>
            </w:pPr>
            <w:r w:rsidRPr="00A639C4">
              <w:rPr>
                <w:b/>
              </w:rPr>
              <w:t>Opis przedmiotu zamówienia</w:t>
            </w:r>
          </w:p>
          <w:p w:rsidR="007F4F66" w:rsidRPr="00A639C4" w:rsidRDefault="00B3681C" w:rsidP="0018153F">
            <w:pPr>
              <w:shd w:val="clear" w:color="auto" w:fill="FFFFFF" w:themeFill="background1"/>
              <w:tabs>
                <w:tab w:val="left" w:pos="408"/>
              </w:tabs>
              <w:rPr>
                <w:b/>
                <w:color w:val="000000"/>
              </w:rPr>
            </w:pPr>
            <w:r>
              <w:rPr>
                <w:b/>
                <w:color w:val="000000"/>
              </w:rPr>
              <w:t xml:space="preserve">Przedmiotem zamówienia jest </w:t>
            </w:r>
            <w:r>
              <w:t xml:space="preserve"> </w:t>
            </w:r>
            <w:r>
              <w:rPr>
                <w:b/>
                <w:color w:val="000000"/>
              </w:rPr>
              <w:t>z</w:t>
            </w:r>
            <w:r w:rsidRPr="00B3681C">
              <w:rPr>
                <w:b/>
                <w:color w:val="000000"/>
              </w:rPr>
              <w:t>aprojektowanie</w:t>
            </w:r>
            <w:r>
              <w:rPr>
                <w:b/>
                <w:color w:val="000000"/>
              </w:rPr>
              <w:t xml:space="preserve"> oraz wykonanie instalacji przeciwpożarowej w Szpitalu Powiatowym w Sędziszowie Młp. </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Opis Przedmiotu Zamówienia oraz sposób realizacji zamówienia zawiera </w:t>
            </w:r>
            <w:r w:rsidR="00B3681C">
              <w:t>Program Funkjonalno-Użytkowy</w:t>
            </w:r>
            <w:r w:rsidRPr="00A639C4">
              <w:t xml:space="preserve"> stanowiący </w:t>
            </w:r>
            <w:r w:rsidRPr="00A639C4">
              <w:rPr>
                <w:b/>
              </w:rPr>
              <w:t>Załącznik do SWZ</w:t>
            </w:r>
            <w:r w:rsidRPr="00A639C4">
              <w:t>.</w:t>
            </w:r>
          </w:p>
          <w:p w:rsidR="007F4F66" w:rsidRPr="00A639C4" w:rsidRDefault="007F4F66" w:rsidP="0018153F">
            <w:pPr>
              <w:shd w:val="clear" w:color="auto" w:fill="FFFFFF" w:themeFill="background1"/>
              <w:ind w:left="300" w:hanging="300"/>
              <w:jc w:val="both"/>
              <w:rPr>
                <w:b/>
              </w:rPr>
            </w:pPr>
          </w:p>
          <w:p w:rsidR="007F4F66" w:rsidRPr="00A639C4" w:rsidRDefault="007F4F66" w:rsidP="0018153F">
            <w:pPr>
              <w:shd w:val="clear" w:color="auto" w:fill="FFFFFF" w:themeFill="background1"/>
              <w:ind w:left="300" w:hanging="300"/>
              <w:jc w:val="both"/>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Default="007F4F66" w:rsidP="0018153F">
            <w:pPr>
              <w:shd w:val="clear" w:color="auto" w:fill="FFFFFF" w:themeFill="background1"/>
              <w:ind w:left="300" w:hanging="300"/>
              <w:jc w:val="both"/>
              <w:rPr>
                <w:b/>
              </w:rPr>
            </w:pPr>
            <w:r w:rsidRPr="00A639C4">
              <w:rPr>
                <w:b/>
              </w:rPr>
              <w:t>Oznaczenie wg Wspólnego Słownika Zamówień (CPV)</w:t>
            </w:r>
          </w:p>
          <w:p w:rsidR="00B3681C" w:rsidRPr="00A639C4" w:rsidRDefault="00B3681C" w:rsidP="0018153F">
            <w:pPr>
              <w:shd w:val="clear" w:color="auto" w:fill="FFFFFF" w:themeFill="background1"/>
              <w:ind w:left="300" w:hanging="300"/>
              <w:jc w:val="both"/>
              <w:rPr>
                <w:b/>
              </w:rPr>
            </w:pPr>
          </w:p>
          <w:p w:rsidR="001B3F6C" w:rsidRDefault="001B3F6C" w:rsidP="001B3F6C">
            <w:pPr>
              <w:jc w:val="both"/>
            </w:pPr>
            <w:r>
              <w:t>45312100-8 Instalowanie przeciwpożarowych systemów alarmowych</w:t>
            </w:r>
          </w:p>
          <w:p w:rsidR="00B3681C" w:rsidRDefault="00B3681C" w:rsidP="00B3681C">
            <w:pPr>
              <w:jc w:val="both"/>
            </w:pPr>
            <w:r>
              <w:t>71320000-7 Usługi inżynieryjne w zakresie projektowania</w:t>
            </w:r>
          </w:p>
          <w:p w:rsidR="00B3681C" w:rsidRDefault="00B3681C" w:rsidP="00B3681C">
            <w:pPr>
              <w:jc w:val="both"/>
            </w:pPr>
            <w:r>
              <w:t>45343000-3 Roboty instalacyjne przeciwpożarowe</w:t>
            </w:r>
          </w:p>
          <w:p w:rsidR="00B3681C" w:rsidRDefault="00B3681C" w:rsidP="00B3681C">
            <w:pPr>
              <w:jc w:val="both"/>
            </w:pPr>
            <w:r>
              <w:t>45310000-3 Roboty instalacyjne elektryczne</w:t>
            </w:r>
          </w:p>
          <w:p w:rsidR="00B3681C" w:rsidRDefault="00B3681C" w:rsidP="00B3681C">
            <w:pPr>
              <w:jc w:val="both"/>
            </w:pPr>
            <w:r w:rsidRPr="00FE6D93">
              <w:t>45315600-4 Instalacje niskiego napięcia</w:t>
            </w:r>
          </w:p>
          <w:p w:rsidR="00B3681C" w:rsidRDefault="00B3681C" w:rsidP="00B3681C">
            <w:pPr>
              <w:jc w:val="both"/>
            </w:pPr>
            <w:r w:rsidRPr="00FE6D93">
              <w:t>45421000-4 Roboty w zakresie stolarki budowlanej</w:t>
            </w:r>
          </w:p>
          <w:p w:rsidR="00B3681C" w:rsidRPr="00FE6D93" w:rsidRDefault="00B3681C" w:rsidP="00B3681C">
            <w:pPr>
              <w:jc w:val="both"/>
            </w:pPr>
            <w:r w:rsidRPr="00FE6D93">
              <w:t xml:space="preserve">45343000-3 Roboty instalacyjne przeciwpożarowe </w:t>
            </w:r>
          </w:p>
          <w:p w:rsidR="007F4F66" w:rsidRPr="00A639C4" w:rsidRDefault="007F4F66" w:rsidP="0018153F">
            <w:pPr>
              <w:shd w:val="clear" w:color="auto" w:fill="FFFFFF" w:themeFill="background1"/>
              <w:ind w:left="300" w:hanging="300"/>
              <w:jc w:val="both"/>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ind w:left="300" w:hanging="300"/>
              <w:jc w:val="both"/>
              <w:rPr>
                <w:b/>
              </w:rPr>
            </w:pPr>
            <w:r w:rsidRPr="00A639C4">
              <w:rPr>
                <w:b/>
              </w:rPr>
              <w:t>Sposób realizacji zamówienia</w:t>
            </w:r>
          </w:p>
          <w:p w:rsidR="007F4F66" w:rsidRPr="00A639C4" w:rsidRDefault="007F4F66" w:rsidP="0018153F">
            <w:pPr>
              <w:shd w:val="clear" w:color="auto" w:fill="FFFFFF" w:themeFill="background1"/>
              <w:ind w:left="300" w:hanging="300"/>
              <w:jc w:val="both"/>
              <w:rPr>
                <w:b/>
              </w:rPr>
            </w:pPr>
          </w:p>
          <w:p w:rsidR="007F4F66" w:rsidRPr="00A639C4" w:rsidRDefault="007F4F66" w:rsidP="0018153F">
            <w:pPr>
              <w:shd w:val="clear" w:color="auto" w:fill="FFFFFF" w:themeFill="background1"/>
              <w:tabs>
                <w:tab w:val="left" w:pos="408"/>
              </w:tabs>
              <w:jc w:val="both"/>
            </w:pPr>
            <w:r w:rsidRPr="00A639C4">
              <w:t>Realizacja przedmiotu zamówienia musi być zgodna z ofertą i SWZ, w szczególności:</w:t>
            </w:r>
            <w:r>
              <w:t xml:space="preserve"> </w:t>
            </w:r>
          </w:p>
          <w:p w:rsidR="007F4F66" w:rsidRPr="00A639C4" w:rsidRDefault="00D320EB" w:rsidP="007F4F66">
            <w:pPr>
              <w:pStyle w:val="Akapitzlist"/>
              <w:numPr>
                <w:ilvl w:val="0"/>
                <w:numId w:val="5"/>
              </w:numPr>
              <w:shd w:val="clear" w:color="auto" w:fill="FFFFFF" w:themeFill="background1"/>
              <w:tabs>
                <w:tab w:val="left" w:pos="408"/>
              </w:tabs>
              <w:jc w:val="both"/>
            </w:pPr>
            <w:r>
              <w:t>Programem Funkcjonalno – Użytkowym (PFU)</w:t>
            </w:r>
          </w:p>
          <w:p w:rsidR="007F4F66" w:rsidRPr="00A639C4" w:rsidRDefault="007F4F66" w:rsidP="007F4F66">
            <w:pPr>
              <w:pStyle w:val="Akapitzlist"/>
              <w:numPr>
                <w:ilvl w:val="0"/>
                <w:numId w:val="5"/>
              </w:numPr>
              <w:shd w:val="clear" w:color="auto" w:fill="FFFFFF" w:themeFill="background1"/>
              <w:tabs>
                <w:tab w:val="left" w:pos="408"/>
              </w:tabs>
              <w:jc w:val="both"/>
            </w:pPr>
            <w:r w:rsidRPr="00A639C4">
              <w:t>projektowanymi postanowieniami umowy w sprawie zamówienia publicznego</w:t>
            </w:r>
          </w:p>
          <w:p w:rsidR="007F4F66" w:rsidRPr="00A639C4" w:rsidRDefault="007F4F66" w:rsidP="007F4F66">
            <w:pPr>
              <w:numPr>
                <w:ilvl w:val="0"/>
                <w:numId w:val="4"/>
              </w:numPr>
              <w:shd w:val="clear" w:color="auto" w:fill="FFFFFF" w:themeFill="background1"/>
              <w:jc w:val="both"/>
            </w:pPr>
            <w:r w:rsidRPr="00A639C4">
              <w:t>Tabelą Elementów Rozliczeniowych (TER)</w:t>
            </w:r>
          </w:p>
          <w:p w:rsidR="007F4F66" w:rsidRPr="00A639C4" w:rsidRDefault="007F4F66" w:rsidP="0018153F">
            <w:pPr>
              <w:shd w:val="clear" w:color="auto" w:fill="FFFFFF" w:themeFill="background1"/>
              <w:ind w:left="300" w:hanging="300"/>
              <w:jc w:val="both"/>
            </w:pPr>
            <w:r w:rsidRPr="00A639C4">
              <w:t>lub innym stosownym dokumentem</w:t>
            </w:r>
          </w:p>
          <w:p w:rsidR="007F4F66" w:rsidRPr="00A639C4" w:rsidRDefault="007F4F66" w:rsidP="0018153F">
            <w:pPr>
              <w:shd w:val="clear" w:color="auto" w:fill="FFFFFF" w:themeFill="background1"/>
              <w:ind w:left="300" w:hanging="300"/>
              <w:jc w:val="both"/>
            </w:pPr>
          </w:p>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E34A9A" w:rsidRDefault="007F4F66" w:rsidP="0018153F">
            <w:pPr>
              <w:shd w:val="clear" w:color="auto" w:fill="FFFFFF" w:themeFill="background1"/>
              <w:tabs>
                <w:tab w:val="left" w:pos="408"/>
              </w:tabs>
              <w:spacing w:before="80"/>
              <w:jc w:val="both"/>
              <w:rPr>
                <w:b/>
              </w:rPr>
            </w:pPr>
            <w:r w:rsidRPr="00E34A9A">
              <w:rPr>
                <w:b/>
              </w:rPr>
              <w:t>Okres gwarancji i rękojmi za wady</w:t>
            </w:r>
            <w:r w:rsidR="00E34A9A">
              <w:rPr>
                <w:b/>
              </w:rPr>
              <w:t>: 24 miesiące</w:t>
            </w:r>
          </w:p>
          <w:p w:rsidR="007F4F66" w:rsidRPr="00A639C4" w:rsidRDefault="007F4F66" w:rsidP="00E34A9A">
            <w:pPr>
              <w:shd w:val="clear" w:color="auto" w:fill="FFFFFF" w:themeFill="background1"/>
              <w:tabs>
                <w:tab w:val="left" w:pos="408"/>
              </w:tabs>
              <w:jc w:val="both"/>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tabs>
                <w:tab w:val="left" w:pos="408"/>
              </w:tabs>
              <w:jc w:val="both"/>
              <w:rPr>
                <w:b/>
                <w:bCs/>
              </w:rPr>
            </w:pPr>
            <w:r w:rsidRPr="00A639C4">
              <w:rPr>
                <w:b/>
                <w:bCs/>
              </w:rPr>
              <w:t>Równoważność</w:t>
            </w:r>
          </w:p>
          <w:p w:rsidR="007F4F66" w:rsidRPr="00A639C4" w:rsidRDefault="007F4F66" w:rsidP="0018153F">
            <w:pPr>
              <w:shd w:val="clear" w:color="auto" w:fill="FFFFFF" w:themeFill="background1"/>
              <w:tabs>
                <w:tab w:val="left" w:pos="408"/>
              </w:tabs>
              <w:jc w:val="both"/>
            </w:pPr>
          </w:p>
          <w:p w:rsidR="007F4F66" w:rsidRPr="00A639C4" w:rsidRDefault="007F4F66" w:rsidP="0018153F">
            <w:pPr>
              <w:shd w:val="clear" w:color="auto" w:fill="FFFFFF" w:themeFill="background1"/>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br/>
            </w:r>
            <w:r w:rsidRPr="00A639C4">
              <w:t>w wyżej wymienionych dokumentach.</w:t>
            </w:r>
          </w:p>
          <w:p w:rsidR="007F4F66" w:rsidRPr="00A639C4" w:rsidRDefault="007F4F66" w:rsidP="0018153F">
            <w:pPr>
              <w:shd w:val="clear" w:color="auto" w:fill="FFFFFF" w:themeFill="background1"/>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 przywołanych</w:t>
            </w:r>
            <w:r w:rsidRPr="00A639C4">
              <w:rPr>
                <w:b/>
                <w:color w:val="000000"/>
              </w:rPr>
              <w:t xml:space="preserve"> w niniejszej SWZ wraz z załącznikami towarzyszy zwrot: „lub równoważne”.</w:t>
            </w:r>
          </w:p>
          <w:p w:rsidR="007F4F66" w:rsidRPr="00A639C4" w:rsidRDefault="007F4F66" w:rsidP="0018153F">
            <w:pPr>
              <w:shd w:val="clear" w:color="auto" w:fill="FFFFFF" w:themeFill="background1"/>
              <w:tabs>
                <w:tab w:val="left" w:pos="408"/>
              </w:tabs>
              <w:jc w:val="both"/>
              <w:rPr>
                <w:b/>
                <w:bCs/>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w:t>
            </w:r>
            <w:r>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Pr>
                <w:b/>
              </w:rPr>
              <w:t>3.1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jc w:val="both"/>
              <w:rPr>
                <w:b/>
                <w:bCs/>
              </w:rPr>
            </w:pPr>
            <w:r>
              <w:rPr>
                <w:b/>
                <w:bCs/>
              </w:rPr>
              <w:t>M</w:t>
            </w:r>
            <w:r w:rsidRPr="00265C7D">
              <w:rPr>
                <w:b/>
                <w:bCs/>
              </w:rPr>
              <w:t>ożliwość negocjacji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rsidR="007F4F66" w:rsidRDefault="007F4F66" w:rsidP="0018153F">
            <w:pPr>
              <w:shd w:val="clear" w:color="auto" w:fill="FFFFFF" w:themeFill="background1"/>
              <w:jc w:val="both"/>
            </w:pPr>
            <w:r>
              <w:t>Zamawiający przewiduje możliwość prowadzenia negocjacji w celu ulepszenia treści ofert, które podlegają ocenie w ramach kryteriów oceny ofert tj.:</w:t>
            </w:r>
          </w:p>
          <w:p w:rsidR="007F4F66" w:rsidRPr="0008181A" w:rsidRDefault="007F4F66" w:rsidP="00351705">
            <w:pPr>
              <w:pStyle w:val="Akapitzlist"/>
              <w:numPr>
                <w:ilvl w:val="0"/>
                <w:numId w:val="15"/>
              </w:numPr>
              <w:shd w:val="clear" w:color="auto" w:fill="FFFFFF" w:themeFill="background1"/>
              <w:spacing w:before="80" w:after="80"/>
              <w:jc w:val="both"/>
            </w:pPr>
            <w:r>
              <w:t xml:space="preserve">cena </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bookmarkStart w:id="2" w:name="_Hlk123634923"/>
            <w:r w:rsidRPr="00A639C4">
              <w:rPr>
                <w:b/>
              </w:rPr>
              <w:t>Pkt 3.8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jc w:val="both"/>
              <w:rPr>
                <w:b/>
                <w:bCs/>
              </w:rPr>
            </w:pPr>
            <w:r w:rsidRPr="00A639C4">
              <w:rPr>
                <w:b/>
                <w:bCs/>
              </w:rPr>
              <w:t>Prawo opcji</w:t>
            </w:r>
            <w:r w:rsidRPr="00A639C4">
              <w:rPr>
                <w:bCs/>
              </w:rPr>
              <w:t xml:space="preserve"> </w:t>
            </w:r>
            <w:r w:rsidRPr="00A639C4">
              <w:rPr>
                <w:b/>
                <w:bCs/>
              </w:rPr>
              <w:t>zgodnie z art. 441 ust.1 Pzp</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08181A" w:rsidRDefault="007F4F66" w:rsidP="0018153F">
            <w:pPr>
              <w:shd w:val="clear" w:color="auto" w:fill="FFFFFF" w:themeFill="background1"/>
              <w:jc w:val="both"/>
              <w:rPr>
                <w:b/>
                <w:bCs/>
              </w:rPr>
            </w:pPr>
            <w:r w:rsidRPr="00A639C4">
              <w:rPr>
                <w:color w:val="FF0000"/>
                <w:u w:val="single"/>
              </w:rPr>
              <w:t xml:space="preserve"> </w:t>
            </w:r>
          </w:p>
          <w:p w:rsidR="007F4F66" w:rsidRPr="00A639C4" w:rsidRDefault="007F4F66" w:rsidP="0018153F">
            <w:pPr>
              <w:shd w:val="clear" w:color="auto" w:fill="FFFFFF" w:themeFill="background1"/>
              <w:jc w:val="both"/>
            </w:pPr>
            <w:r w:rsidRPr="00A639C4">
              <w:t xml:space="preserve">Zamawiający </w:t>
            </w:r>
            <w:r w:rsidRPr="00A639C4">
              <w:rPr>
                <w:b/>
                <w:bCs/>
              </w:rPr>
              <w:t>nie przewiduje</w:t>
            </w:r>
            <w:r w:rsidRPr="00A639C4">
              <w:t xml:space="preserve"> możliwości skorzystania z „prawa opcji” </w:t>
            </w:r>
            <w:r>
              <w:br/>
            </w:r>
            <w:r w:rsidRPr="00A639C4">
              <w:t>tzn. dodatkowych robót budowlanych, dostaw i usług</w:t>
            </w:r>
            <w:r w:rsidRPr="00A639C4">
              <w:rPr>
                <w:u w:val="single"/>
              </w:rPr>
              <w:t xml:space="preserve"> </w:t>
            </w:r>
            <w:bookmarkStart w:id="3" w:name="_Hlk123634413"/>
          </w:p>
          <w:bookmarkEnd w:id="3"/>
          <w:p w:rsidR="007F4F66" w:rsidRPr="0008181A" w:rsidRDefault="007F4F66" w:rsidP="0008181A">
            <w:pPr>
              <w:widowControl/>
              <w:shd w:val="clear" w:color="auto" w:fill="FFFFFF" w:themeFill="background1"/>
              <w:autoSpaceDE/>
              <w:autoSpaceDN/>
              <w:adjustRightInd/>
              <w:contextualSpacing/>
              <w:jc w:val="both"/>
              <w:rPr>
                <w:b/>
                <w:bCs/>
              </w:rPr>
            </w:pPr>
          </w:p>
        </w:tc>
      </w:tr>
      <w:bookmarkEnd w:id="2"/>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360"/>
              <w:jc w:val="center"/>
              <w:rPr>
                <w:b/>
              </w:rPr>
            </w:pPr>
            <w:r w:rsidRPr="00A639C4">
              <w:rPr>
                <w:b/>
              </w:rPr>
              <w:t>Pkt 3.10 IDW</w:t>
            </w:r>
          </w:p>
        </w:tc>
        <w:tc>
          <w:tcPr>
            <w:tcW w:w="7796" w:type="dxa"/>
            <w:shd w:val="clear" w:color="auto" w:fill="FFFFFF" w:themeFill="background1"/>
          </w:tcPr>
          <w:p w:rsidR="007F4F66" w:rsidRPr="00A639C4" w:rsidRDefault="007F4F66" w:rsidP="0018153F">
            <w:pPr>
              <w:shd w:val="clear" w:color="auto" w:fill="FFFFFF" w:themeFill="background1"/>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bCs/>
              </w:rPr>
            </w:pPr>
            <w:r w:rsidRPr="00A639C4">
              <w:rPr>
                <w:b/>
                <w:bCs/>
              </w:rPr>
              <w:t>Szczegółowe wymagania o których mowa w art. 95 Pzp dotyczące realizacji zamówienia oraz egzekwowania wymogu zatrudnienia na podstawie stosunku pracy:</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rPr>
            </w:pPr>
            <w:r w:rsidRPr="00A639C4">
              <w:rPr>
                <w:b/>
              </w:rPr>
              <w:t xml:space="preserve">1) rodzaj czynności niezbędnych do realizacji zamówienia, których dotyczą wymagania zatrudnienia na podstawie stosunku pracy przez wykonawcę </w:t>
            </w:r>
            <w:r>
              <w:rPr>
                <w:b/>
              </w:rPr>
              <w:t xml:space="preserve">                     </w:t>
            </w:r>
            <w:r w:rsidRPr="00A639C4">
              <w:rPr>
                <w:b/>
              </w:rPr>
              <w:t>lub podwykonawcę osób wykonujących czynności w trakcie realizacji zamówienia;</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wymaga zatrudnienia na </w:t>
            </w:r>
            <w:r w:rsidRPr="00A639C4">
              <w:rPr>
                <w:bCs/>
              </w:rPr>
              <w:t>podstawie stosunku pracy</w:t>
            </w:r>
            <w:r w:rsidRPr="00A639C4">
              <w:t xml:space="preserve"> przez wykonawcę lub podwykonawcę osób </w:t>
            </w:r>
            <w:bookmarkStart w:id="4" w:name="_Hlk1632458"/>
            <w:r w:rsidRPr="00A639C4">
              <w:t>wykonujących czynności w trakcie realizacji zamówienia:</w:t>
            </w:r>
          </w:p>
          <w:bookmarkEnd w:id="4"/>
          <w:p w:rsidR="007F4F66" w:rsidRPr="0008181A" w:rsidRDefault="0008181A" w:rsidP="0018153F">
            <w:pPr>
              <w:shd w:val="clear" w:color="auto" w:fill="FFFFFF" w:themeFill="background1"/>
              <w:jc w:val="both"/>
              <w:rPr>
                <w:b/>
              </w:rPr>
            </w:pPr>
            <w:r>
              <w:rPr>
                <w:b/>
              </w:rPr>
              <w:t xml:space="preserve">- </w:t>
            </w:r>
            <w:r w:rsidR="007F4F66" w:rsidRPr="0008181A">
              <w:rPr>
                <w:b/>
              </w:rPr>
              <w:t xml:space="preserve">osób wykonujących wszystkie prace wchodzące w zakres robót wynikających                     z </w:t>
            </w:r>
            <w:r w:rsidRPr="0008181A">
              <w:rPr>
                <w:b/>
              </w:rPr>
              <w:t>PFU</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lastRenderedPageBreak/>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rsidR="007F4F66"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rPr>
                <w:b/>
              </w:rPr>
            </w:pPr>
            <w:r w:rsidRPr="00A639C4">
              <w:rPr>
                <w:b/>
              </w:rPr>
              <w:t>2) sposób weryfikacji zatrudnienia tych osób;</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rPr>
            </w:pPr>
            <w:r w:rsidRPr="00A639C4">
              <w:rPr>
                <w:b/>
              </w:rPr>
              <w:t>3) uprawnienia zamawiającego w zakresie kontroli spełniania przez wykonawcę wymagań związanych z zatrudnianiem tych osób oraz sankcji z tytułu niespełnienia tych wymagań.</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t>
            </w:r>
            <w:r>
              <w:t xml:space="preserve"> </w:t>
            </w:r>
            <w:r w:rsidRPr="0039128C">
              <w:t>określon</w:t>
            </w:r>
            <w:r>
              <w:t>ymi</w:t>
            </w:r>
            <w:r w:rsidRPr="0039128C">
              <w:t xml:space="preserve"> w projektowanych postanowieniach umownych.</w:t>
            </w:r>
          </w:p>
          <w:p w:rsidR="007F4F66" w:rsidRPr="00A639C4" w:rsidRDefault="007F4F66" w:rsidP="0018153F">
            <w:pPr>
              <w:shd w:val="clear" w:color="auto" w:fill="FFFFFF" w:themeFill="background1"/>
              <w:jc w:val="both"/>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lastRenderedPageBreak/>
              <w:t>Pkt 4.2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100" w:after="100"/>
              <w:rPr>
                <w:b/>
              </w:rPr>
            </w:pPr>
            <w:r w:rsidRPr="00A639C4">
              <w:rPr>
                <w:b/>
              </w:rPr>
              <w:t>Składanie ofert częściowych</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tabs>
                <w:tab w:val="left" w:pos="408"/>
              </w:tabs>
              <w:jc w:val="both"/>
              <w:rPr>
                <w:bCs/>
              </w:rPr>
            </w:pPr>
          </w:p>
          <w:p w:rsidR="007F4F66" w:rsidRPr="00A639C4" w:rsidRDefault="007F4F66" w:rsidP="0018153F">
            <w:pPr>
              <w:shd w:val="clear" w:color="auto" w:fill="FFFFFF" w:themeFill="background1"/>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rsidR="007F4F66" w:rsidRPr="00A639C4" w:rsidRDefault="007F4F66" w:rsidP="0018153F">
            <w:pPr>
              <w:shd w:val="clear" w:color="auto" w:fill="FFFFFF" w:themeFill="background1"/>
              <w:tabs>
                <w:tab w:val="left" w:pos="408"/>
              </w:tabs>
              <w:jc w:val="both"/>
              <w:rPr>
                <w:bCs/>
              </w:rPr>
            </w:pPr>
          </w:p>
          <w:p w:rsidR="007F4F66" w:rsidRPr="006F2F79" w:rsidRDefault="007F4F66" w:rsidP="0018153F">
            <w:pPr>
              <w:shd w:val="clear" w:color="auto" w:fill="FFFFFF" w:themeFill="background1"/>
              <w:tabs>
                <w:tab w:val="left" w:pos="16874"/>
                <w:tab w:val="left" w:pos="17157"/>
              </w:tabs>
              <w:jc w:val="both"/>
              <w:rPr>
                <w:rFonts w:cstheme="minorHAnsi"/>
              </w:rPr>
            </w:pPr>
            <w:r w:rsidRPr="006F2F79">
              <w:rPr>
                <w:rFonts w:cstheme="minorHAnsi"/>
              </w:rPr>
              <w:t xml:space="preserve">Przedmiot zamówienia nie został podzielony na części. </w:t>
            </w:r>
          </w:p>
          <w:p w:rsidR="007F4F66" w:rsidRPr="00436996" w:rsidRDefault="007F4F66" w:rsidP="0018153F">
            <w:pPr>
              <w:shd w:val="clear" w:color="auto" w:fill="FFFFFF" w:themeFill="background1"/>
              <w:ind w:firstLine="708"/>
              <w:jc w:val="both"/>
              <w:rPr>
                <w:rFonts w:cstheme="minorHAnsi"/>
                <w:color w:val="000000"/>
              </w:rPr>
            </w:pPr>
          </w:p>
          <w:p w:rsidR="007F4F66" w:rsidRPr="00436996" w:rsidRDefault="007F4F66" w:rsidP="0018153F">
            <w:pPr>
              <w:shd w:val="clear" w:color="auto" w:fill="FFFFFF" w:themeFill="background1"/>
              <w:jc w:val="both"/>
              <w:rPr>
                <w:rFonts w:cstheme="minorHAnsi"/>
                <w:color w:val="000000"/>
              </w:rPr>
            </w:pPr>
            <w:r>
              <w:rPr>
                <w:rFonts w:cstheme="minorHAnsi"/>
                <w:color w:val="000000"/>
              </w:rPr>
              <w:t xml:space="preserve">Zamawiający przed </w:t>
            </w:r>
            <w:r w:rsidRPr="00436996">
              <w:rPr>
                <w:rFonts w:cstheme="minorHAnsi"/>
                <w:color w:val="000000"/>
              </w:rPr>
              <w:t xml:space="preserve">ogłoszeniem </w:t>
            </w:r>
            <w:r>
              <w:rPr>
                <w:rFonts w:cstheme="minorHAnsi"/>
                <w:color w:val="000000"/>
              </w:rPr>
              <w:t>postępowania</w:t>
            </w:r>
            <w:r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Zamawiający wskazuje, że nie jest zobowiązany do dokonywania podziału zamówienia na części za wszelką cenę – tj. po to, żeby podziału dokonać, niezależnie od tego w jaki sposób i jaką metodologią. </w:t>
            </w:r>
          </w:p>
          <w:p w:rsidR="007F4F66" w:rsidRDefault="007F4F66" w:rsidP="0018153F">
            <w:pPr>
              <w:shd w:val="clear" w:color="auto" w:fill="FFFFFF" w:themeFill="background1"/>
              <w:jc w:val="both"/>
              <w:rPr>
                <w:rFonts w:cstheme="minorHAnsi"/>
                <w:color w:val="000000"/>
              </w:rPr>
            </w:pPr>
            <w:r w:rsidRPr="00436996">
              <w:rPr>
                <w:rFonts w:cstheme="minorHAnsi"/>
                <w:color w:val="000000"/>
              </w:rPr>
              <w:t xml:space="preserve">Przepisy ustawy </w:t>
            </w:r>
            <w:r>
              <w:t xml:space="preserve">Pzp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 wytłumaczyć obiektywnie podjętą przez siebie decyzję o sposobie udzielenia zamówienia.</w:t>
            </w:r>
          </w:p>
          <w:p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r>
              <w:rPr>
                <w:rFonts w:cstheme="minorHAnsi"/>
                <w:color w:val="000000"/>
              </w:rPr>
              <w:t xml:space="preserve">Pzp </w:t>
            </w:r>
            <w:r w:rsidRPr="00436996">
              <w:rPr>
                <w:rFonts w:cstheme="minorHAnsi"/>
                <w:color w:val="000000"/>
              </w:rPr>
              <w:t>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rsidR="007F4F66" w:rsidRDefault="007F4F66" w:rsidP="0018153F">
            <w:pPr>
              <w:shd w:val="clear" w:color="auto" w:fill="FFFFFF" w:themeFill="background1"/>
              <w:ind w:firstLine="708"/>
              <w:jc w:val="both"/>
              <w:rPr>
                <w:rFonts w:cstheme="minorHAnsi"/>
                <w:color w:val="000000"/>
              </w:rPr>
            </w:pPr>
            <w:r w:rsidRPr="00436996">
              <w:rPr>
                <w:rFonts w:cstheme="minorHAnsi"/>
                <w:color w:val="000000"/>
              </w:rPr>
              <w:lastRenderedPageBreak/>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uznał, że niedokonanie podziału przedmiotu zamówienia na części nie ma wpływu na konkurencyjność, nie utrudnia dostępu do zamówienia MŚP i jest determinowane specyfiką zamówienia ( okolicznościami danego przypadku), w szczególności rodzajem przedmiotu zamówienia, jego specyfiką, planowanym sposobem realizacji zamówienia i  jego zakresem. Zamówienie ma zwiększyć konkurencyjność ale nie kosztem interesów zamawiającego.</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Pr>
                <w:rFonts w:cstheme="minorHAnsi"/>
                <w:color w:val="000000"/>
              </w:rPr>
              <w:t>.</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 tym bardziej wygoda zamawiającego. W opinii Zamawiającego przyczyny niedokonania podziału nie są błahe oraz łatwe do usunięcia.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Istotne jest również to, że Zamawiający nie wyłączył z udziału w postępowaniu podmiotów działających wspólnie ani podwykonawstwa – w żaden sposób nie ogranicza to możliwości złożenia oferty </w:t>
            </w:r>
          </w:p>
          <w:p w:rsidR="007F4F66" w:rsidRPr="00A639C4" w:rsidRDefault="007F4F66" w:rsidP="0018153F">
            <w:pPr>
              <w:shd w:val="clear" w:color="auto" w:fill="FFFFFF" w:themeFill="background1"/>
              <w:jc w:val="both"/>
              <w:rPr>
                <w:bCs/>
              </w:rPr>
            </w:pPr>
            <w:r w:rsidRPr="00436996">
              <w:rPr>
                <w:rFonts w:cstheme="minorHAnsi"/>
                <w:color w:val="000000"/>
              </w:rPr>
              <w:t>W świetle powyższego, decyzja o tym, aby całość zamówienia została zrealizowana przez jednego wykonawcę była w pełni uzasadniona.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lastRenderedPageBreak/>
              <w:t>Pkt 4.4 IDW</w:t>
            </w: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spacing w:before="100" w:after="100"/>
              <w:rPr>
                <w:b/>
              </w:rPr>
            </w:pPr>
            <w:r w:rsidRPr="00A639C4">
              <w:rPr>
                <w:b/>
              </w:rPr>
              <w:t>Informacje dotyczące  zamówień o których mowa w art. 305 Pzp</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08181A">
            <w:pPr>
              <w:shd w:val="clear" w:color="auto" w:fill="FFFFFF" w:themeFill="background1"/>
              <w:jc w:val="both"/>
              <w:rPr>
                <w:bCs/>
              </w:rPr>
            </w:pPr>
          </w:p>
          <w:p w:rsidR="007F4F66" w:rsidRPr="00A639C4" w:rsidRDefault="007F4F66" w:rsidP="0018153F">
            <w:pPr>
              <w:shd w:val="clear" w:color="auto" w:fill="FFFFFF" w:themeFill="background1"/>
              <w:jc w:val="both"/>
            </w:pPr>
            <w:r w:rsidRPr="00A639C4">
              <w:rPr>
                <w:rFonts w:eastAsiaTheme="minorHAnsi"/>
                <w:lang w:eastAsia="en-US"/>
              </w:rPr>
              <w:lastRenderedPageBreak/>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Pzp</w:t>
            </w:r>
          </w:p>
          <w:p w:rsidR="007F4F66" w:rsidRPr="00A639C4" w:rsidRDefault="007F4F66" w:rsidP="00571F13">
            <w:pPr>
              <w:widowControl/>
              <w:shd w:val="clear" w:color="auto" w:fill="FFFFFF" w:themeFill="background1"/>
              <w:rPr>
                <w:bCs/>
              </w:rPr>
            </w:pPr>
          </w:p>
        </w:tc>
      </w:tr>
      <w:tr w:rsidR="007F4F66" w:rsidRPr="00A639C4" w:rsidTr="0018153F">
        <w:trPr>
          <w:trHeight w:val="164"/>
        </w:trPr>
        <w:tc>
          <w:tcPr>
            <w:tcW w:w="1384" w:type="dxa"/>
            <w:shd w:val="clear" w:color="auto" w:fill="FFFFFF" w:themeFill="background1"/>
          </w:tcPr>
          <w:p w:rsidR="007F4F66" w:rsidRPr="00A639C4" w:rsidRDefault="007F4F66" w:rsidP="0018153F">
            <w:pPr>
              <w:shd w:val="clear" w:color="auto" w:fill="FFFFFF" w:themeFill="background1"/>
              <w:spacing w:before="80" w:after="80"/>
              <w:jc w:val="center"/>
              <w:rPr>
                <w:b/>
              </w:rPr>
            </w:pPr>
            <w:r w:rsidRPr="00A639C4">
              <w:rPr>
                <w:b/>
              </w:rPr>
              <w:lastRenderedPageBreak/>
              <w:t>Pkt 5.1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rPr>
            </w:pPr>
            <w:r w:rsidRPr="00A639C4">
              <w:rPr>
                <w:b/>
              </w:rPr>
              <w:t>Wizja lokalna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rPr>
                <w:b/>
              </w:rPr>
            </w:pPr>
          </w:p>
          <w:p w:rsidR="007F4F66" w:rsidRPr="00A639C4" w:rsidRDefault="007F4F66" w:rsidP="0018153F">
            <w:pPr>
              <w:shd w:val="clear" w:color="auto" w:fill="FFFFFF" w:themeFill="background1"/>
              <w:rPr>
                <w:bCs/>
              </w:rPr>
            </w:pPr>
            <w:r w:rsidRPr="00A639C4">
              <w:rPr>
                <w:b/>
              </w:rPr>
              <w:t xml:space="preserve">Zamawiający </w:t>
            </w:r>
            <w:r w:rsidR="004D69B9" w:rsidRPr="004D69B9">
              <w:rPr>
                <w:b/>
                <w:u w:val="single"/>
              </w:rPr>
              <w:t xml:space="preserve">nie </w:t>
            </w:r>
            <w:r w:rsidRPr="004D69B9">
              <w:rPr>
                <w:b/>
                <w:u w:val="single"/>
              </w:rPr>
              <w:t>wymaga</w:t>
            </w:r>
            <w:r w:rsidRPr="00A639C4">
              <w:rPr>
                <w:b/>
              </w:rPr>
              <w:t xml:space="preserve"> złożenia oferty po odbyciu wizji lokalnej</w:t>
            </w:r>
            <w:r w:rsidRPr="00A639C4">
              <w:rPr>
                <w:bCs/>
              </w:rPr>
              <w:t>.</w:t>
            </w:r>
          </w:p>
          <w:p w:rsidR="007F4F66" w:rsidRPr="00A639C4" w:rsidRDefault="007F4F66" w:rsidP="0018153F">
            <w:pPr>
              <w:shd w:val="clear" w:color="auto" w:fill="FFFFFF" w:themeFill="background1"/>
              <w:spacing w:line="276" w:lineRule="auto"/>
              <w:jc w:val="both"/>
            </w:pPr>
          </w:p>
          <w:p w:rsidR="007F4F66" w:rsidRPr="00571F13" w:rsidRDefault="007F4F66" w:rsidP="00571F13">
            <w:pPr>
              <w:shd w:val="clear" w:color="auto" w:fill="FFFFFF" w:themeFill="background1"/>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t>6.2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rPr>
            </w:pPr>
            <w:r w:rsidRPr="00A639C4">
              <w:rPr>
                <w:b/>
              </w:rPr>
              <w:t>Obowiązek osobistego wykonania przez Wykonawcę kluczowych części zamówienia</w:t>
            </w:r>
          </w:p>
          <w:p w:rsidR="007F4F66" w:rsidRPr="00A639C4" w:rsidRDefault="007F4F66" w:rsidP="0018153F">
            <w:pPr>
              <w:shd w:val="clear" w:color="auto" w:fill="FFFFFF" w:themeFill="background1"/>
              <w:spacing w:before="80" w:after="80"/>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rsidR="007F4F66" w:rsidRPr="00571F13" w:rsidRDefault="007F4F66" w:rsidP="00571F13">
            <w:pPr>
              <w:pStyle w:val="arimr"/>
              <w:widowControl/>
              <w:shd w:val="clear" w:color="auto" w:fill="FFFFFF" w:themeFill="background1"/>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t>Pkt 7.1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Cs/>
              </w:rPr>
            </w:pPr>
            <w:r w:rsidRPr="00A639C4">
              <w:rPr>
                <w:b/>
              </w:rPr>
              <w:t>Termin wykonania zamówienia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rPr>
                <w:b/>
              </w:rPr>
            </w:pPr>
            <w:r w:rsidRPr="00A639C4">
              <w:rPr>
                <w:b/>
              </w:rPr>
              <w:t xml:space="preserve">Termin wykonania zamówienia: </w:t>
            </w:r>
            <w:r w:rsidR="00351705">
              <w:rPr>
                <w:b/>
              </w:rPr>
              <w:t>20</w:t>
            </w:r>
            <w:r w:rsidR="00885D2D">
              <w:rPr>
                <w:b/>
              </w:rPr>
              <w:t xml:space="preserve">.12.2024 r. – okresy realizacji został określony konkretną datą, ponieważ ze względu na dofinansowania zadanie musi zostać zakończone i rozliczone w 2024 roku. </w:t>
            </w:r>
          </w:p>
          <w:p w:rsidR="007F4F66" w:rsidRPr="00A639C4" w:rsidRDefault="007F4F66" w:rsidP="00885D2D">
            <w:pPr>
              <w:shd w:val="clear" w:color="auto" w:fill="FFFFFF" w:themeFill="background1"/>
              <w:jc w:val="both"/>
              <w:rPr>
                <w:bCs/>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t>Pkt 8.</w:t>
            </w:r>
            <w:r>
              <w:rPr>
                <w:b/>
              </w:rPr>
              <w:t>1</w:t>
            </w:r>
            <w:r w:rsidRPr="00A639C4">
              <w:rPr>
                <w:b/>
              </w:rPr>
              <w:t xml:space="preserve">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bCs/>
              </w:rPr>
            </w:pPr>
            <w:r w:rsidRPr="00A639C4">
              <w:rPr>
                <w:b/>
              </w:rPr>
              <w:t xml:space="preserve">Warunki udziału w postępowaniu o udzielenie zamówienia </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pStyle w:val="Teksttreci0"/>
              <w:shd w:val="clear" w:color="auto" w:fill="FFFFFF" w:themeFill="background1"/>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rsidR="007F4F66" w:rsidRPr="00A639C4" w:rsidRDefault="007F4F66" w:rsidP="007F4F66">
            <w:pPr>
              <w:pStyle w:val="Teksttreci0"/>
              <w:numPr>
                <w:ilvl w:val="0"/>
                <w:numId w:val="1"/>
              </w:numPr>
              <w:shd w:val="clear" w:color="auto" w:fill="FFFFFF" w:themeFill="background1"/>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7F4F66" w:rsidRPr="00A639C4" w:rsidRDefault="007F4F66" w:rsidP="00571F13">
            <w:pPr>
              <w:pStyle w:val="Teksttreci0"/>
              <w:shd w:val="clear" w:color="auto" w:fill="FFFFFF" w:themeFill="background1"/>
              <w:spacing w:line="240" w:lineRule="auto"/>
              <w:ind w:right="20" w:firstLine="0"/>
              <w:jc w:val="both"/>
              <w:rPr>
                <w:rFonts w:ascii="Arial" w:hAnsi="Arial" w:cs="Arial"/>
                <w:sz w:val="20"/>
                <w:szCs w:val="20"/>
              </w:rPr>
            </w:pPr>
          </w:p>
          <w:p w:rsidR="007F4F66" w:rsidRPr="003A2C67" w:rsidRDefault="007F4F66" w:rsidP="003A2C67">
            <w:pPr>
              <w:pStyle w:val="Teksttreci0"/>
              <w:numPr>
                <w:ilvl w:val="0"/>
                <w:numId w:val="1"/>
              </w:numPr>
              <w:shd w:val="clear" w:color="auto" w:fill="FFFFFF" w:themeFill="background1"/>
              <w:spacing w:line="240" w:lineRule="auto"/>
              <w:ind w:left="852" w:right="20" w:hanging="426"/>
              <w:jc w:val="both"/>
              <w:rPr>
                <w:rFonts w:ascii="Arial" w:hAnsi="Arial" w:cs="Arial"/>
                <w:sz w:val="20"/>
                <w:szCs w:val="20"/>
              </w:rPr>
            </w:pPr>
            <w:r w:rsidRPr="00A639C4">
              <w:rPr>
                <w:rFonts w:ascii="Arial" w:hAnsi="Arial" w:cs="Arial"/>
                <w:b/>
                <w:sz w:val="20"/>
                <w:szCs w:val="20"/>
              </w:rPr>
              <w:t>sytua</w:t>
            </w:r>
            <w:r w:rsidR="003A2C67">
              <w:rPr>
                <w:rFonts w:ascii="Arial" w:hAnsi="Arial" w:cs="Arial"/>
                <w:b/>
                <w:sz w:val="20"/>
                <w:szCs w:val="20"/>
              </w:rPr>
              <w:t>cji ekonomicznej lub finansowej:</w:t>
            </w:r>
          </w:p>
          <w:p w:rsidR="003A2C67" w:rsidRPr="003A2C67" w:rsidRDefault="003A2C67" w:rsidP="003A2C67">
            <w:pPr>
              <w:pStyle w:val="Teksttreci0"/>
              <w:shd w:val="clear" w:color="auto" w:fill="FFFFFF" w:themeFill="background1"/>
              <w:spacing w:line="240" w:lineRule="auto"/>
              <w:ind w:left="852" w:right="20" w:firstLine="0"/>
              <w:jc w:val="both"/>
              <w:rPr>
                <w:rFonts w:ascii="Arial" w:hAnsi="Arial" w:cs="Arial"/>
                <w:sz w:val="20"/>
                <w:szCs w:val="20"/>
              </w:rPr>
            </w:pP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b/>
                <w:sz w:val="20"/>
                <w:szCs w:val="20"/>
              </w:rPr>
            </w:pPr>
          </w:p>
          <w:p w:rsidR="007F4F66" w:rsidRPr="00A639C4" w:rsidRDefault="007F4F66" w:rsidP="0018153F">
            <w:pPr>
              <w:pStyle w:val="Teksttreci0"/>
              <w:shd w:val="clear" w:color="auto" w:fill="FFFFFF" w:themeFill="background1"/>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14405D" w:rsidRDefault="0014405D" w:rsidP="0014405D">
            <w:pPr>
              <w:widowControl/>
              <w:numPr>
                <w:ilvl w:val="0"/>
                <w:numId w:val="8"/>
              </w:numPr>
              <w:shd w:val="clear" w:color="auto" w:fill="FFFFFF" w:themeFill="background1"/>
              <w:tabs>
                <w:tab w:val="left" w:pos="300"/>
              </w:tabs>
              <w:ind w:left="300" w:hanging="300"/>
              <w:jc w:val="both"/>
              <w:rPr>
                <w:b/>
                <w:bCs/>
                <w:color w:val="000000"/>
              </w:rPr>
            </w:pPr>
            <w:r w:rsidRPr="00A639C4">
              <w:rPr>
                <w:b/>
                <w:bCs/>
                <w:color w:val="000000"/>
              </w:rPr>
              <w:t xml:space="preserve">Doświadczenie wykonawcy </w:t>
            </w:r>
          </w:p>
          <w:p w:rsidR="004D69B9" w:rsidRPr="00A639C4" w:rsidRDefault="004D69B9" w:rsidP="004D69B9">
            <w:pPr>
              <w:widowControl/>
              <w:shd w:val="clear" w:color="auto" w:fill="FFFFFF" w:themeFill="background1"/>
              <w:tabs>
                <w:tab w:val="left" w:pos="300"/>
              </w:tabs>
              <w:jc w:val="both"/>
              <w:rPr>
                <w:b/>
                <w:bCs/>
                <w:color w:val="000000"/>
              </w:rPr>
            </w:pPr>
          </w:p>
          <w:p w:rsidR="004D69B9" w:rsidRPr="00A639C4" w:rsidRDefault="004D69B9" w:rsidP="004D69B9">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14405D" w:rsidRPr="00A639C4" w:rsidRDefault="0014405D" w:rsidP="0014405D">
            <w:pPr>
              <w:shd w:val="clear" w:color="auto" w:fill="FFFFFF" w:themeFill="background1"/>
              <w:tabs>
                <w:tab w:val="left" w:pos="426"/>
              </w:tabs>
              <w:jc w:val="both"/>
              <w:rPr>
                <w:b/>
              </w:rPr>
            </w:pPr>
          </w:p>
          <w:p w:rsidR="0014405D" w:rsidRDefault="0014405D" w:rsidP="004D69B9">
            <w:pPr>
              <w:widowControl/>
              <w:shd w:val="clear" w:color="auto" w:fill="FFFFFF" w:themeFill="background1"/>
              <w:tabs>
                <w:tab w:val="right" w:pos="284"/>
                <w:tab w:val="left" w:pos="400"/>
              </w:tabs>
              <w:jc w:val="both"/>
              <w:rPr>
                <w:b/>
                <w:bCs/>
                <w:color w:val="000000"/>
              </w:rPr>
            </w:pPr>
          </w:p>
          <w:p w:rsidR="0014405D" w:rsidRDefault="0014405D" w:rsidP="0014405D">
            <w:pPr>
              <w:widowControl/>
              <w:shd w:val="clear" w:color="auto" w:fill="FFFFFF" w:themeFill="background1"/>
              <w:tabs>
                <w:tab w:val="right" w:pos="284"/>
                <w:tab w:val="left" w:pos="400"/>
              </w:tabs>
              <w:ind w:left="300"/>
              <w:jc w:val="both"/>
              <w:rPr>
                <w:b/>
                <w:bCs/>
                <w:color w:val="000000"/>
              </w:rPr>
            </w:pPr>
          </w:p>
          <w:p w:rsidR="007F4F66" w:rsidRPr="00A639C4" w:rsidRDefault="007F4F66" w:rsidP="007F4F66">
            <w:pPr>
              <w:widowControl/>
              <w:numPr>
                <w:ilvl w:val="0"/>
                <w:numId w:val="8"/>
              </w:numPr>
              <w:shd w:val="clear" w:color="auto" w:fill="FFFFFF" w:themeFill="background1"/>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rsidR="007F4F66" w:rsidRPr="00A639C4" w:rsidRDefault="007F4F66" w:rsidP="0018153F">
            <w:pPr>
              <w:pStyle w:val="ZLITPKTzmpktliter"/>
              <w:shd w:val="clear" w:color="auto" w:fill="FFFFFF" w:themeFill="background1"/>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Pr>
                <w:rFonts w:ascii="Arial" w:hAnsi="Arial"/>
                <w:color w:val="000000"/>
                <w:sz w:val="20"/>
              </w:rPr>
              <w:t xml:space="preserve">lub będzie dysponował </w:t>
            </w:r>
            <w:r w:rsidRPr="00A639C4">
              <w:rPr>
                <w:rFonts w:ascii="Arial" w:hAnsi="Arial"/>
                <w:color w:val="000000"/>
                <w:sz w:val="20"/>
              </w:rPr>
              <w:t>następującymi osobami:</w:t>
            </w:r>
          </w:p>
          <w:p w:rsidR="007F4F66" w:rsidRDefault="007F4F66" w:rsidP="0018153F">
            <w:pPr>
              <w:shd w:val="clear" w:color="auto" w:fill="FFFFFF" w:themeFill="background1"/>
              <w:jc w:val="both"/>
              <w:rPr>
                <w:b/>
                <w:color w:val="000000"/>
              </w:rPr>
            </w:pPr>
          </w:p>
          <w:p w:rsidR="007F4F66" w:rsidRDefault="007F4F66" w:rsidP="0018153F">
            <w:pPr>
              <w:shd w:val="clear" w:color="auto" w:fill="FFFFFF" w:themeFill="background1"/>
              <w:jc w:val="both"/>
              <w:rPr>
                <w:b/>
                <w:color w:val="000000"/>
              </w:rPr>
            </w:pPr>
          </w:p>
          <w:p w:rsidR="007F4F66" w:rsidRPr="00B33E43" w:rsidRDefault="007F4F66" w:rsidP="0018153F">
            <w:pPr>
              <w:shd w:val="clear" w:color="auto" w:fill="FFFFFF" w:themeFill="background1"/>
              <w:jc w:val="both"/>
              <w:rPr>
                <w:b/>
                <w:u w:val="single"/>
              </w:rPr>
            </w:pPr>
            <w:r w:rsidRPr="00B33E43">
              <w:rPr>
                <w:b/>
                <w:u w:val="single"/>
              </w:rPr>
              <w:t>Kierownik budowy – 1 osoba</w:t>
            </w:r>
          </w:p>
          <w:p w:rsidR="007F4F66" w:rsidRPr="00ED619C" w:rsidRDefault="007F4F66" w:rsidP="0018153F">
            <w:pPr>
              <w:shd w:val="clear" w:color="auto" w:fill="FFFFFF" w:themeFill="background1"/>
              <w:jc w:val="both"/>
              <w:rPr>
                <w:b/>
                <w:sz w:val="16"/>
                <w:szCs w:val="16"/>
                <w:u w:val="single"/>
              </w:rPr>
            </w:pPr>
          </w:p>
          <w:p w:rsidR="007F4F66" w:rsidRPr="00A639C4" w:rsidRDefault="007F4F66" w:rsidP="0018153F">
            <w:pPr>
              <w:shd w:val="clear" w:color="auto" w:fill="FFFFFF" w:themeFill="background1"/>
              <w:ind w:left="284"/>
              <w:jc w:val="both"/>
              <w:rPr>
                <w:b/>
                <w:color w:val="000000"/>
              </w:rPr>
            </w:pPr>
            <w:r w:rsidRPr="00A639C4">
              <w:rPr>
                <w:b/>
                <w:color w:val="000000"/>
              </w:rPr>
              <w:t>Kwalifikacje:</w:t>
            </w:r>
          </w:p>
          <w:p w:rsidR="007F4F66" w:rsidRPr="00A639C4" w:rsidRDefault="007F4F66" w:rsidP="0018153F">
            <w:pPr>
              <w:shd w:val="clear" w:color="auto" w:fill="FFFFFF" w:themeFill="background1"/>
              <w:ind w:left="284"/>
              <w:jc w:val="both"/>
              <w:rPr>
                <w:color w:val="000000"/>
              </w:rPr>
            </w:pPr>
            <w:r w:rsidRPr="00A639C4">
              <w:rPr>
                <w:color w:val="000000"/>
              </w:rPr>
              <w:t xml:space="preserve">Osoba ta musi posiadać </w:t>
            </w:r>
            <w:r w:rsidRPr="00AD019C">
              <w:rPr>
                <w:b/>
                <w:color w:val="000000"/>
                <w:u w:val="single"/>
              </w:rPr>
              <w:t xml:space="preserve">uprawnienia budowlane </w:t>
            </w:r>
            <w:r w:rsidRPr="00AD019C">
              <w:rPr>
                <w:b/>
                <w:spacing w:val="-6"/>
                <w:u w:val="single"/>
              </w:rPr>
              <w:t xml:space="preserve">w specjalności konstrukcyjno – </w:t>
            </w:r>
            <w:r w:rsidRPr="00AD019C">
              <w:rPr>
                <w:b/>
                <w:spacing w:val="-6"/>
                <w:u w:val="single"/>
              </w:rPr>
              <w:lastRenderedPageBreak/>
              <w:t>budowlanej</w:t>
            </w:r>
            <w:r w:rsidRPr="00A639C4">
              <w:rPr>
                <w:spacing w:val="-6"/>
              </w:rPr>
              <w:t xml:space="preserve"> </w:t>
            </w:r>
            <w:r w:rsidRPr="00A639C4">
              <w:rPr>
                <w:color w:val="000000"/>
              </w:rPr>
              <w:t xml:space="preserve">wydane zgodnie z ustawą z dnia 07 lipca 1994r. Prawo budowlane oraz </w:t>
            </w:r>
            <w:r>
              <w:t>Rozporządzeniem</w:t>
            </w:r>
            <w:r>
              <w:rPr>
                <w:color w:val="000000"/>
              </w:rPr>
              <w:t xml:space="preserve"> </w:t>
            </w:r>
            <w:r w:rsidRPr="005E726D">
              <w:rPr>
                <w:color w:val="000000"/>
              </w:rPr>
              <w:t xml:space="preserve">Ministra Inwestycji </w:t>
            </w:r>
            <w:r>
              <w:rPr>
                <w:color w:val="000000"/>
              </w:rPr>
              <w:t>i</w:t>
            </w:r>
            <w:r w:rsidRPr="005E726D">
              <w:rPr>
                <w:color w:val="000000"/>
              </w:rPr>
              <w:t xml:space="preserve"> Rozwoju</w:t>
            </w:r>
            <w:r>
              <w:rPr>
                <w:color w:val="000000"/>
              </w:rPr>
              <w:t xml:space="preserve"> </w:t>
            </w:r>
            <w:r w:rsidRPr="005E726D">
              <w:rPr>
                <w:color w:val="000000"/>
              </w:rPr>
              <w:t>z dnia 29 kwietnia 2019 r</w:t>
            </w:r>
            <w:r>
              <w:rPr>
                <w:color w:val="000000"/>
              </w:rPr>
              <w:t xml:space="preserve"> </w:t>
            </w:r>
            <w:r w:rsidRPr="005E726D">
              <w:rPr>
                <w:color w:val="000000"/>
              </w:rPr>
              <w:t xml:space="preserve">.w sprawie przygotowania zawodowego do wykonywania samodzielnych funkcji technicznych w budownictwie </w:t>
            </w:r>
            <w:r w:rsidRPr="00A639C4">
              <w:rPr>
                <w:color w:val="000000"/>
              </w:rPr>
              <w:t>albo odpowiadające im ważne uprawnienia budowlane, które zostały wydanej na podstawie wcześniej obowiązujących przepisów, które pozwalać będą na pełnienie przedmiotowej funkcji w zakresie objętym umową;</w:t>
            </w:r>
          </w:p>
          <w:p w:rsidR="007F4F66" w:rsidRPr="00A639C4" w:rsidRDefault="007F4F66" w:rsidP="0018153F">
            <w:pPr>
              <w:shd w:val="clear" w:color="auto" w:fill="FFFFFF" w:themeFill="background1"/>
              <w:ind w:left="284"/>
              <w:jc w:val="both"/>
              <w:rPr>
                <w:color w:val="000000"/>
              </w:rPr>
            </w:pPr>
          </w:p>
          <w:p w:rsidR="007F4F66" w:rsidRPr="00A639C4" w:rsidRDefault="007F4F66" w:rsidP="0018153F">
            <w:pPr>
              <w:shd w:val="clear" w:color="auto" w:fill="FFFFFF" w:themeFill="background1"/>
              <w:ind w:left="284"/>
              <w:jc w:val="both"/>
              <w:rPr>
                <w:color w:val="000000"/>
              </w:rPr>
            </w:pPr>
            <w:r w:rsidRPr="00A639C4">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rsidR="007F4F66" w:rsidRDefault="007F4F66" w:rsidP="0018153F">
            <w:pPr>
              <w:shd w:val="clear" w:color="auto" w:fill="FFFFFF" w:themeFill="background1"/>
              <w:jc w:val="both"/>
              <w:rPr>
                <w:b/>
                <w:color w:val="000000"/>
              </w:rPr>
            </w:pPr>
          </w:p>
          <w:p w:rsidR="007F4F66" w:rsidRPr="00C27AA5" w:rsidRDefault="007F4F66" w:rsidP="0018153F">
            <w:pPr>
              <w:shd w:val="clear" w:color="auto" w:fill="FFFFFF" w:themeFill="background1"/>
              <w:contextualSpacing/>
              <w:jc w:val="both"/>
              <w:rPr>
                <w:bCs/>
              </w:rPr>
            </w:pPr>
          </w:p>
          <w:p w:rsidR="007F4F66" w:rsidRDefault="007F4F66" w:rsidP="007F4F66">
            <w:pPr>
              <w:pStyle w:val="Akapitzlist"/>
              <w:numPr>
                <w:ilvl w:val="0"/>
                <w:numId w:val="16"/>
              </w:numPr>
              <w:shd w:val="clear" w:color="auto" w:fill="FFFFFF" w:themeFill="background1"/>
              <w:jc w:val="both"/>
              <w:rPr>
                <w:bCs/>
              </w:rPr>
            </w:pPr>
            <w:r w:rsidRPr="008974A1">
              <w:rPr>
                <w:bCs/>
              </w:rPr>
              <w:t>„budowa”</w:t>
            </w:r>
          </w:p>
          <w:p w:rsidR="007F4F66" w:rsidRDefault="007F4F66" w:rsidP="007F4F66">
            <w:pPr>
              <w:pStyle w:val="Akapitzlist"/>
              <w:numPr>
                <w:ilvl w:val="0"/>
                <w:numId w:val="16"/>
              </w:numPr>
              <w:shd w:val="clear" w:color="auto" w:fill="FFFFFF" w:themeFill="background1"/>
              <w:jc w:val="both"/>
              <w:rPr>
                <w:bCs/>
              </w:rPr>
            </w:pPr>
            <w:r w:rsidRPr="008974A1">
              <w:rPr>
                <w:bCs/>
              </w:rPr>
              <w:t>„rozbudowa</w:t>
            </w:r>
            <w:r>
              <w:rPr>
                <w:bCs/>
              </w:rPr>
              <w:t>”</w:t>
            </w:r>
          </w:p>
          <w:p w:rsidR="007F4F66" w:rsidRDefault="007F4F66" w:rsidP="007F4F66">
            <w:pPr>
              <w:pStyle w:val="Akapitzlist"/>
              <w:numPr>
                <w:ilvl w:val="0"/>
                <w:numId w:val="16"/>
              </w:numPr>
              <w:shd w:val="clear" w:color="auto" w:fill="FFFFFF" w:themeFill="background1"/>
              <w:jc w:val="both"/>
              <w:rPr>
                <w:bCs/>
              </w:rPr>
            </w:pPr>
            <w:r w:rsidRPr="008974A1">
              <w:rPr>
                <w:bCs/>
              </w:rPr>
              <w:t>„przebudowa”</w:t>
            </w:r>
          </w:p>
          <w:p w:rsidR="007F4F66" w:rsidRDefault="007F4F66" w:rsidP="0018153F">
            <w:pPr>
              <w:shd w:val="clear" w:color="auto" w:fill="FFFFFF" w:themeFill="background1"/>
              <w:jc w:val="both"/>
              <w:rPr>
                <w:bCs/>
              </w:rPr>
            </w:pPr>
          </w:p>
          <w:p w:rsidR="007F4F66" w:rsidRPr="00C27AA5" w:rsidRDefault="007F4F66" w:rsidP="0018153F">
            <w:pPr>
              <w:shd w:val="clear" w:color="auto" w:fill="FFFFFF" w:themeFill="background1"/>
              <w:jc w:val="both"/>
              <w:rPr>
                <w:bCs/>
              </w:rPr>
            </w:pPr>
            <w:r w:rsidRPr="00C27AA5">
              <w:rPr>
                <w:bCs/>
              </w:rPr>
              <w:t>Zamawiający rozumie definicje zgodne z określonymi w „Ustawie Prawo budowlane”.</w:t>
            </w:r>
          </w:p>
          <w:p w:rsidR="007F4F66" w:rsidRPr="00C27AA5" w:rsidRDefault="007F4F66" w:rsidP="0018153F">
            <w:pPr>
              <w:shd w:val="clear" w:color="auto" w:fill="FFFFFF" w:themeFill="background1"/>
              <w:jc w:val="both"/>
              <w:rPr>
                <w:bCs/>
              </w:rPr>
            </w:pPr>
          </w:p>
          <w:p w:rsidR="007F4F66" w:rsidRPr="00274225" w:rsidRDefault="007F4F66" w:rsidP="0018153F">
            <w:pPr>
              <w:shd w:val="clear" w:color="auto" w:fill="FFFFFF" w:themeFill="background1"/>
              <w:spacing w:line="276" w:lineRule="auto"/>
              <w:ind w:right="3"/>
              <w:jc w:val="both"/>
              <w:rPr>
                <w:color w:val="000000"/>
              </w:rPr>
            </w:pPr>
          </w:p>
          <w:p w:rsidR="007F4F66" w:rsidRPr="00C27AA5" w:rsidRDefault="007F4F66" w:rsidP="0018153F">
            <w:pPr>
              <w:shd w:val="clear" w:color="auto" w:fill="FFFFFF" w:themeFill="background1"/>
              <w:jc w:val="both"/>
              <w:rPr>
                <w:bCs/>
              </w:rPr>
            </w:pPr>
            <w:r w:rsidRPr="00C27AA5">
              <w:rPr>
                <w:bCs/>
              </w:rPr>
              <w:t>Poprzez sformułowanie:</w:t>
            </w:r>
          </w:p>
          <w:p w:rsidR="007F4F66" w:rsidRDefault="007F4F66" w:rsidP="0018153F">
            <w:pPr>
              <w:pStyle w:val="Akapitzlist"/>
              <w:shd w:val="clear" w:color="auto" w:fill="FFFFFF" w:themeFill="background1"/>
              <w:spacing w:line="276" w:lineRule="auto"/>
              <w:ind w:left="720" w:right="3"/>
              <w:jc w:val="both"/>
              <w:rPr>
                <w:color w:val="000000"/>
              </w:rPr>
            </w:pPr>
            <w:r>
              <w:t>- „powierzchnia zabudowy”</w:t>
            </w:r>
          </w:p>
          <w:p w:rsidR="007F4F66" w:rsidRDefault="007F4F66" w:rsidP="0018153F">
            <w:pPr>
              <w:shd w:val="clear" w:color="auto" w:fill="FFFFFF" w:themeFill="background1"/>
              <w:spacing w:after="120" w:line="276" w:lineRule="auto"/>
              <w:jc w:val="both"/>
            </w:pPr>
            <w:r w:rsidRPr="00C27AA5">
              <w:rPr>
                <w:bCs/>
              </w:rPr>
              <w:t xml:space="preserve">Zamawiający rozumie </w:t>
            </w:r>
            <w:r>
              <w:t>powierzchnię wyznaczoną przez rzut pionowy zewnętrznych krawędzi budynku na powierzchnię terenu.</w:t>
            </w:r>
          </w:p>
          <w:p w:rsidR="007F4F66" w:rsidRPr="00C27AA5" w:rsidRDefault="007F4F66" w:rsidP="0018153F">
            <w:pPr>
              <w:shd w:val="clear" w:color="auto" w:fill="FFFFFF" w:themeFill="background1"/>
              <w:jc w:val="both"/>
              <w:rPr>
                <w:bCs/>
              </w:rPr>
            </w:pPr>
          </w:p>
          <w:p w:rsidR="007F4F66" w:rsidRPr="00C27AA5" w:rsidRDefault="007F4F66" w:rsidP="0018153F">
            <w:pPr>
              <w:shd w:val="clear" w:color="auto" w:fill="FFFFFF" w:themeFill="background1"/>
              <w:jc w:val="both"/>
              <w:rPr>
                <w:bCs/>
              </w:rPr>
            </w:pPr>
            <w:r w:rsidRPr="00C27AA5">
              <w:rPr>
                <w:bCs/>
              </w:rPr>
              <w:t>Poprzez sformułowanie:</w:t>
            </w:r>
          </w:p>
          <w:p w:rsidR="007F4F66" w:rsidRDefault="007F4F66" w:rsidP="0018153F">
            <w:pPr>
              <w:shd w:val="clear" w:color="auto" w:fill="FFFFFF" w:themeFill="background1"/>
              <w:spacing w:after="120" w:line="276" w:lineRule="auto"/>
              <w:ind w:left="354"/>
              <w:jc w:val="both"/>
            </w:pPr>
            <w:r>
              <w:t xml:space="preserve"> - „budynek” </w:t>
            </w:r>
          </w:p>
          <w:p w:rsidR="007F4F66" w:rsidRPr="00571F13" w:rsidRDefault="007F4F66" w:rsidP="00571F13">
            <w:pPr>
              <w:shd w:val="clear" w:color="auto" w:fill="FFFFFF" w:themeFill="background1"/>
              <w:spacing w:after="120" w:line="276" w:lineRule="auto"/>
              <w:jc w:val="both"/>
            </w:pPr>
            <w:r w:rsidRPr="00C27AA5">
              <w:rPr>
                <w:bCs/>
              </w:rPr>
              <w:t xml:space="preserve">Zamawiający rozumie </w:t>
            </w:r>
            <w:r>
              <w:t>taki obiekt budowlany, który jest trwale związany z gruntem, wydzielony z przestrzeni za pomocą przegród budowlanych oraz posiada fundamenty i dach.</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280"/>
              <w:jc w:val="center"/>
              <w:rPr>
                <w:b/>
              </w:rPr>
            </w:pPr>
            <w:r w:rsidRPr="00A639C4">
              <w:rPr>
                <w:b/>
              </w:rPr>
              <w:lastRenderedPageBreak/>
              <w:t>Pkt 10.</w:t>
            </w:r>
            <w:r>
              <w:rPr>
                <w:b/>
              </w:rPr>
              <w:t>2</w:t>
            </w:r>
            <w:r w:rsidRPr="00A639C4">
              <w:rPr>
                <w:b/>
              </w:rPr>
              <w:t xml:space="preserve"> IDW</w:t>
            </w:r>
          </w:p>
        </w:tc>
        <w:tc>
          <w:tcPr>
            <w:tcW w:w="7796" w:type="dxa"/>
            <w:shd w:val="clear" w:color="auto" w:fill="FFFFFF" w:themeFill="background1"/>
          </w:tcPr>
          <w:p w:rsidR="007F4F66" w:rsidRPr="00A639C4" w:rsidRDefault="007F4F66" w:rsidP="0018153F">
            <w:pPr>
              <w:shd w:val="clear" w:color="auto" w:fill="FFFFFF" w:themeFill="background1"/>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Na podstawie art. 125 ust. 1 Pzp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rsidR="007F4F66" w:rsidRPr="00A639C4" w:rsidRDefault="007F4F66" w:rsidP="0018153F">
            <w:pPr>
              <w:widowControl/>
              <w:shd w:val="clear" w:color="auto" w:fill="FFFFFF" w:themeFill="background1"/>
              <w:autoSpaceDE/>
              <w:autoSpaceDN/>
              <w:adjustRightInd/>
              <w:spacing w:before="240"/>
              <w:jc w:val="both"/>
            </w:pPr>
            <w:r w:rsidRPr="00A639C4">
              <w:t>- aktualne na dzień składania ofert oświadczenie o spełnianiu warunków udziału w postępowaniu oraz o braku podstaw do wykluczenia z postępowania (art. 125 ust. 1 Pzp)</w:t>
            </w:r>
            <w:r w:rsidR="00571F13">
              <w:t xml:space="preserve"> </w:t>
            </w:r>
            <w:r w:rsidRPr="00A639C4">
              <w:t xml:space="preserve">– zgodnie z </w:t>
            </w:r>
            <w:r w:rsidRPr="00A639C4">
              <w:rPr>
                <w:b/>
              </w:rPr>
              <w:t>Załącznikiem do SWZ.</w:t>
            </w:r>
          </w:p>
          <w:p w:rsidR="007F4F66" w:rsidRPr="00A639C4" w:rsidRDefault="007F4F66" w:rsidP="0018153F">
            <w:pPr>
              <w:shd w:val="clear" w:color="auto" w:fill="FFFFFF" w:themeFill="background1"/>
              <w:jc w:val="both"/>
            </w:pPr>
          </w:p>
          <w:p w:rsidR="00AF25E3" w:rsidRPr="004D69B9" w:rsidRDefault="007F4F66" w:rsidP="004D69B9">
            <w:pPr>
              <w:shd w:val="clear" w:color="auto" w:fill="FFFFFF" w:themeFill="background1"/>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rsidR="007F4F66" w:rsidRPr="00A639C4" w:rsidRDefault="007F4F66" w:rsidP="007F4F66">
            <w:pPr>
              <w:pStyle w:val="Akapitzlist"/>
              <w:widowControl/>
              <w:numPr>
                <w:ilvl w:val="0"/>
                <w:numId w:val="6"/>
              </w:numPr>
              <w:shd w:val="clear" w:color="auto" w:fill="FFFFFF" w:themeFill="background1"/>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w:t>
            </w:r>
            <w:r w:rsidR="00571F13">
              <w:t xml:space="preserve">nie robotami budowlanymi, wraz </w:t>
            </w:r>
            <w:r w:rsidRPr="00A639C4">
              <w:t>z informacjami na temat ich kwalifikacji zawodowych, uprawnień, doświadczenia i wykształcenia niezbędnych do wykonania zamówienia publicznego, a także zakresu wykonywanych przez nie czynności oraz informacją o podstawie do dysponowania tymi osobami</w:t>
            </w:r>
          </w:p>
          <w:p w:rsidR="007F4F66" w:rsidRPr="00A639C4" w:rsidRDefault="007F4F66" w:rsidP="0018153F">
            <w:pPr>
              <w:shd w:val="clear" w:color="auto" w:fill="FFFFFF" w:themeFill="background1"/>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r>
              <w:rPr>
                <w:b/>
              </w:rPr>
              <w:lastRenderedPageBreak/>
              <w:t>Pkt 9.2</w:t>
            </w:r>
          </w:p>
        </w:tc>
        <w:tc>
          <w:tcPr>
            <w:tcW w:w="7796" w:type="dxa"/>
            <w:shd w:val="clear" w:color="auto" w:fill="FFFFFF" w:themeFill="background1"/>
          </w:tcPr>
          <w:p w:rsidR="007F4F66" w:rsidRPr="00A639C4" w:rsidRDefault="007F4F66" w:rsidP="0018153F">
            <w:pPr>
              <w:shd w:val="clear" w:color="auto" w:fill="FFFFFF" w:themeFill="background1"/>
              <w:spacing w:before="40" w:after="40"/>
              <w:rPr>
                <w:b/>
              </w:rPr>
            </w:pPr>
            <w:r>
              <w:rPr>
                <w:b/>
              </w:rPr>
              <w:t>Fakultatywne p</w:t>
            </w:r>
            <w:r w:rsidRPr="00B44348">
              <w:rPr>
                <w:b/>
              </w:rPr>
              <w:t>odstawy wykluczenia z postępowania</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p>
        </w:tc>
        <w:tc>
          <w:tcPr>
            <w:tcW w:w="7796" w:type="dxa"/>
            <w:shd w:val="clear" w:color="auto" w:fill="FFFFFF" w:themeFill="background1"/>
          </w:tcPr>
          <w:p w:rsidR="007F4F66" w:rsidRDefault="007F4F66" w:rsidP="0018153F">
            <w:pPr>
              <w:pStyle w:val="Teksttreci0"/>
              <w:shd w:val="clear" w:color="auto" w:fill="FFFFFF" w:themeFill="background1"/>
              <w:spacing w:before="80" w:line="240" w:lineRule="auto"/>
              <w:ind w:firstLine="0"/>
              <w:jc w:val="both"/>
              <w:rPr>
                <w:rFonts w:ascii="Arial" w:hAnsi="Arial" w:cs="Arial"/>
                <w:sz w:val="20"/>
                <w:highlight w:val="red"/>
              </w:rPr>
            </w:pPr>
          </w:p>
          <w:p w:rsidR="007F4F66" w:rsidRPr="00571F13" w:rsidRDefault="007F4F66" w:rsidP="0018153F">
            <w:pPr>
              <w:pStyle w:val="Teksttreci0"/>
              <w:shd w:val="clear" w:color="auto" w:fill="FFFFFF" w:themeFill="background1"/>
              <w:spacing w:before="8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r w:rsidRPr="00A639C4">
              <w:rPr>
                <w:b/>
              </w:rPr>
              <w:t>Pkt 11.1 IDW</w:t>
            </w:r>
          </w:p>
        </w:tc>
        <w:tc>
          <w:tcPr>
            <w:tcW w:w="7796" w:type="dxa"/>
            <w:shd w:val="clear" w:color="auto" w:fill="FFFFFF" w:themeFill="background1"/>
          </w:tcPr>
          <w:p w:rsidR="007F4F66" w:rsidRPr="00A639C4" w:rsidRDefault="007F4F66" w:rsidP="0018153F">
            <w:pPr>
              <w:shd w:val="clear" w:color="auto" w:fill="FFFFFF" w:themeFill="background1"/>
              <w:spacing w:before="40" w:after="40"/>
              <w:rPr>
                <w:b/>
                <w:bCs/>
                <w:color w:val="000000"/>
              </w:rPr>
            </w:pPr>
            <w:r w:rsidRPr="00A639C4">
              <w:rPr>
                <w:b/>
              </w:rPr>
              <w:t>Przedmiotowe środki dowodowe</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w:t>
            </w:r>
            <w:r w:rsidRPr="00A639C4">
              <w:rPr>
                <w:b/>
                <w:u w:val="single"/>
              </w:rPr>
              <w:t>nie przewiduje</w:t>
            </w:r>
            <w:r w:rsidRPr="00A639C4">
              <w:t xml:space="preserve"> wprowadzenia przedmiotowych środków dowodowych  </w:t>
            </w:r>
          </w:p>
          <w:p w:rsidR="007F4F66" w:rsidRPr="00A639C4" w:rsidRDefault="007F4F66" w:rsidP="00571F13">
            <w:pPr>
              <w:shd w:val="clear" w:color="auto" w:fill="FFFFFF" w:themeFill="background1"/>
              <w:spacing w:after="200" w:line="276" w:lineRule="auto"/>
              <w:contextualSpacing/>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20" w:after="60"/>
              <w:jc w:val="center"/>
              <w:rPr>
                <w:b/>
              </w:rPr>
            </w:pPr>
            <w:r w:rsidRPr="00A639C4">
              <w:rPr>
                <w:b/>
              </w:rPr>
              <w:t>Pkt 15.6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rPr>
              <w:t>Opis sposobu przygotowania ofert oraz wymagania formalne dotyczące składanych oświadczeń i dokumentów</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rPr>
                <w:b/>
                <w:color w:val="000000"/>
                <w:u w:val="single"/>
              </w:rPr>
            </w:pPr>
            <w:r w:rsidRPr="00A639C4">
              <w:rPr>
                <w:b/>
                <w:color w:val="000000"/>
                <w:u w:val="single"/>
              </w:rPr>
              <w:t>Wykonawca wraz z ofertą jest zobowiązany złożyć:</w:t>
            </w:r>
          </w:p>
          <w:p w:rsidR="007F4F66" w:rsidRPr="00A639C4" w:rsidRDefault="007F4F66" w:rsidP="0018153F">
            <w:pPr>
              <w:shd w:val="clear" w:color="auto" w:fill="FFFFFF" w:themeFill="background1"/>
              <w:jc w:val="both"/>
              <w:rPr>
                <w:color w:val="000000"/>
              </w:rPr>
            </w:pP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oświadczenie o niepodleganiu wykluczeniu </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oświadczenie o spełnianiu warunków udziału w postępowaniu (o którym mowa w art. 125 ust. 1 Pzp);</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tabela elementów rozliczeniowych, </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zobowiązanie innego podmiotu, o którym mowa w SWZ (jeżeli dotyczy);</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dokumenty, z których wynika prawo do podpisania oferty; odpowiednie pełnomocnictwa (jeżeli dotyczy). </w:t>
            </w:r>
          </w:p>
          <w:p w:rsidR="007F4F66" w:rsidRPr="004D69B9" w:rsidRDefault="007F4F66" w:rsidP="004D69B9">
            <w:pPr>
              <w:pStyle w:val="Akapitzlist"/>
              <w:numPr>
                <w:ilvl w:val="0"/>
                <w:numId w:val="7"/>
              </w:numPr>
              <w:shd w:val="clear" w:color="auto" w:fill="FFFFFF" w:themeFill="background1"/>
              <w:jc w:val="both"/>
              <w:rPr>
                <w:color w:val="000000"/>
              </w:rPr>
            </w:pPr>
            <w:r w:rsidRPr="00A639C4">
              <w:rPr>
                <w:color w:val="000000"/>
              </w:rPr>
              <w:t>oświadczenie na podstawie art. 117 ust. 4 (jeżeli dotyczy tj. Konsorcja, Spółki cywilne)</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17.1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rPr>
            </w:pPr>
            <w:r w:rsidRPr="00A639C4">
              <w:rPr>
                <w:b/>
              </w:rPr>
              <w:t>Wymagania dotyczące wadium</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r w:rsidRPr="00A639C4">
              <w:t xml:space="preserve">Zamawiający </w:t>
            </w:r>
            <w:r w:rsidRPr="00A639C4">
              <w:rPr>
                <w:b/>
                <w:u w:val="single"/>
              </w:rPr>
              <w:t>nie przewiduje</w:t>
            </w:r>
            <w:r w:rsidRPr="00A639C4">
              <w:t xml:space="preserve"> obowiązku wniesienia wadium.</w:t>
            </w:r>
          </w:p>
          <w:p w:rsidR="007F4F66" w:rsidRPr="00A639C4" w:rsidRDefault="007F4F66" w:rsidP="00E34A9A">
            <w:pPr>
              <w:shd w:val="clear" w:color="auto" w:fill="FFFFFF" w:themeFill="background1"/>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19.1 IDW</w:t>
            </w:r>
          </w:p>
          <w:p w:rsidR="007F4F66" w:rsidRPr="00A639C4" w:rsidRDefault="007F4F66" w:rsidP="0018153F">
            <w:pPr>
              <w:shd w:val="clear" w:color="auto" w:fill="FFFFFF" w:themeFill="background1"/>
              <w:tabs>
                <w:tab w:val="left" w:pos="408"/>
              </w:tabs>
              <w:spacing w:before="60" w:after="60"/>
              <w:jc w:val="center"/>
              <w:rPr>
                <w:b/>
              </w:rPr>
            </w:pPr>
            <w:r w:rsidRPr="00A639C4">
              <w:rPr>
                <w:b/>
              </w:rPr>
              <w:t>Pkt 19.2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bCs/>
                <w:color w:val="000000"/>
              </w:rPr>
              <w:t>Termin składania i otwarcia ofert</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60" w:after="60"/>
              <w:jc w:val="center"/>
              <w:rPr>
                <w:b/>
              </w:rPr>
            </w:pPr>
          </w:p>
        </w:tc>
        <w:tc>
          <w:tcPr>
            <w:tcW w:w="7796" w:type="dxa"/>
            <w:shd w:val="clear" w:color="auto" w:fill="FFFFFF" w:themeFill="background1"/>
          </w:tcPr>
          <w:p w:rsidR="007F4F66" w:rsidRPr="00A639C4" w:rsidRDefault="007F4F66" w:rsidP="0018153F">
            <w:pPr>
              <w:widowControl/>
              <w:shd w:val="clear" w:color="auto" w:fill="FFFFFF" w:themeFill="background1"/>
              <w:autoSpaceDE/>
              <w:autoSpaceDN/>
              <w:adjustRightInd/>
              <w:spacing w:before="240" w:line="360" w:lineRule="auto"/>
              <w:jc w:val="both"/>
            </w:pPr>
            <w:r w:rsidRPr="00A639C4">
              <w:rPr>
                <w:rFonts w:eastAsia="Calibri"/>
              </w:rPr>
              <w:t>Termin składania ofert</w:t>
            </w:r>
            <w:r w:rsidR="00E34A9A">
              <w:rPr>
                <w:rFonts w:eastAsia="Calibri"/>
              </w:rPr>
              <w:t>:</w:t>
            </w:r>
            <w:r w:rsidRPr="00A639C4">
              <w:rPr>
                <w:rFonts w:eastAsia="Calibri"/>
              </w:rPr>
              <w:t xml:space="preserve"> </w:t>
            </w:r>
            <w:r w:rsidR="00351705">
              <w:rPr>
                <w:b/>
              </w:rPr>
              <w:t>11.10</w:t>
            </w:r>
            <w:r w:rsidR="00E34A9A">
              <w:rPr>
                <w:b/>
              </w:rPr>
              <w:t>.2024 r.</w:t>
            </w:r>
            <w:r w:rsidRPr="00A639C4">
              <w:rPr>
                <w:b/>
              </w:rPr>
              <w:t xml:space="preserve"> do godziny</w:t>
            </w:r>
            <w:r w:rsidR="00E34A9A">
              <w:rPr>
                <w:b/>
                <w:bCs/>
                <w:caps/>
              </w:rPr>
              <w:t>: 10:00</w:t>
            </w:r>
            <w:r w:rsidRPr="00A639C4">
              <w:t>.</w:t>
            </w:r>
          </w:p>
          <w:p w:rsidR="007F4F66" w:rsidRPr="00A639C4" w:rsidRDefault="007F4F66" w:rsidP="0018153F">
            <w:pPr>
              <w:shd w:val="clear" w:color="auto" w:fill="FFFFFF" w:themeFill="background1"/>
              <w:jc w:val="both"/>
            </w:pPr>
            <w:r w:rsidRPr="00A639C4">
              <w:rPr>
                <w:rFonts w:eastAsia="Calibri"/>
              </w:rPr>
              <w:t>Termin otwarcia ofert</w:t>
            </w:r>
            <w:r w:rsidR="00E34A9A">
              <w:rPr>
                <w:rFonts w:eastAsia="Calibri"/>
              </w:rPr>
              <w:t>:</w:t>
            </w:r>
            <w:r w:rsidRPr="00A639C4">
              <w:rPr>
                <w:rFonts w:eastAsia="Calibri"/>
              </w:rPr>
              <w:t xml:space="preserve"> </w:t>
            </w:r>
            <w:r w:rsidR="00351705">
              <w:rPr>
                <w:b/>
              </w:rPr>
              <w:t>11.10</w:t>
            </w:r>
            <w:r w:rsidR="00E34A9A">
              <w:rPr>
                <w:b/>
              </w:rPr>
              <w:t>.2024 r.</w:t>
            </w:r>
            <w:r w:rsidRPr="00A639C4">
              <w:rPr>
                <w:b/>
              </w:rPr>
              <w:t xml:space="preserve"> godzina</w:t>
            </w:r>
            <w:r w:rsidR="00E34A9A">
              <w:rPr>
                <w:b/>
                <w:bCs/>
                <w:caps/>
              </w:rPr>
              <w:t>: 10:10</w:t>
            </w:r>
          </w:p>
          <w:p w:rsidR="007F4F66" w:rsidRDefault="007F4F66" w:rsidP="0018153F">
            <w:pPr>
              <w:shd w:val="clear" w:color="auto" w:fill="FFFFFF" w:themeFill="background1"/>
              <w:tabs>
                <w:tab w:val="left" w:pos="408"/>
              </w:tabs>
              <w:spacing w:before="60" w:after="60"/>
            </w:pPr>
          </w:p>
          <w:p w:rsidR="007F4F66" w:rsidRPr="00A639C4" w:rsidRDefault="007F4F66" w:rsidP="0018153F">
            <w:pPr>
              <w:shd w:val="clear" w:color="auto" w:fill="FFFFFF" w:themeFill="background1"/>
              <w:tabs>
                <w:tab w:val="left" w:pos="408"/>
              </w:tabs>
              <w:spacing w:before="60" w:after="60"/>
              <w:rPr>
                <w:b/>
              </w:rPr>
            </w:pPr>
            <w:r w:rsidRPr="00A639C4">
              <w:t>Ofertę należy złożyć na zasadach określonych w Pzp i SWZ.</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60" w:after="60"/>
              <w:jc w:val="center"/>
              <w:rPr>
                <w:b/>
              </w:rPr>
            </w:pPr>
            <w:r w:rsidRPr="00A639C4">
              <w:rPr>
                <w:b/>
              </w:rPr>
              <w:t>Pkt 18.1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rPr>
              <w:t>Termin związania ofertą</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351705">
            <w:pPr>
              <w:shd w:val="clear" w:color="auto" w:fill="FFFFFF" w:themeFill="background1"/>
              <w:tabs>
                <w:tab w:val="left" w:pos="408"/>
              </w:tabs>
              <w:spacing w:before="120" w:after="120"/>
            </w:pPr>
            <w:r w:rsidRPr="00A639C4">
              <w:t xml:space="preserve">Termin związania ofertą </w:t>
            </w:r>
            <w:r w:rsidR="00E34A9A">
              <w:t xml:space="preserve">: </w:t>
            </w:r>
            <w:r w:rsidR="00351705">
              <w:rPr>
                <w:b/>
              </w:rPr>
              <w:t>09</w:t>
            </w:r>
            <w:r w:rsidR="00E34A9A" w:rsidRPr="00E34A9A">
              <w:rPr>
                <w:b/>
              </w:rPr>
              <w:t>.</w:t>
            </w:r>
            <w:r w:rsidR="00351705">
              <w:rPr>
                <w:b/>
              </w:rPr>
              <w:t>11</w:t>
            </w:r>
            <w:r w:rsidR="00E34A9A" w:rsidRPr="00E34A9A">
              <w:rPr>
                <w:b/>
              </w:rPr>
              <w:t>.2024 r.</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20.2 IDW</w:t>
            </w:r>
          </w:p>
        </w:tc>
        <w:tc>
          <w:tcPr>
            <w:tcW w:w="7796" w:type="dxa"/>
            <w:shd w:val="clear" w:color="auto" w:fill="FFFFFF" w:themeFill="background1"/>
          </w:tcPr>
          <w:p w:rsidR="007F4F66" w:rsidRPr="00A639C4" w:rsidRDefault="007F4F66" w:rsidP="00885D2D">
            <w:pPr>
              <w:shd w:val="clear" w:color="auto" w:fill="FFFFFF" w:themeFill="background1"/>
              <w:spacing w:before="100" w:after="100"/>
              <w:ind w:left="360"/>
              <w:rPr>
                <w:b/>
                <w:bCs/>
                <w:color w:val="000000"/>
              </w:rPr>
            </w:pPr>
            <w:r w:rsidRPr="00A639C4">
              <w:rPr>
                <w:b/>
                <w:bCs/>
                <w:color w:val="000000"/>
              </w:rPr>
              <w:t>Opis kryteriów oceny ofert, wraz z podaniem wag tych kryteriów i sposobu oceny ofert</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7F4F66">
            <w:pPr>
              <w:pStyle w:val="Akapitzlist"/>
              <w:widowControl/>
              <w:numPr>
                <w:ilvl w:val="0"/>
                <w:numId w:val="2"/>
              </w:numPr>
              <w:shd w:val="clear" w:color="auto" w:fill="FFFFFF" w:themeFill="background1"/>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rsidR="007F4F66" w:rsidRPr="00A639C4" w:rsidRDefault="007F4F66" w:rsidP="007F4F66">
            <w:pPr>
              <w:pStyle w:val="Akapitzlist"/>
              <w:widowControl/>
              <w:numPr>
                <w:ilvl w:val="0"/>
                <w:numId w:val="10"/>
              </w:numPr>
              <w:shd w:val="clear" w:color="auto" w:fill="FFFFFF" w:themeFill="background1"/>
              <w:autoSpaceDE/>
              <w:autoSpaceDN/>
              <w:adjustRightInd/>
            </w:pPr>
            <w:r w:rsidRPr="00A639C4">
              <w:rPr>
                <w:b/>
              </w:rPr>
              <w:t>Cena (C)</w:t>
            </w:r>
            <w:r w:rsidRPr="00A639C4">
              <w:t xml:space="preserve"> – waga kryterium 60 %;</w:t>
            </w:r>
          </w:p>
          <w:p w:rsidR="007F4F66" w:rsidRPr="00A639C4" w:rsidRDefault="007F4F66" w:rsidP="007F4F66">
            <w:pPr>
              <w:pStyle w:val="Akapitzlist"/>
              <w:widowControl/>
              <w:numPr>
                <w:ilvl w:val="0"/>
                <w:numId w:val="10"/>
              </w:numPr>
              <w:shd w:val="clear" w:color="auto" w:fill="FFFFFF" w:themeFill="background1"/>
              <w:autoSpaceDE/>
              <w:autoSpaceDN/>
              <w:adjustRightInd/>
            </w:pPr>
            <w:r w:rsidRPr="00A639C4">
              <w:rPr>
                <w:b/>
              </w:rPr>
              <w:t xml:space="preserve">Kryterium jakościowe – </w:t>
            </w:r>
            <w:r w:rsidR="00351705">
              <w:rPr>
                <w:b/>
              </w:rPr>
              <w:t>termin realizacji zamówienia</w:t>
            </w:r>
            <w:r w:rsidRPr="00E34A9A">
              <w:t xml:space="preserve">  </w:t>
            </w:r>
            <w:r w:rsidRPr="00E34A9A">
              <w:rPr>
                <w:caps/>
              </w:rPr>
              <w:t xml:space="preserve"> </w:t>
            </w:r>
            <w:r w:rsidRPr="00A639C4">
              <w:t>– waga kryterium 40 %.</w:t>
            </w:r>
          </w:p>
          <w:p w:rsidR="007F4F66" w:rsidRPr="00A639C4" w:rsidRDefault="007F4F66" w:rsidP="007F4F66">
            <w:pPr>
              <w:pStyle w:val="Akapitzlist"/>
              <w:widowControl/>
              <w:numPr>
                <w:ilvl w:val="0"/>
                <w:numId w:val="2"/>
              </w:numPr>
              <w:shd w:val="clear" w:color="auto" w:fill="FFFFFF" w:themeFill="background1"/>
              <w:tabs>
                <w:tab w:val="clear" w:pos="1800"/>
              </w:tabs>
              <w:autoSpaceDE/>
              <w:autoSpaceDN/>
              <w:adjustRightInd/>
              <w:spacing w:before="240"/>
              <w:ind w:left="426" w:hanging="426"/>
              <w:jc w:val="both"/>
            </w:pPr>
            <w:r w:rsidRPr="00A639C4">
              <w:tab/>
              <w:t>Zasady oceny ofert w poszczególnych kryteriach:</w:t>
            </w:r>
          </w:p>
          <w:p w:rsidR="007F4F66" w:rsidRPr="00A639C4" w:rsidRDefault="007F4F66" w:rsidP="007F4F66">
            <w:pPr>
              <w:pStyle w:val="Akapitzlist"/>
              <w:widowControl/>
              <w:numPr>
                <w:ilvl w:val="0"/>
                <w:numId w:val="3"/>
              </w:numPr>
              <w:shd w:val="clear" w:color="auto" w:fill="FFFFFF" w:themeFill="background1"/>
              <w:autoSpaceDE/>
              <w:autoSpaceDN/>
              <w:adjustRightInd/>
              <w:spacing w:before="240"/>
              <w:ind w:left="910" w:hanging="484"/>
              <w:contextualSpacing/>
              <w:jc w:val="both"/>
              <w:rPr>
                <w:b/>
              </w:rPr>
            </w:pPr>
            <w:r w:rsidRPr="00A639C4">
              <w:rPr>
                <w:b/>
              </w:rPr>
              <w:tab/>
              <w:t>Cena (C) – waga kryterium 60 %</w:t>
            </w:r>
          </w:p>
          <w:p w:rsidR="007F4F66" w:rsidRPr="00A639C4" w:rsidRDefault="007F4F66" w:rsidP="0018153F">
            <w:pPr>
              <w:pStyle w:val="Akapitzlist"/>
              <w:shd w:val="clear" w:color="auto" w:fill="FFFFFF" w:themeFill="background1"/>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rsidR="007F4F66" w:rsidRPr="00A639C4" w:rsidRDefault="007F4F66" w:rsidP="0018153F">
            <w:pPr>
              <w:pStyle w:val="Akapitzlist"/>
              <w:shd w:val="clear" w:color="auto" w:fill="FFFFFF" w:themeFill="background1"/>
              <w:ind w:left="1080"/>
              <w:jc w:val="both"/>
            </w:pPr>
            <w:r w:rsidRPr="00A639C4">
              <w:rPr>
                <w:b/>
              </w:rPr>
              <w:lastRenderedPageBreak/>
              <w:t>C =</w:t>
            </w:r>
            <w:r w:rsidRPr="00A639C4">
              <w:t xml:space="preserve"> </w:t>
            </w:r>
            <w:r w:rsidRPr="00A639C4">
              <w:rPr>
                <w:strike/>
              </w:rPr>
              <w:t xml:space="preserve">------------------------------------------------ </w:t>
            </w:r>
            <w:r w:rsidRPr="00A639C4">
              <w:t xml:space="preserve">  </w:t>
            </w:r>
            <w:r w:rsidRPr="00A639C4">
              <w:rPr>
                <w:b/>
              </w:rPr>
              <w:t>x 100 pkt x 60 %</w:t>
            </w:r>
          </w:p>
          <w:p w:rsidR="007F4F66" w:rsidRPr="00A639C4" w:rsidRDefault="007F4F66" w:rsidP="0018153F">
            <w:pPr>
              <w:pStyle w:val="Akapitzlist"/>
              <w:shd w:val="clear" w:color="auto" w:fill="FFFFFF" w:themeFill="background1"/>
              <w:ind w:left="1452"/>
              <w:jc w:val="both"/>
              <w:rPr>
                <w:b/>
              </w:rPr>
            </w:pPr>
            <w:r w:rsidRPr="00A639C4">
              <w:rPr>
                <w:b/>
              </w:rPr>
              <w:t>cena oferty ocenianej brutto</w:t>
            </w:r>
          </w:p>
          <w:p w:rsidR="007F4F66" w:rsidRPr="00A639C4" w:rsidRDefault="007F4F66" w:rsidP="0018153F">
            <w:pPr>
              <w:widowControl/>
              <w:shd w:val="clear" w:color="auto" w:fill="FFFFFF" w:themeFill="background1"/>
              <w:autoSpaceDE/>
              <w:autoSpaceDN/>
              <w:adjustRightInd/>
              <w:spacing w:before="240"/>
              <w:contextualSpacing/>
              <w:jc w:val="both"/>
            </w:pPr>
            <w:r w:rsidRPr="00A639C4">
              <w:t>Podstawą przyznania punktów w kryterium „cena” będzie cena ofertowa brutto podana przez Wykonawcę w Formularzu Ofertowym.</w:t>
            </w:r>
          </w:p>
          <w:p w:rsidR="007F4F66" w:rsidRPr="00A639C4" w:rsidRDefault="007F4F66" w:rsidP="0018153F">
            <w:pPr>
              <w:widowControl/>
              <w:shd w:val="clear" w:color="auto" w:fill="FFFFFF" w:themeFill="background1"/>
              <w:autoSpaceDE/>
              <w:autoSpaceDN/>
              <w:adjustRightInd/>
              <w:contextualSpacing/>
              <w:jc w:val="both"/>
            </w:pPr>
            <w:r w:rsidRPr="00A639C4">
              <w:t>Cena ofertowa brutto musi uwzględniać wszelkie koszty jakie Wykonawca poniesie w związku z realizacją przedmiotu zamówienia.</w:t>
            </w:r>
          </w:p>
          <w:p w:rsidR="007F4F66" w:rsidRPr="00A639C4" w:rsidRDefault="007F4F66" w:rsidP="0018153F">
            <w:pPr>
              <w:pStyle w:val="Akapitzlist"/>
              <w:widowControl/>
              <w:shd w:val="clear" w:color="auto" w:fill="FFFFFF" w:themeFill="background1"/>
              <w:autoSpaceDE/>
              <w:autoSpaceDN/>
              <w:adjustRightInd/>
              <w:ind w:left="1358"/>
              <w:contextualSpacing/>
              <w:jc w:val="both"/>
            </w:pPr>
          </w:p>
          <w:p w:rsidR="007F4F66" w:rsidRPr="00A639C4" w:rsidRDefault="007F4F66" w:rsidP="007F4F66">
            <w:pPr>
              <w:pStyle w:val="Akapitzlist"/>
              <w:widowControl/>
              <w:numPr>
                <w:ilvl w:val="0"/>
                <w:numId w:val="3"/>
              </w:numPr>
              <w:shd w:val="clear" w:color="auto" w:fill="FFFFFF" w:themeFill="background1"/>
              <w:autoSpaceDE/>
              <w:autoSpaceDN/>
              <w:adjustRightInd/>
              <w:ind w:left="910" w:hanging="484"/>
              <w:contextualSpacing/>
              <w:jc w:val="both"/>
              <w:rPr>
                <w:b/>
              </w:rPr>
            </w:pPr>
            <w:r w:rsidRPr="00A639C4">
              <w:rPr>
                <w:b/>
              </w:rPr>
              <w:tab/>
              <w:t xml:space="preserve">Kryterium jakościowe – </w:t>
            </w:r>
            <w:r w:rsidR="00351705">
              <w:rPr>
                <w:b/>
              </w:rPr>
              <w:t>termin realizacji zamówienia</w:t>
            </w:r>
            <w:r w:rsidRPr="00A639C4">
              <w:t xml:space="preserve">  </w:t>
            </w:r>
            <w:r w:rsidRPr="00A639C4">
              <w:rPr>
                <w:caps/>
              </w:rPr>
              <w:t xml:space="preserve"> </w:t>
            </w:r>
            <w:r w:rsidRPr="00A639C4">
              <w:rPr>
                <w:b/>
              </w:rPr>
              <w:t>– waga kryterium 40 %</w:t>
            </w:r>
          </w:p>
          <w:p w:rsidR="007F4F66" w:rsidRDefault="007F4F66" w:rsidP="0018153F">
            <w:pPr>
              <w:widowControl/>
              <w:shd w:val="clear" w:color="auto" w:fill="FFFFFF" w:themeFill="background1"/>
              <w:rPr>
                <w:rFonts w:eastAsiaTheme="minorHAnsi"/>
                <w:lang w:eastAsia="en-US"/>
              </w:rPr>
            </w:pPr>
          </w:p>
          <w:p w:rsidR="007F4F66" w:rsidRPr="00A639C4" w:rsidRDefault="007F4F66" w:rsidP="0018153F">
            <w:pPr>
              <w:pStyle w:val="ZTIRPKTzmpkttiret"/>
              <w:shd w:val="clear" w:color="auto" w:fill="FFFFFF" w:themeFill="background1"/>
              <w:spacing w:line="276" w:lineRule="auto"/>
              <w:ind w:left="0" w:firstLine="0"/>
              <w:rPr>
                <w:rFonts w:ascii="Arial" w:hAnsi="Arial"/>
                <w:b/>
                <w:sz w:val="20"/>
              </w:rPr>
            </w:pPr>
          </w:p>
          <w:p w:rsidR="007F4F66" w:rsidRPr="00A639C4" w:rsidRDefault="007F4F66" w:rsidP="0018153F">
            <w:pPr>
              <w:pStyle w:val="ZTIRPKTzmpkttiret"/>
              <w:shd w:val="clear" w:color="auto" w:fill="FFFFFF" w:themeFill="background1"/>
              <w:spacing w:line="276" w:lineRule="auto"/>
              <w:ind w:left="0" w:firstLine="0"/>
              <w:rPr>
                <w:rFonts w:ascii="Arial" w:hAnsi="Arial"/>
                <w:sz w:val="20"/>
              </w:rPr>
            </w:pPr>
            <w:r w:rsidRPr="00A639C4">
              <w:rPr>
                <w:rFonts w:ascii="Arial" w:hAnsi="Arial"/>
                <w:sz w:val="20"/>
              </w:rPr>
              <w:t>Opis sposobu obliczenia punktów:</w:t>
            </w:r>
          </w:p>
          <w:p w:rsidR="007F4F66" w:rsidRPr="00A639C4" w:rsidRDefault="007F4F66" w:rsidP="0018153F">
            <w:pPr>
              <w:shd w:val="clear" w:color="auto" w:fill="FFFFFF" w:themeFill="background1"/>
              <w:jc w:val="both"/>
            </w:pPr>
            <w:r w:rsidRPr="00A639C4">
              <w:t>W tym kryterium zostanie przyznana następująca liczba punktów:</w:t>
            </w:r>
          </w:p>
          <w:p w:rsidR="007F4F66" w:rsidRPr="00A639C4" w:rsidRDefault="007F4F66" w:rsidP="0018153F">
            <w:pPr>
              <w:shd w:val="clear" w:color="auto" w:fill="FFFFFF" w:themeFill="background1"/>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7F4F66" w:rsidRPr="00A639C4" w:rsidRDefault="007F4F66" w:rsidP="001A279D">
                  <w:pPr>
                    <w:framePr w:hSpace="141" w:wrap="around" w:vAnchor="text" w:hAnchor="text" w:x="392" w:y="1"/>
                    <w:shd w:val="clear" w:color="auto" w:fill="FFFFFF" w:themeFill="background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rsidR="007F4F66" w:rsidRPr="00A639C4" w:rsidRDefault="007F4F66" w:rsidP="001A279D">
                  <w:pPr>
                    <w:framePr w:hSpace="141" w:wrap="around" w:vAnchor="text" w:hAnchor="text" w:x="392" w:y="1"/>
                    <w:shd w:val="clear" w:color="auto" w:fill="FFFFFF" w:themeFill="background1"/>
                    <w:suppressOverlap/>
                    <w:jc w:val="center"/>
                    <w:rPr>
                      <w:b/>
                      <w:bCs/>
                    </w:rPr>
                  </w:pPr>
                  <w:r w:rsidRPr="00A639C4">
                    <w:rPr>
                      <w:b/>
                      <w:bCs/>
                    </w:rPr>
                    <w:t>Nazwa kryterium</w:t>
                  </w:r>
                  <w:r w:rsidR="00351705">
                    <w:rPr>
                      <w:b/>
                      <w:bCs/>
                    </w:rPr>
                    <w:t>: termin realizacji zamówienia</w:t>
                  </w:r>
                </w:p>
              </w:tc>
              <w:tc>
                <w:tcPr>
                  <w:tcW w:w="1745" w:type="dxa"/>
                  <w:tcBorders>
                    <w:top w:val="single" w:sz="4" w:space="0" w:color="auto"/>
                    <w:left w:val="nil"/>
                    <w:bottom w:val="single" w:sz="4" w:space="0" w:color="auto"/>
                    <w:right w:val="single" w:sz="4" w:space="0" w:color="auto"/>
                  </w:tcBorders>
                  <w:noWrap/>
                  <w:vAlign w:val="center"/>
                  <w:hideMark/>
                </w:tcPr>
                <w:p w:rsidR="007F4F66" w:rsidRPr="00A639C4" w:rsidRDefault="007F4F66" w:rsidP="001A279D">
                  <w:pPr>
                    <w:framePr w:hSpace="141" w:wrap="around" w:vAnchor="text" w:hAnchor="text" w:x="392" w:y="1"/>
                    <w:shd w:val="clear" w:color="auto" w:fill="FFFFFF" w:themeFill="background1"/>
                    <w:suppressOverlap/>
                    <w:jc w:val="center"/>
                    <w:rPr>
                      <w:b/>
                      <w:bCs/>
                    </w:rPr>
                  </w:pPr>
                  <w:r w:rsidRPr="00A639C4">
                    <w:rPr>
                      <w:b/>
                      <w:bCs/>
                    </w:rPr>
                    <w:t>punkty</w:t>
                  </w:r>
                </w:p>
              </w:tc>
            </w:tr>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7F4F66" w:rsidRPr="00A639C4" w:rsidRDefault="007F4F66" w:rsidP="001A279D">
                  <w:pPr>
                    <w:framePr w:hSpace="141" w:wrap="around" w:vAnchor="text" w:hAnchor="text" w:x="392" w:y="1"/>
                    <w:shd w:val="clear" w:color="auto" w:fill="FFFFFF" w:themeFill="background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rsidR="007F4F66" w:rsidRPr="00A639C4" w:rsidRDefault="00351705" w:rsidP="001A279D">
                  <w:pPr>
                    <w:framePr w:hSpace="141" w:wrap="around" w:vAnchor="text" w:hAnchor="text" w:x="392" w:y="1"/>
                    <w:shd w:val="clear" w:color="auto" w:fill="FFFFFF" w:themeFill="background1"/>
                    <w:suppressOverlap/>
                    <w:jc w:val="center"/>
                    <w:rPr>
                      <w:bCs/>
                    </w:rPr>
                  </w:pPr>
                  <w:r>
                    <w:rPr>
                      <w:bCs/>
                    </w:rPr>
                    <w:t>do 20.12.2024 r.</w:t>
                  </w:r>
                  <w:r w:rsidR="007F4F66" w:rsidRPr="00A639C4">
                    <w:rPr>
                      <w:bCs/>
                    </w:rPr>
                    <w:t xml:space="preserve">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rsidR="007F4F66" w:rsidRPr="00A639C4" w:rsidRDefault="00E34A9A" w:rsidP="001A279D">
                  <w:pPr>
                    <w:framePr w:hSpace="141" w:wrap="around" w:vAnchor="text" w:hAnchor="text" w:x="392" w:y="1"/>
                    <w:shd w:val="clear" w:color="auto" w:fill="FFFFFF" w:themeFill="background1"/>
                    <w:suppressOverlap/>
                    <w:jc w:val="center"/>
                    <w:rPr>
                      <w:bCs/>
                    </w:rPr>
                  </w:pPr>
                  <w:r>
                    <w:rPr>
                      <w:bCs/>
                    </w:rPr>
                    <w:t xml:space="preserve">0,00 </w:t>
                  </w:r>
                  <w:r w:rsidR="007F4F66" w:rsidRPr="00A639C4">
                    <w:rPr>
                      <w:bCs/>
                    </w:rPr>
                    <w:t>pkt.</w:t>
                  </w:r>
                </w:p>
              </w:tc>
            </w:tr>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7F4F66" w:rsidRPr="00A639C4" w:rsidRDefault="007F4F66" w:rsidP="001A279D">
                  <w:pPr>
                    <w:framePr w:hSpace="141" w:wrap="around" w:vAnchor="text" w:hAnchor="text" w:x="392" w:y="1"/>
                    <w:shd w:val="clear" w:color="auto" w:fill="FFFFFF" w:themeFill="background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rsidR="007F4F66" w:rsidRPr="00A639C4" w:rsidRDefault="00351705" w:rsidP="001A279D">
                  <w:pPr>
                    <w:framePr w:hSpace="141" w:wrap="around" w:vAnchor="text" w:hAnchor="text" w:x="392" w:y="1"/>
                    <w:shd w:val="clear" w:color="auto" w:fill="FFFFFF" w:themeFill="background1"/>
                    <w:suppressOverlap/>
                    <w:jc w:val="center"/>
                    <w:rPr>
                      <w:bCs/>
                    </w:rPr>
                  </w:pPr>
                  <w:r>
                    <w:rPr>
                      <w:bCs/>
                    </w:rPr>
                    <w:t>Do 13.12.2024 r.</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rsidR="007F4F66" w:rsidRPr="00A639C4" w:rsidRDefault="00E34A9A" w:rsidP="001A279D">
                  <w:pPr>
                    <w:framePr w:hSpace="141" w:wrap="around" w:vAnchor="text" w:hAnchor="text" w:x="392" w:y="1"/>
                    <w:shd w:val="clear" w:color="auto" w:fill="FFFFFF" w:themeFill="background1"/>
                    <w:suppressOverlap/>
                    <w:jc w:val="center"/>
                    <w:rPr>
                      <w:bCs/>
                    </w:rPr>
                  </w:pPr>
                  <w:r>
                    <w:rPr>
                      <w:bCs/>
                    </w:rPr>
                    <w:t>40,00</w:t>
                  </w:r>
                  <w:r w:rsidR="007F4F66" w:rsidRPr="00A639C4">
                    <w:rPr>
                      <w:bCs/>
                    </w:rPr>
                    <w:t xml:space="preserve"> pkt.</w:t>
                  </w:r>
                </w:p>
              </w:tc>
            </w:tr>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rsidR="007F4F66" w:rsidRPr="00A639C4" w:rsidRDefault="007F4F66" w:rsidP="001A279D">
                  <w:pPr>
                    <w:pStyle w:val="Akapitzlist"/>
                    <w:framePr w:hSpace="141" w:wrap="around" w:vAnchor="text" w:hAnchor="text" w:x="392" w:y="1"/>
                    <w:numPr>
                      <w:ilvl w:val="0"/>
                      <w:numId w:val="2"/>
                    </w:numPr>
                    <w:shd w:val="clear" w:color="auto" w:fill="FFFFFF" w:themeFill="background1"/>
                    <w:suppressOverlap/>
                    <w:jc w:val="center"/>
                    <w:rPr>
                      <w:bCs/>
                    </w:rPr>
                  </w:pPr>
                </w:p>
              </w:tc>
              <w:tc>
                <w:tcPr>
                  <w:tcW w:w="3646" w:type="dxa"/>
                  <w:tcBorders>
                    <w:top w:val="single" w:sz="4" w:space="0" w:color="auto"/>
                    <w:left w:val="nil"/>
                    <w:bottom w:val="single" w:sz="4" w:space="0" w:color="auto"/>
                    <w:right w:val="single" w:sz="4" w:space="0" w:color="auto"/>
                  </w:tcBorders>
                  <w:noWrap/>
                  <w:vAlign w:val="bottom"/>
                </w:tcPr>
                <w:p w:rsidR="007F4F66" w:rsidRPr="00A639C4" w:rsidRDefault="007F4F66" w:rsidP="001A279D">
                  <w:pPr>
                    <w:framePr w:hSpace="141" w:wrap="around" w:vAnchor="text" w:hAnchor="text" w:x="392" w:y="1"/>
                    <w:shd w:val="clear" w:color="auto" w:fill="FFFFFF" w:themeFill="background1"/>
                    <w:suppressOverlap/>
                    <w:jc w:val="center"/>
                    <w:rPr>
                      <w:bCs/>
                    </w:rPr>
                  </w:pPr>
                </w:p>
              </w:tc>
              <w:tc>
                <w:tcPr>
                  <w:tcW w:w="1745" w:type="dxa"/>
                  <w:tcBorders>
                    <w:top w:val="single" w:sz="4" w:space="0" w:color="auto"/>
                    <w:left w:val="nil"/>
                    <w:bottom w:val="single" w:sz="4" w:space="0" w:color="auto"/>
                    <w:right w:val="single" w:sz="4" w:space="0" w:color="auto"/>
                  </w:tcBorders>
                  <w:noWrap/>
                  <w:vAlign w:val="center"/>
                </w:tcPr>
                <w:p w:rsidR="007F4F66" w:rsidRPr="00A639C4" w:rsidRDefault="007F4F66" w:rsidP="001A279D">
                  <w:pPr>
                    <w:framePr w:hSpace="141" w:wrap="around" w:vAnchor="text" w:hAnchor="text" w:x="392" w:y="1"/>
                    <w:shd w:val="clear" w:color="auto" w:fill="FFFFFF" w:themeFill="background1"/>
                    <w:suppressOverlap/>
                    <w:jc w:val="center"/>
                    <w:rPr>
                      <w:bCs/>
                    </w:rPr>
                  </w:pPr>
                </w:p>
              </w:tc>
            </w:tr>
          </w:tbl>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lastRenderedPageBreak/>
              <w:t>Pkt 22.1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color w:val="000000"/>
              </w:rPr>
            </w:pPr>
            <w:r w:rsidRPr="00A639C4">
              <w:rPr>
                <w:b/>
                <w:color w:val="000000"/>
              </w:rPr>
              <w:t>Zabezpieczenie należytego wykonania umowy</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rPr>
                <w:color w:val="FF0000"/>
                <w:u w:val="single"/>
              </w:rPr>
            </w:pPr>
          </w:p>
          <w:p w:rsidR="007F4F66" w:rsidRPr="00A639C4" w:rsidRDefault="007F4F66" w:rsidP="0018153F">
            <w:pPr>
              <w:shd w:val="clear" w:color="auto" w:fill="FFFFFF" w:themeFill="background1"/>
              <w:jc w:val="both"/>
            </w:pPr>
            <w:r w:rsidRPr="00A639C4">
              <w:t xml:space="preserve">Zamawiający </w:t>
            </w:r>
            <w:r w:rsidRPr="00A639C4">
              <w:rPr>
                <w:b/>
                <w:u w:val="single"/>
              </w:rPr>
              <w:t>nie przewiduje obowiązku wniesienia zabezpieczenia</w:t>
            </w:r>
            <w:r w:rsidRPr="00A639C4">
              <w:t xml:space="preserve"> należytego wykonania umowy:</w:t>
            </w:r>
          </w:p>
          <w:p w:rsidR="007F4F66" w:rsidRPr="00F57DAA" w:rsidRDefault="007F4F66" w:rsidP="0018153F">
            <w:pPr>
              <w:shd w:val="clear" w:color="auto" w:fill="FFFFFF" w:themeFill="background1"/>
              <w:spacing w:before="26"/>
              <w:jc w:val="both"/>
              <w:rPr>
                <w:noProof/>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40"/>
              <w:jc w:val="center"/>
              <w:rPr>
                <w:b/>
              </w:rPr>
            </w:pPr>
            <w:r w:rsidRPr="00A639C4">
              <w:rPr>
                <w:b/>
              </w:rPr>
              <w:t>Pkt 23.3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color w:val="000000"/>
              </w:rPr>
            </w:pPr>
            <w:r w:rsidRPr="00A639C4">
              <w:rPr>
                <w:b/>
                <w:color w:val="000000"/>
              </w:rPr>
              <w:t>Informacje o treści zawieranej umowy oraz możliwości jej zmiany</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shd w:val="clear" w:color="auto" w:fill="FFFFFF" w:themeFill="background1"/>
          </w:tcPr>
          <w:p w:rsidR="007F4F66" w:rsidRPr="00F57DAA" w:rsidRDefault="007F4F66" w:rsidP="0018153F">
            <w:pPr>
              <w:shd w:val="clear" w:color="auto" w:fill="FFFFFF" w:themeFill="background1"/>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w:t>
            </w:r>
            <w:r>
              <w:t>czące zasad wprowadzania zmian.</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1.8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pPr>
            <w:r w:rsidRPr="00A639C4">
              <w:rPr>
                <w:b/>
              </w:rPr>
              <w:t>Wskazanie osób uprawnionych do komunikowania się z wykonawcami;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shd w:val="clear" w:color="auto" w:fill="FFFFFF" w:themeFill="background1"/>
          </w:tcPr>
          <w:p w:rsidR="007F4F66" w:rsidRPr="00A639C4" w:rsidRDefault="007F4F66" w:rsidP="0018153F">
            <w:pPr>
              <w:shd w:val="clear" w:color="auto" w:fill="FFFFFF" w:themeFill="background1"/>
              <w:jc w:val="both"/>
            </w:pPr>
            <w:r w:rsidRPr="00A639C4">
              <w:t>Do komunikowania się z wykonawcami u</w:t>
            </w:r>
            <w:r>
              <w:t>prawnione są następujące osoby:</w:t>
            </w:r>
          </w:p>
          <w:p w:rsidR="007F4F66" w:rsidRPr="00F57DAA" w:rsidRDefault="007F4F66" w:rsidP="0018153F">
            <w:pPr>
              <w:shd w:val="clear" w:color="auto" w:fill="FFFFFF" w:themeFill="background1"/>
              <w:jc w:val="both"/>
              <w:rPr>
                <w:b/>
              </w:rPr>
            </w:pPr>
            <w:r w:rsidRPr="008517C7">
              <w:rPr>
                <w:b/>
              </w:rPr>
              <w:t>Organizacja</w:t>
            </w:r>
            <w:r>
              <w:rPr>
                <w:b/>
              </w:rPr>
              <w:t xml:space="preserve"> postępowania</w:t>
            </w:r>
            <w:r w:rsidRPr="008517C7">
              <w:rPr>
                <w:b/>
              </w:rPr>
              <w:t>:</w:t>
            </w:r>
          </w:p>
          <w:p w:rsidR="007F4F66" w:rsidRPr="000E368E" w:rsidRDefault="007F4F66" w:rsidP="007F4F66">
            <w:pPr>
              <w:pStyle w:val="Akapitzlist"/>
              <w:numPr>
                <w:ilvl w:val="0"/>
                <w:numId w:val="12"/>
              </w:numPr>
              <w:shd w:val="clear" w:color="auto" w:fill="FFFFFF" w:themeFill="background1"/>
              <w:jc w:val="both"/>
            </w:pPr>
            <w:r>
              <w:t>Dawid Jarząb</w:t>
            </w:r>
          </w:p>
          <w:p w:rsidR="007F4F66" w:rsidRPr="00E34A9A" w:rsidRDefault="00E34A9A" w:rsidP="007F4F66">
            <w:pPr>
              <w:pStyle w:val="Akapitzlist"/>
              <w:numPr>
                <w:ilvl w:val="0"/>
                <w:numId w:val="12"/>
              </w:numPr>
              <w:shd w:val="clear" w:color="auto" w:fill="FFFFFF" w:themeFill="background1"/>
              <w:jc w:val="both"/>
              <w:rPr>
                <w:b/>
              </w:rPr>
            </w:pPr>
            <w:r>
              <w:t>Magdalena Marciniak</w:t>
            </w:r>
          </w:p>
          <w:p w:rsidR="00E34A9A" w:rsidRPr="00E34A9A" w:rsidRDefault="00E34A9A" w:rsidP="00E34A9A">
            <w:pPr>
              <w:shd w:val="clear" w:color="auto" w:fill="FFFFFF" w:themeFill="background1"/>
              <w:jc w:val="both"/>
              <w:rPr>
                <w:b/>
              </w:rPr>
            </w:pPr>
            <w:r>
              <w:rPr>
                <w:b/>
              </w:rPr>
              <w:t>Tel.: +48 172 231 745</w:t>
            </w:r>
          </w:p>
          <w:p w:rsidR="007F4F66" w:rsidRPr="008517C7" w:rsidRDefault="007F4F66" w:rsidP="0018153F">
            <w:pPr>
              <w:shd w:val="clear" w:color="auto" w:fill="FFFFFF" w:themeFill="background1"/>
              <w:jc w:val="both"/>
              <w:rPr>
                <w:b/>
              </w:rPr>
            </w:pPr>
            <w:r>
              <w:rPr>
                <w:b/>
              </w:rPr>
              <w:t>S</w:t>
            </w:r>
            <w:r w:rsidRPr="008517C7">
              <w:rPr>
                <w:b/>
              </w:rPr>
              <w:t>prawy merytoryczne:</w:t>
            </w:r>
          </w:p>
          <w:p w:rsidR="007F4F66" w:rsidRPr="000E368E" w:rsidRDefault="00E34A9A" w:rsidP="007F4F66">
            <w:pPr>
              <w:pStyle w:val="Akapitzlist"/>
              <w:numPr>
                <w:ilvl w:val="0"/>
                <w:numId w:val="11"/>
              </w:numPr>
              <w:shd w:val="clear" w:color="auto" w:fill="FFFFFF" w:themeFill="background1"/>
              <w:jc w:val="both"/>
            </w:pPr>
            <w:r>
              <w:t>Wiesława Janik</w:t>
            </w:r>
          </w:p>
          <w:p w:rsidR="007F4F66" w:rsidRPr="008517C7" w:rsidRDefault="00E34A9A" w:rsidP="007F4F66">
            <w:pPr>
              <w:pStyle w:val="Akapitzlist"/>
              <w:numPr>
                <w:ilvl w:val="0"/>
                <w:numId w:val="11"/>
              </w:numPr>
              <w:shd w:val="clear" w:color="auto" w:fill="FFFFFF" w:themeFill="background1"/>
              <w:jc w:val="both"/>
              <w:rPr>
                <w:b/>
              </w:rPr>
            </w:pPr>
            <w:r>
              <w:t>Szymon Krystek</w:t>
            </w:r>
          </w:p>
          <w:p w:rsidR="007F4F66" w:rsidRPr="00E34A9A" w:rsidRDefault="00E34A9A" w:rsidP="00E34A9A">
            <w:pPr>
              <w:shd w:val="clear" w:color="auto" w:fill="FFFFFF" w:themeFill="background1"/>
              <w:jc w:val="both"/>
              <w:rPr>
                <w:b/>
              </w:rPr>
            </w:pPr>
            <w:r>
              <w:rPr>
                <w:b/>
              </w:rPr>
              <w:t>Tel.: +48 172 231 734</w:t>
            </w:r>
          </w:p>
        </w:tc>
      </w:tr>
      <w:tr w:rsidR="007F4F66" w:rsidRPr="00A639C4" w:rsidTr="0018153F">
        <w:tc>
          <w:tcPr>
            <w:tcW w:w="9180" w:type="dxa"/>
            <w:gridSpan w:val="2"/>
            <w:shd w:val="clear" w:color="auto" w:fill="FFFFFF" w:themeFill="background1"/>
          </w:tcPr>
          <w:p w:rsidR="007F4F66" w:rsidRPr="00A639C4" w:rsidRDefault="007F4F66" w:rsidP="0018153F">
            <w:pPr>
              <w:shd w:val="clear" w:color="auto" w:fill="FFFFFF" w:themeFill="background1"/>
              <w:jc w:val="center"/>
            </w:pPr>
            <w:bookmarkStart w:id="5" w:name="_Hlk155339952"/>
            <w:r>
              <w:t>Koniec PIDP</w:t>
            </w:r>
          </w:p>
        </w:tc>
      </w:tr>
      <w:bookmarkEnd w:id="5"/>
    </w:tbl>
    <w:p w:rsidR="00D1283C" w:rsidRDefault="00D1283C"/>
    <w:sectPr w:rsidR="00D1283C" w:rsidSect="00A639C4">
      <w:footerReference w:type="default" r:id="rId8"/>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1A7" w:rsidRDefault="00D320EB">
      <w:r>
        <w:separator/>
      </w:r>
    </w:p>
  </w:endnote>
  <w:endnote w:type="continuationSeparator" w:id="0">
    <w:p w:rsidR="007C21A7" w:rsidRDefault="00D3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rsidR="004346F9" w:rsidRPr="0022552B" w:rsidRDefault="007F4F66">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A279D">
              <w:rPr>
                <w:b/>
                <w:bCs/>
                <w:noProof/>
              </w:rPr>
              <w:t>8</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A279D">
              <w:rPr>
                <w:b/>
                <w:bCs/>
                <w:noProof/>
              </w:rPr>
              <w:t>8</w:t>
            </w:r>
            <w:r w:rsidRPr="0022552B">
              <w:rPr>
                <w:b/>
                <w:bCs/>
              </w:rPr>
              <w:fldChar w:fldCharType="end"/>
            </w:r>
          </w:p>
        </w:sdtContent>
      </w:sdt>
    </w:sdtContent>
  </w:sdt>
  <w:p w:rsidR="004346F9" w:rsidRDefault="007F4F66"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1A7" w:rsidRDefault="00D320EB">
      <w:r>
        <w:separator/>
      </w:r>
    </w:p>
  </w:footnote>
  <w:footnote w:type="continuationSeparator" w:id="0">
    <w:p w:rsidR="007C21A7" w:rsidRDefault="00D32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7CB4"/>
    <w:multiLevelType w:val="hybridMultilevel"/>
    <w:tmpl w:val="7A466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5"/>
  </w:num>
  <w:num w:numId="4">
    <w:abstractNumId w:val="4"/>
  </w:num>
  <w:num w:numId="5">
    <w:abstractNumId w:val="5"/>
  </w:num>
  <w:num w:numId="6">
    <w:abstractNumId w:val="12"/>
  </w:num>
  <w:num w:numId="7">
    <w:abstractNumId w:val="6"/>
  </w:num>
  <w:num w:numId="8">
    <w:abstractNumId w:val="2"/>
  </w:num>
  <w:num w:numId="9">
    <w:abstractNumId w:val="7"/>
  </w:num>
  <w:num w:numId="10">
    <w:abstractNumId w:val="14"/>
  </w:num>
  <w:num w:numId="11">
    <w:abstractNumId w:val="16"/>
  </w:num>
  <w:num w:numId="12">
    <w:abstractNumId w:val="3"/>
  </w:num>
  <w:num w:numId="13">
    <w:abstractNumId w:val="9"/>
  </w:num>
  <w:num w:numId="14">
    <w:abstractNumId w:val="11"/>
  </w:num>
  <w:num w:numId="15">
    <w:abstractNumId w:val="1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955"/>
    <w:rsid w:val="000037D1"/>
    <w:rsid w:val="00015832"/>
    <w:rsid w:val="0008181A"/>
    <w:rsid w:val="0014405D"/>
    <w:rsid w:val="00183DBD"/>
    <w:rsid w:val="001A279D"/>
    <w:rsid w:val="001B3F6C"/>
    <w:rsid w:val="00221EE4"/>
    <w:rsid w:val="00351705"/>
    <w:rsid w:val="003A2C67"/>
    <w:rsid w:val="00495655"/>
    <w:rsid w:val="004D69B9"/>
    <w:rsid w:val="00571F13"/>
    <w:rsid w:val="00624EAC"/>
    <w:rsid w:val="00724C52"/>
    <w:rsid w:val="007C21A7"/>
    <w:rsid w:val="007F4F66"/>
    <w:rsid w:val="00825F48"/>
    <w:rsid w:val="00846D4E"/>
    <w:rsid w:val="00885D2D"/>
    <w:rsid w:val="00AF25E3"/>
    <w:rsid w:val="00B3681C"/>
    <w:rsid w:val="00C239D1"/>
    <w:rsid w:val="00D1283C"/>
    <w:rsid w:val="00D320EB"/>
    <w:rsid w:val="00D93C39"/>
    <w:rsid w:val="00E34A9A"/>
    <w:rsid w:val="00F5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44B537-F9CC-4885-8FA0-46374BE8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4F66"/>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7F4F66"/>
    <w:pPr>
      <w:ind w:left="708"/>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7F4F66"/>
    <w:rPr>
      <w:rFonts w:ascii="Arial" w:eastAsia="Times New Roman" w:hAnsi="Arial" w:cs="Arial"/>
      <w:sz w:val="20"/>
      <w:szCs w:val="20"/>
      <w:lang w:eastAsia="pl-PL"/>
    </w:rPr>
  </w:style>
  <w:style w:type="table" w:styleId="Tabela-Siatka">
    <w:name w:val="Table Grid"/>
    <w:basedOn w:val="Standardowy"/>
    <w:uiPriority w:val="1"/>
    <w:rsid w:val="007F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F4F66"/>
    <w:pPr>
      <w:tabs>
        <w:tab w:val="center" w:pos="4536"/>
        <w:tab w:val="right" w:pos="9072"/>
      </w:tabs>
    </w:pPr>
  </w:style>
  <w:style w:type="character" w:customStyle="1" w:styleId="NagwekZnak">
    <w:name w:val="Nagłówek Znak"/>
    <w:basedOn w:val="Domylnaczcionkaakapitu"/>
    <w:link w:val="Nagwek"/>
    <w:rsid w:val="007F4F66"/>
    <w:rPr>
      <w:rFonts w:ascii="Arial" w:eastAsia="Times New Roman" w:hAnsi="Arial" w:cs="Arial"/>
      <w:sz w:val="20"/>
      <w:szCs w:val="20"/>
      <w:lang w:eastAsia="pl-PL"/>
    </w:rPr>
  </w:style>
  <w:style w:type="paragraph" w:styleId="Stopka">
    <w:name w:val="footer"/>
    <w:basedOn w:val="Normalny"/>
    <w:link w:val="StopkaZnak"/>
    <w:uiPriority w:val="99"/>
    <w:unhideWhenUsed/>
    <w:rsid w:val="007F4F66"/>
    <w:pPr>
      <w:tabs>
        <w:tab w:val="center" w:pos="4536"/>
        <w:tab w:val="right" w:pos="9072"/>
      </w:tabs>
    </w:pPr>
  </w:style>
  <w:style w:type="character" w:customStyle="1" w:styleId="StopkaZnak">
    <w:name w:val="Stopka Znak"/>
    <w:basedOn w:val="Domylnaczcionkaakapitu"/>
    <w:link w:val="Stopka"/>
    <w:uiPriority w:val="99"/>
    <w:rsid w:val="007F4F66"/>
    <w:rPr>
      <w:rFonts w:ascii="Arial" w:eastAsia="Times New Roman" w:hAnsi="Arial" w:cs="Arial"/>
      <w:sz w:val="20"/>
      <w:szCs w:val="20"/>
      <w:lang w:eastAsia="pl-PL"/>
    </w:rPr>
  </w:style>
  <w:style w:type="paragraph" w:customStyle="1" w:styleId="ZLITPKTzmpktliter">
    <w:name w:val="Z_LIT/PKT – zm. pkt literą"/>
    <w:basedOn w:val="Normalny"/>
    <w:uiPriority w:val="47"/>
    <w:qFormat/>
    <w:rsid w:val="007F4F66"/>
    <w:pPr>
      <w:widowControl/>
      <w:autoSpaceDE/>
      <w:autoSpaceDN/>
      <w:adjustRightInd/>
      <w:spacing w:line="360" w:lineRule="auto"/>
      <w:ind w:left="1497" w:hanging="510"/>
      <w:jc w:val="both"/>
    </w:pPr>
    <w:rPr>
      <w:rFonts w:ascii="Times" w:hAnsi="Times"/>
      <w:bCs/>
      <w:sz w:val="24"/>
    </w:rPr>
  </w:style>
  <w:style w:type="paragraph" w:customStyle="1" w:styleId="ZTIRPKTzmpkttiret">
    <w:name w:val="Z_TIR/PKT – zm. pkt tiret"/>
    <w:basedOn w:val="Normalny"/>
    <w:uiPriority w:val="56"/>
    <w:qFormat/>
    <w:rsid w:val="007F4F66"/>
    <w:pPr>
      <w:widowControl/>
      <w:autoSpaceDE/>
      <w:autoSpaceDN/>
      <w:adjustRightInd/>
      <w:spacing w:line="360" w:lineRule="auto"/>
      <w:ind w:left="1893" w:hanging="510"/>
      <w:jc w:val="both"/>
    </w:pPr>
    <w:rPr>
      <w:rFonts w:ascii="Times" w:hAnsi="Times"/>
      <w:bCs/>
      <w:sz w:val="24"/>
    </w:rPr>
  </w:style>
  <w:style w:type="paragraph" w:styleId="Tekstpodstawowy2">
    <w:name w:val="Body Text 2"/>
    <w:basedOn w:val="Normalny"/>
    <w:link w:val="Tekstpodstawowy2Znak"/>
    <w:unhideWhenUsed/>
    <w:rsid w:val="007F4F66"/>
    <w:pPr>
      <w:spacing w:after="120" w:line="480" w:lineRule="auto"/>
    </w:pPr>
  </w:style>
  <w:style w:type="character" w:customStyle="1" w:styleId="Tekstpodstawowy2Znak">
    <w:name w:val="Tekst podstawowy 2 Znak"/>
    <w:basedOn w:val="Domylnaczcionkaakapitu"/>
    <w:link w:val="Tekstpodstawowy2"/>
    <w:rsid w:val="007F4F66"/>
    <w:rPr>
      <w:rFonts w:ascii="Arial" w:eastAsia="Times New Roman" w:hAnsi="Arial" w:cs="Arial"/>
      <w:sz w:val="20"/>
      <w:szCs w:val="20"/>
      <w:lang w:eastAsia="pl-PL"/>
    </w:rPr>
  </w:style>
  <w:style w:type="character" w:styleId="Hipercze">
    <w:name w:val="Hyperlink"/>
    <w:basedOn w:val="Domylnaczcionkaakapitu"/>
    <w:uiPriority w:val="99"/>
    <w:unhideWhenUsed/>
    <w:rsid w:val="007F4F66"/>
    <w:rPr>
      <w:color w:val="0563C1" w:themeColor="hyperlink"/>
      <w:u w:val="single"/>
    </w:rPr>
  </w:style>
  <w:style w:type="paragraph" w:customStyle="1" w:styleId="arimr">
    <w:name w:val="arimr"/>
    <w:basedOn w:val="Normalny"/>
    <w:rsid w:val="007F4F66"/>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7F4F66"/>
    <w:rPr>
      <w:rFonts w:ascii="Verdana" w:hAnsi="Verdana"/>
      <w:sz w:val="19"/>
      <w:shd w:val="clear" w:color="auto" w:fill="FFFFFF"/>
    </w:rPr>
  </w:style>
  <w:style w:type="paragraph" w:customStyle="1" w:styleId="Teksttreci0">
    <w:name w:val="Tekst treści"/>
    <w:basedOn w:val="Normalny"/>
    <w:link w:val="Teksttreci"/>
    <w:rsid w:val="007F4F66"/>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8</Pages>
  <Words>2964</Words>
  <Characters>17789</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21</cp:revision>
  <dcterms:created xsi:type="dcterms:W3CDTF">2024-07-18T09:13:00Z</dcterms:created>
  <dcterms:modified xsi:type="dcterms:W3CDTF">2024-09-26T12:43:00Z</dcterms:modified>
</cp:coreProperties>
</file>