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126" w:rsidRDefault="006D7126" w:rsidP="006D7126">
      <w:pPr>
        <w:pStyle w:val="Tekstblokowy"/>
        <w:ind w:left="705"/>
        <w:rPr>
          <w:rFonts w:ascii="Times New Roman" w:hAnsi="Times New Roman" w:cs="Times New Roman"/>
          <w:b/>
          <w:bCs/>
          <w:sz w:val="32"/>
          <w:szCs w:val="32"/>
        </w:rPr>
      </w:pPr>
      <w:r w:rsidRPr="00CA154A">
        <w:rPr>
          <w:rFonts w:ascii="Times New Roman" w:hAnsi="Times New Roman" w:cs="Times New Roman"/>
          <w:b/>
          <w:bCs/>
          <w:sz w:val="32"/>
          <w:szCs w:val="32"/>
        </w:rPr>
        <w:t>Opis ogólny konstrukcji.</w:t>
      </w:r>
    </w:p>
    <w:p w:rsidR="006D7126" w:rsidRDefault="006D7126" w:rsidP="006D7126">
      <w:pPr>
        <w:pStyle w:val="Tekstblokowy"/>
        <w:ind w:left="0"/>
        <w:rPr>
          <w:b/>
          <w:bCs/>
          <w:sz w:val="24"/>
        </w:rPr>
      </w:pPr>
      <w:r>
        <w:rPr>
          <w:b/>
          <w:bCs/>
          <w:sz w:val="24"/>
        </w:rPr>
        <w:t>3.      Założenia projektowe.</w:t>
      </w:r>
    </w:p>
    <w:p w:rsidR="006D7126" w:rsidRDefault="006D7126" w:rsidP="006D7126">
      <w:pPr>
        <w:pStyle w:val="Tekstblokowy"/>
        <w:ind w:left="360"/>
        <w:rPr>
          <w:sz w:val="24"/>
        </w:rPr>
      </w:pPr>
      <w:r>
        <w:rPr>
          <w:sz w:val="24"/>
        </w:rPr>
        <w:t>3.1Obciążenia.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śniegiem  wg PN-80/B-02010Az – </w:t>
      </w:r>
      <w:proofErr w:type="spellStart"/>
      <w:r>
        <w:rPr>
          <w:sz w:val="24"/>
        </w:rPr>
        <w:t>Qk</w:t>
      </w:r>
      <w:proofErr w:type="spellEnd"/>
      <w:r>
        <w:rPr>
          <w:sz w:val="24"/>
        </w:rPr>
        <w:t xml:space="preserve">=0,9 </w:t>
      </w:r>
      <w:proofErr w:type="spellStart"/>
      <w:r>
        <w:rPr>
          <w:sz w:val="24"/>
        </w:rPr>
        <w:t>kN</w:t>
      </w:r>
      <w:proofErr w:type="spellEnd"/>
      <w:r>
        <w:rPr>
          <w:sz w:val="24"/>
        </w:rPr>
        <w:t>/m</w:t>
      </w:r>
      <w:r>
        <w:rPr>
          <w:sz w:val="24"/>
        </w:rPr>
        <w:sym w:font="Romantic" w:char="F0B2"/>
      </w:r>
      <w:r>
        <w:rPr>
          <w:sz w:val="24"/>
        </w:rPr>
        <w:t xml:space="preserve"> - II strefa,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wiatrem  wg PN-77/B-02011Az   -  </w:t>
      </w:r>
      <w:proofErr w:type="spellStart"/>
      <w:r>
        <w:rPr>
          <w:sz w:val="24"/>
        </w:rPr>
        <w:t>qk</w:t>
      </w:r>
      <w:proofErr w:type="spellEnd"/>
      <w:r>
        <w:rPr>
          <w:sz w:val="24"/>
        </w:rPr>
        <w:t xml:space="preserve">=0,30 </w:t>
      </w:r>
      <w:proofErr w:type="spellStart"/>
      <w:r>
        <w:rPr>
          <w:sz w:val="24"/>
        </w:rPr>
        <w:t>kN</w:t>
      </w:r>
      <w:proofErr w:type="spellEnd"/>
      <w:r>
        <w:rPr>
          <w:sz w:val="24"/>
        </w:rPr>
        <w:t>/m² – I strefa,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>stałe wg PN-82/B-02001,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>zmienne wg PN-82/B-02003: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pokoje  –   p=2,00 </w:t>
      </w:r>
      <w:proofErr w:type="spellStart"/>
      <w:r>
        <w:rPr>
          <w:sz w:val="24"/>
        </w:rPr>
        <w:t>kN</w:t>
      </w:r>
      <w:proofErr w:type="spellEnd"/>
      <w:r>
        <w:rPr>
          <w:sz w:val="24"/>
        </w:rPr>
        <w:t>/m²,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przestrzenie komunikacyjne – p=2,50 </w:t>
      </w:r>
      <w:proofErr w:type="spellStart"/>
      <w:r>
        <w:rPr>
          <w:sz w:val="24"/>
        </w:rPr>
        <w:t>kN</w:t>
      </w:r>
      <w:proofErr w:type="spellEnd"/>
      <w:r>
        <w:rPr>
          <w:sz w:val="24"/>
        </w:rPr>
        <w:t>/m²,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klatka schodowa  -  p=4,00 </w:t>
      </w:r>
      <w:proofErr w:type="spellStart"/>
      <w:r>
        <w:rPr>
          <w:sz w:val="24"/>
        </w:rPr>
        <w:t>kN</w:t>
      </w:r>
      <w:proofErr w:type="spellEnd"/>
      <w:r>
        <w:rPr>
          <w:sz w:val="24"/>
        </w:rPr>
        <w:t>/m².</w:t>
      </w:r>
    </w:p>
    <w:p w:rsidR="006D7126" w:rsidRDefault="006D7126" w:rsidP="006D7126">
      <w:pPr>
        <w:pStyle w:val="Tekstblokowy"/>
        <w:ind w:left="0"/>
        <w:rPr>
          <w:sz w:val="24"/>
        </w:rPr>
      </w:pPr>
      <w:r>
        <w:rPr>
          <w:sz w:val="24"/>
        </w:rPr>
        <w:t xml:space="preserve">    3.2 Materiały konstrukcyjne.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>beton monolityczny – C20/25, C25/30,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>cegła kratówka kl.”15”,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>cegła ceramiczna  kl. „15”,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>cegła pełna cer.kl.15,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>zaprawa cementowo-wapienna M2,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>zaprawa cementowa M5, M12,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 w:rsidRPr="00472DC8">
        <w:rPr>
          <w:sz w:val="24"/>
        </w:rPr>
        <w:t xml:space="preserve">stal konstrukcyjna zbrojeniowa – A </w:t>
      </w:r>
      <w:r>
        <w:rPr>
          <w:sz w:val="24"/>
        </w:rPr>
        <w:t>IIIN,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>stal kształtowa S235JR,</w:t>
      </w:r>
    </w:p>
    <w:p w:rsidR="006D7126" w:rsidRDefault="006D7126" w:rsidP="006D7126">
      <w:pPr>
        <w:pStyle w:val="Tekstblokowy"/>
        <w:numPr>
          <w:ilvl w:val="0"/>
          <w:numId w:val="2"/>
        </w:numPr>
        <w:rPr>
          <w:sz w:val="24"/>
        </w:rPr>
      </w:pPr>
      <w:r>
        <w:rPr>
          <w:sz w:val="24"/>
        </w:rPr>
        <w:t>elektrody ER146,</w:t>
      </w:r>
    </w:p>
    <w:p w:rsidR="006D7126" w:rsidRDefault="006D7126" w:rsidP="006D7126">
      <w:pPr>
        <w:jc w:val="both"/>
        <w:rPr>
          <w:rFonts w:ascii="Arial" w:hAnsi="Arial"/>
          <w:b/>
        </w:rPr>
      </w:pPr>
      <w:r>
        <w:rPr>
          <w:rFonts w:ascii="Arial" w:hAnsi="Arial"/>
          <w:b/>
          <w:bCs/>
        </w:rPr>
        <w:t xml:space="preserve">4.   </w:t>
      </w:r>
      <w:r>
        <w:rPr>
          <w:rFonts w:ascii="Arial" w:hAnsi="Arial"/>
          <w:b/>
        </w:rPr>
        <w:t>Opis ogólny obiektu.</w:t>
      </w:r>
    </w:p>
    <w:p w:rsidR="006D7126" w:rsidRDefault="006D7126" w:rsidP="006D7126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Projektowany obiekt</w:t>
      </w:r>
      <w:r w:rsidRPr="00117E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 w rzucie kształt rozczłonkowany, zbliżony do teowego. Zasadniczo jest obiektem piętrowym, choć nie na całym obrysie. Podpiwniczenie jest częściowe; w sekcji środkowej. </w:t>
      </w:r>
    </w:p>
    <w:p w:rsidR="006D7126" w:rsidRDefault="006D7126" w:rsidP="006D7126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Obiekt zaprojektowano w systemie tradycyjnym ze ścianami murowanymi, stropami drobnowymiarowymi (RECTOR), stropodachami o różnym kształcie. Wyposażony jest w windę w szybie murowanym. </w:t>
      </w:r>
    </w:p>
    <w:p w:rsidR="006D7126" w:rsidRPr="004E0EC8" w:rsidRDefault="006D7126" w:rsidP="006D7126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Posadowienie budynku jest na ławach oraz stopach fundamentowych w sposób bezpośredni. </w:t>
      </w:r>
    </w:p>
    <w:p w:rsidR="006D7126" w:rsidRDefault="006D7126" w:rsidP="006D7126">
      <w:pPr>
        <w:pStyle w:val="Tekstpodstawowywcity2"/>
        <w:ind w:left="0"/>
        <w:rPr>
          <w:b/>
          <w:bCs/>
        </w:rPr>
      </w:pPr>
      <w:r>
        <w:rPr>
          <w:b/>
          <w:bCs/>
        </w:rPr>
        <w:t>5.   Warunki gruntowo - wodne.</w:t>
      </w:r>
    </w:p>
    <w:p w:rsidR="006D7126" w:rsidRPr="00DA7232" w:rsidRDefault="006D7126" w:rsidP="006D7126">
      <w:pPr>
        <w:pStyle w:val="Tekstblokowy"/>
        <w:ind w:left="360"/>
        <w:rPr>
          <w:sz w:val="24"/>
        </w:rPr>
      </w:pPr>
      <w:r>
        <w:rPr>
          <w:sz w:val="24"/>
          <w:u w:val="single"/>
        </w:rPr>
        <w:t>5.1 Opis warunków posadowienia.</w:t>
      </w:r>
    </w:p>
    <w:p w:rsidR="006D7126" w:rsidRDefault="006D7126" w:rsidP="006D7126">
      <w:pPr>
        <w:pStyle w:val="Tekstpodstawowywcity2"/>
        <w:rPr>
          <w:bCs/>
        </w:rPr>
      </w:pPr>
      <w:r>
        <w:rPr>
          <w:bCs/>
        </w:rPr>
        <w:t xml:space="preserve"> W podłożu wierzchnią warstwę stanowi gleba o miąższości 0,2 – 0,3 m. Poniżej zalegają grunty mineralne, rodzime, spoiste – gliny piaszczyste i piaski gliniaste. </w:t>
      </w:r>
    </w:p>
    <w:p w:rsidR="006D7126" w:rsidRDefault="006D7126" w:rsidP="006D7126">
      <w:pPr>
        <w:pStyle w:val="Tekstpodstawowywcity2"/>
        <w:rPr>
          <w:bCs/>
        </w:rPr>
      </w:pPr>
      <w:r>
        <w:rPr>
          <w:bCs/>
          <w:u w:val="single"/>
        </w:rPr>
        <w:t>Warunki wodne</w:t>
      </w:r>
      <w:r>
        <w:rPr>
          <w:bCs/>
        </w:rPr>
        <w:t xml:space="preserve"> –stwierdzono występowanie jednego poziomu wód podziemnych (wody gruntowe). </w:t>
      </w:r>
    </w:p>
    <w:p w:rsidR="006D7126" w:rsidRPr="00574B90" w:rsidRDefault="006D7126" w:rsidP="006D7126">
      <w:pPr>
        <w:pStyle w:val="Tekstpodstawowywcity2"/>
        <w:rPr>
          <w:bCs/>
        </w:rPr>
      </w:pPr>
      <w:r w:rsidRPr="00574B90">
        <w:rPr>
          <w:bCs/>
        </w:rPr>
        <w:t xml:space="preserve">   Zwierciadło wody gruntowej </w:t>
      </w:r>
      <w:r>
        <w:rPr>
          <w:bCs/>
        </w:rPr>
        <w:t xml:space="preserve">ma charakter </w:t>
      </w:r>
      <w:proofErr w:type="spellStart"/>
      <w:r>
        <w:rPr>
          <w:bCs/>
        </w:rPr>
        <w:t>napiety</w:t>
      </w:r>
      <w:proofErr w:type="spellEnd"/>
      <w:r>
        <w:rPr>
          <w:bCs/>
        </w:rPr>
        <w:t xml:space="preserve"> i stabilizowało się na głębokości 2,4 – 2,8 m p.p.t., tj. na rzędnych 83,4 - 83,5 m n.p.m. Stan wód gruntowych w trakcie badań był zbliżony do średniego w cyklu rocznym wahań ich zwierciadła. W okresach intensywnych opadów atmosferycznych i okresach roztopów należy się spodziewać podniesienia poziomu wód gruntowych o ca 0,5 m. </w:t>
      </w:r>
    </w:p>
    <w:p w:rsidR="006D7126" w:rsidRPr="00B85E98" w:rsidRDefault="006D7126" w:rsidP="006D7126">
      <w:pPr>
        <w:pStyle w:val="Tekstblokowy"/>
        <w:ind w:left="426"/>
        <w:rPr>
          <w:b/>
          <w:sz w:val="24"/>
        </w:rPr>
      </w:pPr>
      <w:r>
        <w:rPr>
          <w:bCs/>
        </w:rPr>
        <w:t xml:space="preserve"> </w:t>
      </w:r>
      <w:r w:rsidRPr="00B85E98">
        <w:rPr>
          <w:b/>
          <w:sz w:val="24"/>
        </w:rPr>
        <w:t>Warstwy geotechniczne:</w:t>
      </w:r>
    </w:p>
    <w:p w:rsidR="006D7126" w:rsidRPr="00A65CC7" w:rsidRDefault="006D7126" w:rsidP="006D7126">
      <w:pPr>
        <w:pStyle w:val="Tekstblokowy"/>
        <w:ind w:left="426"/>
        <w:rPr>
          <w:sz w:val="24"/>
        </w:rPr>
      </w:pPr>
      <w:r>
        <w:rPr>
          <w:b/>
          <w:sz w:val="24"/>
        </w:rPr>
        <w:t xml:space="preserve">-warstwa I a – </w:t>
      </w:r>
      <w:r>
        <w:rPr>
          <w:sz w:val="24"/>
        </w:rPr>
        <w:t xml:space="preserve"> grunty spoiste w postaci piasku gliniastego w stanie plastycznym, o charakterystycznej wartości stopnia plastyczności I</w:t>
      </w:r>
      <w:r>
        <w:rPr>
          <w:sz w:val="20"/>
          <w:szCs w:val="20"/>
        </w:rPr>
        <w:t>L</w:t>
      </w:r>
      <w:r>
        <w:rPr>
          <w:sz w:val="24"/>
        </w:rPr>
        <w:t>=0,25.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b/>
          <w:sz w:val="24"/>
        </w:rPr>
        <w:t>-warstwa I b1 –</w:t>
      </w:r>
      <w:r>
        <w:rPr>
          <w:sz w:val="24"/>
        </w:rPr>
        <w:t xml:space="preserve"> grunty spoiste w postaci glin piaszczystych oraz glin piaszczystych przewarstwionych piaskiem średnim w stanie twardoplastycznym, o charakterystycznej wartości stopnia plastyczności I</w:t>
      </w:r>
      <w:r>
        <w:rPr>
          <w:sz w:val="20"/>
          <w:szCs w:val="20"/>
        </w:rPr>
        <w:t>L</w:t>
      </w:r>
      <w:r>
        <w:rPr>
          <w:sz w:val="24"/>
        </w:rPr>
        <w:t>=0,18.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b/>
          <w:sz w:val="24"/>
        </w:rPr>
        <w:lastRenderedPageBreak/>
        <w:t>-warstwa I b2 –</w:t>
      </w:r>
      <w:r>
        <w:rPr>
          <w:sz w:val="24"/>
        </w:rPr>
        <w:t xml:space="preserve"> mokra glina piaszczysta,  w stanie plastycznym o charakterystycznym stopniu plastyczności I</w:t>
      </w:r>
      <w:r>
        <w:rPr>
          <w:sz w:val="20"/>
          <w:szCs w:val="20"/>
        </w:rPr>
        <w:t>L</w:t>
      </w:r>
      <w:r>
        <w:rPr>
          <w:sz w:val="24"/>
        </w:rPr>
        <w:t>=0,30.</w:t>
      </w:r>
    </w:p>
    <w:p w:rsidR="006D7126" w:rsidRDefault="006D7126" w:rsidP="006D7126">
      <w:pPr>
        <w:pStyle w:val="Tekstblokowy"/>
        <w:ind w:left="426"/>
        <w:rPr>
          <w:b/>
          <w:sz w:val="24"/>
        </w:rPr>
      </w:pPr>
      <w:r>
        <w:rPr>
          <w:b/>
          <w:sz w:val="24"/>
        </w:rPr>
        <w:t>Ustalono II kategorię geotechniczną (w prostych warunkach gruntowo –</w:t>
      </w:r>
      <w:r>
        <w:rPr>
          <w:sz w:val="24"/>
        </w:rPr>
        <w:t xml:space="preserve"> </w:t>
      </w:r>
      <w:r w:rsidRPr="00DA7232">
        <w:rPr>
          <w:b/>
          <w:sz w:val="24"/>
        </w:rPr>
        <w:t>wodnych</w:t>
      </w:r>
      <w:r>
        <w:rPr>
          <w:b/>
          <w:sz w:val="24"/>
        </w:rPr>
        <w:t>, budynek niski o prostej statyce</w:t>
      </w:r>
      <w:r w:rsidRPr="00DA7232">
        <w:rPr>
          <w:b/>
          <w:sz w:val="24"/>
        </w:rPr>
        <w:t>).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b/>
          <w:sz w:val="24"/>
        </w:rPr>
        <w:t xml:space="preserve"> </w:t>
      </w:r>
      <w:r w:rsidRPr="00BF38B4">
        <w:rPr>
          <w:b/>
          <w:sz w:val="24"/>
        </w:rPr>
        <w:t>Podłoże jest korzystne dla posadowienia projektowanego budynku</w:t>
      </w:r>
      <w:r>
        <w:rPr>
          <w:b/>
          <w:sz w:val="24"/>
        </w:rPr>
        <w:t xml:space="preserve"> w strefie warstwy geotechnicznej I b1</w:t>
      </w:r>
      <w:r>
        <w:rPr>
          <w:sz w:val="24"/>
        </w:rPr>
        <w:t xml:space="preserve">. </w:t>
      </w:r>
    </w:p>
    <w:p w:rsidR="006D7126" w:rsidRPr="005052B7" w:rsidRDefault="006D7126" w:rsidP="006D7126">
      <w:pPr>
        <w:pStyle w:val="Tekstblokowy"/>
        <w:ind w:left="426"/>
        <w:rPr>
          <w:sz w:val="24"/>
        </w:rPr>
      </w:pPr>
      <w:r>
        <w:rPr>
          <w:b/>
          <w:sz w:val="24"/>
        </w:rPr>
        <w:t xml:space="preserve"> </w:t>
      </w:r>
      <w:r>
        <w:rPr>
          <w:sz w:val="24"/>
        </w:rPr>
        <w:t xml:space="preserve">Na terenie projektowanego obiektu nie zaobserwowano występowania niekorzystnych zjawisk oraz procesów </w:t>
      </w:r>
      <w:proofErr w:type="spellStart"/>
      <w:r>
        <w:rPr>
          <w:sz w:val="24"/>
        </w:rPr>
        <w:t>geologiczno</w:t>
      </w:r>
      <w:proofErr w:type="spellEnd"/>
      <w:r>
        <w:rPr>
          <w:sz w:val="24"/>
        </w:rPr>
        <w:t xml:space="preserve"> – geodynamicznych mogących niekorzystnie wpływać na podłoże gruntowe oraz projektowany obiekt.</w:t>
      </w:r>
    </w:p>
    <w:p w:rsidR="006D7126" w:rsidRDefault="006D7126" w:rsidP="006D7126">
      <w:pPr>
        <w:pStyle w:val="Tekstblokowy"/>
        <w:numPr>
          <w:ilvl w:val="1"/>
          <w:numId w:val="3"/>
        </w:numPr>
        <w:tabs>
          <w:tab w:val="clear" w:pos="870"/>
        </w:tabs>
        <w:ind w:left="567" w:hanging="567"/>
        <w:rPr>
          <w:sz w:val="24"/>
        </w:rPr>
      </w:pPr>
      <w:r>
        <w:rPr>
          <w:sz w:val="24"/>
        </w:rPr>
        <w:t xml:space="preserve"> Zalecenia dla wykonawstwa robót ziemnych.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-nie wolno pozostawić otwartych wykopów na okres zimowy bez zabezpieczeń,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-w obszarze projektowania granica przemarzania wynosi </w:t>
      </w:r>
      <w:proofErr w:type="spellStart"/>
      <w:r>
        <w:rPr>
          <w:sz w:val="24"/>
        </w:rPr>
        <w:t>hz</w:t>
      </w:r>
      <w:proofErr w:type="spellEnd"/>
      <w:r>
        <w:rPr>
          <w:sz w:val="24"/>
        </w:rPr>
        <w:t xml:space="preserve">=1,0 m </w:t>
      </w:r>
      <w:proofErr w:type="spellStart"/>
      <w:r>
        <w:rPr>
          <w:sz w:val="24"/>
        </w:rPr>
        <w:t>ppt</w:t>
      </w:r>
      <w:proofErr w:type="spellEnd"/>
      <w:r>
        <w:rPr>
          <w:sz w:val="24"/>
        </w:rPr>
        <w:t>, choć podczas surowych zim może dochodzić do 1,2 m,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-należy zabezpieczyć wykop przed napływem wód opadowych z przyległego terenu, a wodę gromadzącą się w wykopie należy odprowadzić do studzienki zbiorczej i wypompować,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-przemarznięte lub rozluźnione warstwy gruntów sypkich należy wybrać i zastąpić zagęszczoną do </w:t>
      </w:r>
      <w:proofErr w:type="spellStart"/>
      <w:r>
        <w:rPr>
          <w:sz w:val="24"/>
        </w:rPr>
        <w:t>I</w:t>
      </w:r>
      <w:r>
        <w:rPr>
          <w:sz w:val="20"/>
        </w:rPr>
        <w:t>s</w:t>
      </w:r>
      <w:proofErr w:type="spellEnd"/>
      <w:r>
        <w:t>=</w:t>
      </w:r>
      <w:r>
        <w:rPr>
          <w:sz w:val="24"/>
        </w:rPr>
        <w:t>0,97 pospółką</w:t>
      </w:r>
      <w:r>
        <w:t xml:space="preserve"> </w:t>
      </w:r>
      <w:r>
        <w:rPr>
          <w:sz w:val="24"/>
        </w:rPr>
        <w:t>lub chudym betonem,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</w:t>
      </w:r>
      <w:proofErr w:type="spellStart"/>
      <w:r>
        <w:rPr>
          <w:sz w:val="24"/>
        </w:rPr>
        <w:t>obsypkę</w:t>
      </w:r>
      <w:proofErr w:type="spellEnd"/>
      <w:r>
        <w:rPr>
          <w:sz w:val="24"/>
        </w:rPr>
        <w:t xml:space="preserve"> ław i ścian fundamentowych należy wykonać gruntem sypkim (piasek drobny lub średni) z zagęszczeniem do stopnia I</w:t>
      </w:r>
      <w:r>
        <w:rPr>
          <w:sz w:val="20"/>
        </w:rPr>
        <w:t>D</w:t>
      </w:r>
      <w:r>
        <w:rPr>
          <w:sz w:val="24"/>
        </w:rPr>
        <w:t>=0,50,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-wodę opadową z połaci dachowych należy odprowadzić do kanalizacji deszczowej,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-grunty nasypowe i humus należy w całości usunąć z obrysu projektowanego budynku,</w:t>
      </w:r>
    </w:p>
    <w:p w:rsidR="006D7126" w:rsidRPr="00C7545E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-roboty ziemne i fundamentowe należy prowadzić zgodnie ze sztuką budowlaną i obowiązującymi normami.</w:t>
      </w:r>
    </w:p>
    <w:p w:rsidR="006D7126" w:rsidRDefault="006D7126" w:rsidP="006D7126">
      <w:pPr>
        <w:pStyle w:val="Akapitzlist"/>
        <w:ind w:left="0"/>
        <w:rPr>
          <w:b/>
        </w:rPr>
      </w:pPr>
      <w:r>
        <w:rPr>
          <w:rFonts w:ascii="Arial" w:hAnsi="Arial" w:cs="Arial"/>
          <w:b/>
        </w:rPr>
        <w:t>6.  Opis elementów budynku.</w:t>
      </w:r>
      <w:r w:rsidRPr="002A1386">
        <w:rPr>
          <w:b/>
        </w:rPr>
        <w:t xml:space="preserve"> </w:t>
      </w:r>
    </w:p>
    <w:p w:rsidR="006D7126" w:rsidRPr="003C4330" w:rsidRDefault="006D7126" w:rsidP="006D7126">
      <w:pPr>
        <w:pStyle w:val="Akapitzlist"/>
        <w:ind w:left="0"/>
        <w:rPr>
          <w:rFonts w:ascii="Arial" w:hAnsi="Arial" w:cs="Arial"/>
        </w:rPr>
      </w:pPr>
      <w:r w:rsidRPr="003C4330">
        <w:rPr>
          <w:rFonts w:ascii="Arial" w:hAnsi="Arial" w:cs="Arial"/>
        </w:rPr>
        <w:t xml:space="preserve">6.1 </w:t>
      </w:r>
      <w:r>
        <w:rPr>
          <w:rFonts w:ascii="Arial" w:hAnsi="Arial" w:cs="Arial"/>
        </w:rPr>
        <w:t>Fundamenty, ściany fundamentowe i piwniczne.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Zaprojektowano posadowienie bezpośrednie na  ławach i stopach fundamentowych z betonu C20/25 XC2 zbrojonego stalą A III N. Pod fundamentami właściwymi należy ułożyć warstwę chudego betonu C8/10 o grubości 10 cm.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W części podpiwniczonej zaprojektowano tzw. „białą wannę” z uwagi na wysoki poziom wód podziemnych. Płyta fundamentowa o grubości 40 cm jest zaprojektowana z betonu C25/30 W8 i stali AIIIN. Na połączeniu ze ścianami „białej wanny” należy wykonać „próg” o wysokości 3 cm ponad górną powierzchnie płyty fundamentowej w celu uniknięcia kolizji taśm uszczelniających ze zbrojeniem płyty. Pod ścianami wewnętrznymi murowanymi należy dać pogrubienie płyty o 10 cm ponad górną powierzchnię.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W miejscach połączenia ze ścianami „białej wanny” należy zastosować taśmy uszczelniające SIKA V15  lub równoważne.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Ściany „białej wanny” zaprojektowano z betonu C25/30 W8 i stali AIIIN. </w:t>
      </w:r>
    </w:p>
    <w:p w:rsidR="006D7126" w:rsidRDefault="006D7126" w:rsidP="006D7126">
      <w:pPr>
        <w:pStyle w:val="Tekstblokowy"/>
        <w:ind w:left="780"/>
        <w:rPr>
          <w:b/>
          <w:sz w:val="24"/>
        </w:rPr>
      </w:pPr>
      <w:r>
        <w:rPr>
          <w:sz w:val="24"/>
        </w:rPr>
        <w:t xml:space="preserve"> </w:t>
      </w:r>
      <w:r w:rsidRPr="0000423C">
        <w:rPr>
          <w:b/>
          <w:sz w:val="24"/>
        </w:rPr>
        <w:t>Zasady wykonania płyty pod budynkiem.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b/>
          <w:sz w:val="24"/>
        </w:rPr>
        <w:t xml:space="preserve"> </w:t>
      </w:r>
      <w:r>
        <w:rPr>
          <w:sz w:val="24"/>
        </w:rPr>
        <w:t>- przerwy robocze dopuszcza się jedynie w pionie, nie wolno wykonać przerw w poziomie,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 xml:space="preserve">- miejsca przerw roboczych należy uzgodnić z projektantem po ustaleniu technologii betonowania; zabezpieczenie miejsc przerwania betonowania należy dokonać np. przy użyciu siatek </w:t>
      </w:r>
      <w:proofErr w:type="spellStart"/>
      <w:r>
        <w:rPr>
          <w:sz w:val="24"/>
        </w:rPr>
        <w:t>Recostal</w:t>
      </w:r>
      <w:proofErr w:type="spellEnd"/>
      <w:r>
        <w:rPr>
          <w:sz w:val="24"/>
        </w:rPr>
        <w:t xml:space="preserve"> 2000 (ADAE) z fugą zębatą wg DIN 1045,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lastRenderedPageBreak/>
        <w:t>- w PF osadzić należy przed betonowaniem wszystkie elementy wg projektów branżowych,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PF wykonywać wg technologii wykonania płyt masywnych tak, aby wyeliminować skurcz betonu a jednocześnie zachować jego ciągłość,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mieszankę zaprojektuje jej dostawca; należy stosować zalecenia producenta mieszanki,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prowadzić badania laboratoryjne pobranych próbek; badania przeprowadzi inna jednostka niż producent mieszanki,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przed betonowaniem należy osadzić zbrojenie startowe ścian żelbetowych oraz słupów,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bardzo istotna jest właściwa pielęgnacja betonu,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w PF stosować stojaki (koniki) w ilości 2 szt./m², w okolicach słupów zagęścić do rozstawu 50/50 cm; wysokość ich dostosować do wysokości PF w danym miejscu,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mieszankę betonową układać w jednej warstwie zachowaniem warunku.</w:t>
      </w:r>
    </w:p>
    <w:p w:rsidR="006D7126" w:rsidRDefault="006D7126" w:rsidP="006D7126">
      <w:pPr>
        <w:pStyle w:val="Tekstblokowy"/>
        <w:ind w:left="780"/>
        <w:rPr>
          <w:b/>
          <w:sz w:val="24"/>
        </w:rPr>
      </w:pPr>
      <w:r>
        <w:rPr>
          <w:sz w:val="24"/>
        </w:rPr>
        <w:t xml:space="preserve">  </w:t>
      </w:r>
      <w:r>
        <w:rPr>
          <w:b/>
          <w:sz w:val="24"/>
        </w:rPr>
        <w:t>Wymagania dla doboru mieszanki betonowej: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cement o niskim cieple twardnienie Q7&lt;250 J/g,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max. stosunek w/c=0,45,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ilość frakcji pyłowo-piaszczystych należy ograniczyć do 15%, a punkt piaskowy do 30%,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max. wymiar ziaren kruszywa – 16 mm,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należy stosować kruszywo łamane,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mieszankę należy dobrać tak, aby „czas przerobu” i „czas zachowania konsystencji” był odpowiedni,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dopuszcza się osiągnięcie przez beton pełnej wytrzymałości po 90 dniach z zastrzeżeniem osiągnięcia 80% po 28 dniach,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należy użyć dodatki do betonu minimalizujące skurcze betonu i obniżenie temperatur max twardniejącego betonu,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PF po wykonaniu betonowania przykryć folią PE 0,2 mm i obsypać 20 cm warstwą pospółki lub ułożyć 5 cm wełny mineralnej lub styropianu, utrzymując stałą wilgotność,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 xml:space="preserve">- należy wykonywać pomiary geodezyjne </w:t>
      </w:r>
      <w:proofErr w:type="spellStart"/>
      <w:r>
        <w:rPr>
          <w:sz w:val="24"/>
        </w:rPr>
        <w:t>osiadań</w:t>
      </w:r>
      <w:proofErr w:type="spellEnd"/>
      <w:r>
        <w:rPr>
          <w:sz w:val="24"/>
        </w:rPr>
        <w:t xml:space="preserve"> PF w punktach wskazanych przez projektanta każdorazowo po wykonaniu kolejnej kondygnacji,</w:t>
      </w:r>
    </w:p>
    <w:p w:rsidR="006D7126" w:rsidRDefault="006D7126" w:rsidP="006D7126">
      <w:pPr>
        <w:pStyle w:val="Tekstblokowy"/>
        <w:ind w:left="780"/>
        <w:rPr>
          <w:sz w:val="24"/>
        </w:rPr>
      </w:pPr>
      <w:r>
        <w:rPr>
          <w:sz w:val="24"/>
        </w:rPr>
        <w:t>- podczas wykonywania PF przestrzegać należy wymogi i zalecenia związane z technologią „białej wanny”.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W podziemiu ściany fundamentowe należy wykonać z bloczków betonowych 38x24x12 cm (beton C16/20) na zaprawie cementowej M5.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Zaprawa cementowa do wykonania murów winna być wykorzystana w ciągu 2 godz. od chwili jej przygotowania.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Poza tym bardzo istotne jest zachowanie właściwej grubości spoin: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-12 mm wspornych (poziomych), max. 17 mm, min. 10 mm,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-10 mm pionowych podłużnych i poprzecznych ; max. 15 mm, min. 5 mm.</w:t>
      </w:r>
    </w:p>
    <w:p w:rsidR="006D7126" w:rsidRPr="000B2658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</w:t>
      </w:r>
      <w:r w:rsidRPr="000B2658">
        <w:rPr>
          <w:sz w:val="24"/>
        </w:rPr>
        <w:t>Posadowienie realizowane będ</w:t>
      </w:r>
      <w:r>
        <w:rPr>
          <w:sz w:val="24"/>
        </w:rPr>
        <w:t>zie na warstwie glin piaszczystych</w:t>
      </w:r>
      <w:r w:rsidRPr="000B2658">
        <w:rPr>
          <w:sz w:val="24"/>
        </w:rPr>
        <w:t xml:space="preserve"> o stopniu </w:t>
      </w:r>
      <w:r>
        <w:rPr>
          <w:sz w:val="24"/>
        </w:rPr>
        <w:t>plastyczności</w:t>
      </w:r>
      <w:r w:rsidRPr="000B2658">
        <w:rPr>
          <w:sz w:val="24"/>
        </w:rPr>
        <w:t xml:space="preserve"> I</w:t>
      </w:r>
      <w:r>
        <w:rPr>
          <w:sz w:val="20"/>
          <w:szCs w:val="20"/>
        </w:rPr>
        <w:t>L</w:t>
      </w:r>
      <w:r>
        <w:rPr>
          <w:sz w:val="24"/>
        </w:rPr>
        <w:t>= 0,18</w:t>
      </w:r>
      <w:r w:rsidRPr="000B2658">
        <w:rPr>
          <w:sz w:val="24"/>
        </w:rPr>
        <w:t xml:space="preserve">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W ławach i stopach fundamentowych przed betonowaniem należy osadzić zbrojenie startowe do połączenia z trzpieniami i słupami przyziemia.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Po </w:t>
      </w:r>
      <w:proofErr w:type="spellStart"/>
      <w:r>
        <w:rPr>
          <w:sz w:val="24"/>
        </w:rPr>
        <w:t>rozszalowaniu</w:t>
      </w:r>
      <w:proofErr w:type="spellEnd"/>
      <w:r>
        <w:rPr>
          <w:sz w:val="24"/>
        </w:rPr>
        <w:t xml:space="preserve"> fundamenty należy izolować przeciwwilgociowo preparatem powłokowym. 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Wszelkie przegłębienia i przekopy należy wypełnić chudym betonem C8/10.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lastRenderedPageBreak/>
        <w:t xml:space="preserve">Podkład gruntowy pod posadzki należy wykonać z pospółki zagęszczonej do </w:t>
      </w:r>
      <w:proofErr w:type="spellStart"/>
      <w:r>
        <w:rPr>
          <w:sz w:val="24"/>
        </w:rPr>
        <w:t>I</w:t>
      </w:r>
      <w:r>
        <w:rPr>
          <w:sz w:val="20"/>
        </w:rPr>
        <w:t>s</w:t>
      </w:r>
      <w:proofErr w:type="spellEnd"/>
      <w:r>
        <w:rPr>
          <w:sz w:val="24"/>
        </w:rPr>
        <w:t xml:space="preserve">=0,98.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</w:t>
      </w:r>
      <w:r>
        <w:rPr>
          <w:sz w:val="24"/>
          <w:u w:val="single"/>
        </w:rPr>
        <w:t>Kolejność robót fundamentowych</w:t>
      </w:r>
      <w:r>
        <w:rPr>
          <w:sz w:val="24"/>
        </w:rPr>
        <w:t xml:space="preserve"> :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-wytyczenie geodezyjne budynku,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-wykonanie wykopu pod ławy i stopy fundamentowe; usunięcie gruntów nasypowych,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-w podłożu winien występować grunt rodzimy (gliny piaszczyste</w:t>
      </w:r>
      <w:r w:rsidRPr="00BF57B1">
        <w:rPr>
          <w:sz w:val="24"/>
        </w:rPr>
        <w:t xml:space="preserve"> o I</w:t>
      </w:r>
      <w:r>
        <w:rPr>
          <w:sz w:val="20"/>
          <w:szCs w:val="20"/>
        </w:rPr>
        <w:t>L</w:t>
      </w:r>
      <w:r w:rsidRPr="00BF57B1">
        <w:rPr>
          <w:sz w:val="24"/>
        </w:rPr>
        <w:t>=0,18</w:t>
      </w:r>
      <w:r>
        <w:rPr>
          <w:sz w:val="24"/>
        </w:rPr>
        <w:t>),</w:t>
      </w:r>
    </w:p>
    <w:p w:rsidR="006D7126" w:rsidRPr="006F46CF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-wykonanie ręczne wykopu pod warstwę chudego betonu,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-należy dokonać komisyjnego odbioru wykopu fundamentowego przy udziale geologa, jak również rzędnych wykonanego podkładu betonowego,</w:t>
      </w:r>
    </w:p>
    <w:p w:rsidR="006D7126" w:rsidRDefault="006D7126" w:rsidP="006D7126">
      <w:pPr>
        <w:pStyle w:val="Tekstblokowy"/>
        <w:ind w:left="426"/>
        <w:rPr>
          <w:sz w:val="24"/>
          <w:u w:val="single"/>
        </w:rPr>
      </w:pPr>
      <w:r>
        <w:rPr>
          <w:sz w:val="24"/>
        </w:rPr>
        <w:t xml:space="preserve">-wykonanie </w:t>
      </w:r>
      <w:proofErr w:type="spellStart"/>
      <w:r>
        <w:rPr>
          <w:sz w:val="24"/>
        </w:rPr>
        <w:t>deskowań</w:t>
      </w:r>
      <w:proofErr w:type="spellEnd"/>
      <w:r>
        <w:rPr>
          <w:sz w:val="24"/>
        </w:rPr>
        <w:t xml:space="preserve"> i zbrojenia stóp i ław fundamentowych oraz dokonanie ich odbioru z wpisem do </w:t>
      </w:r>
      <w:r>
        <w:rPr>
          <w:sz w:val="24"/>
          <w:u w:val="single"/>
        </w:rPr>
        <w:t>dziennika budowy,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-betonowanie fundamentów z jednoczesną kontrolą mieszanki betonowej poprzez pobieranie próbek betonu do badań laboratoryjnych,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-próbki betonu należy przechowywać w warunkach identycznych jak wykonywana  konstrukcja betonowa, z której pobrano mieszankę betonową,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-betonowanie poszczególnych elementów stóp fundamentowych niezależnie od ich objętości musi być wykonane w jednym cyklu roboczym,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-prace zanikające należy starannie dokumentować w </w:t>
      </w:r>
      <w:r>
        <w:rPr>
          <w:sz w:val="24"/>
          <w:u w:val="single"/>
        </w:rPr>
        <w:t>dzienniku budowy</w:t>
      </w:r>
      <w:r>
        <w:rPr>
          <w:sz w:val="24"/>
        </w:rPr>
        <w:t>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-w okresie zimowym należy prowadzić rejestrację temperatur w czasie prac betoniarskich,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-zabrania się prowadzenia robót na zamarzniętym podłożu gruntowym,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-należy unikać pozostawienia otwartego wykopu na okres zimowy,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-należy wykonać zabezpieczenia wykopu przed zalaniem wodami opadowymi celem niedopuszczenia do rozluźnienia podłoża,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-odchylenia w poziomach spodu fundamentów nie powinny być większe niż 5cm,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-odchylenia w poziomach wierzchu konstrukcji fundamentowych nie powinny przekraczać 2 cm,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-odchylenia usytuowania osi fundamentowych nie mogą przekraczać 10 mm.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Badanie próbek betonu winno prowadzić niezależne laboratorium badawcze, a wyniki badań należy archiwizować jako część dokumentacji powykonawczej dla budynku.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Należy poza tym zadbać o zgodną z zasadami pielęgnację betonu. Ewentualne ubytki w strukturze betonu (raki, kawerny) należy naprawiać przy użyciu zaprawy cementowej M12. Naprawy powierzchniowe należy wykonać przed przystąpieniem do prac izolacyjnych, powierzchniowych (preparat powłokowy).</w:t>
      </w:r>
    </w:p>
    <w:p w:rsidR="006D7126" w:rsidRDefault="006D7126" w:rsidP="006D7126">
      <w:pPr>
        <w:pStyle w:val="Tekstblokowy"/>
        <w:ind w:left="0"/>
        <w:rPr>
          <w:sz w:val="24"/>
        </w:rPr>
      </w:pPr>
      <w:r>
        <w:rPr>
          <w:sz w:val="24"/>
        </w:rPr>
        <w:t xml:space="preserve">6.2   </w:t>
      </w:r>
      <w:r w:rsidRPr="00BF57B1">
        <w:rPr>
          <w:sz w:val="24"/>
        </w:rPr>
        <w:t xml:space="preserve">Ściany </w:t>
      </w:r>
      <w:proofErr w:type="spellStart"/>
      <w:r w:rsidRPr="00BF57B1">
        <w:rPr>
          <w:sz w:val="24"/>
        </w:rPr>
        <w:t>nadziemia</w:t>
      </w:r>
      <w:proofErr w:type="spellEnd"/>
      <w:r w:rsidRPr="00BF57B1">
        <w:rPr>
          <w:sz w:val="24"/>
        </w:rPr>
        <w:t>, nadproża</w:t>
      </w:r>
      <w:r w:rsidRPr="00F6451D">
        <w:rPr>
          <w:color w:val="92D050"/>
          <w:sz w:val="24"/>
        </w:rPr>
        <w:t>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Ściany wewnętrzne i zewnętrzne konstrukcyjne o grubości 25 cm wykonać z    cegły ceramicznej kratówki  kl.15 na zaprawie M5.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Ścianki działowe projektuje się z płytek gazobetonowych lub równoważnego materiału na zaprawie M5.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 Bardzo istotne jest zachowanie właściwej grubości spoin w murach: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-12 mm wspornych (poziomych), max. 17 mm, min. 10 mm,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-10 mm pionowych podłużnych i poprzecznych ; max. 15 mm, min. 5 mm.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Wraz ze wznoszeniem murów należy jednocześnie wykonywać wnęki i bruzdy instalacyjne.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Nadproża zaprojektowano z prefabrykowanych belek L19 lub jako monolityczne z betonu C20/25 i stali AIIIN. Minimalna głębokość oparcia belek nadprożowych L19 winna wynosić min. 9 cm z każdej strony.</w:t>
      </w:r>
    </w:p>
    <w:p w:rsidR="006D7126" w:rsidRDefault="006D7126" w:rsidP="006D7126">
      <w:pPr>
        <w:pStyle w:val="Tekstblokowy"/>
        <w:ind w:left="0"/>
        <w:rPr>
          <w:sz w:val="24"/>
        </w:rPr>
      </w:pPr>
      <w:r>
        <w:rPr>
          <w:sz w:val="24"/>
        </w:rPr>
        <w:t xml:space="preserve"> 6.3  Stropy, stropodach, wieńce.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lastRenderedPageBreak/>
        <w:t xml:space="preserve">Stropy wykonać w technologii RECTOBETON o wysokości konstrukcyjnej (18+6)  cm. Rozstaw belek wynosi a=59,5 cm. Belki systemu stropowego RECTOBETON są wykonywane z betonu sprężonego i mają kształt odwróconej litery T i produkowane są o rozpiętościach od 1,0 do 10,0 m. Górna powierzchnia belek ma kształt </w:t>
      </w:r>
      <w:proofErr w:type="spellStart"/>
      <w:r>
        <w:rPr>
          <w:sz w:val="24"/>
        </w:rPr>
        <w:t>dyblowany</w:t>
      </w:r>
      <w:proofErr w:type="spellEnd"/>
      <w:r>
        <w:rPr>
          <w:sz w:val="24"/>
        </w:rPr>
        <w:t xml:space="preserve">, co zapewnia jej dobrą przyczepność do betonu monolitycznego. Dodatkowo dla zapewnienia dostatecznego zakotwienia belek w żelbetowych wieńcach stropowych, końce splotów wypuszczone są z powierzchni czołowych na długość min. 8 cm.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Wypełnienie stropowe stanowią pustaki żwirobetonowe, </w:t>
      </w:r>
      <w:proofErr w:type="spellStart"/>
      <w:r>
        <w:rPr>
          <w:sz w:val="24"/>
        </w:rPr>
        <w:t>wibroprasowane</w:t>
      </w:r>
      <w:proofErr w:type="spellEnd"/>
      <w:r>
        <w:rPr>
          <w:sz w:val="24"/>
        </w:rPr>
        <w:t xml:space="preserve">. Wysokość pustaków w systemie ma wysokość od 7 do 25 cm.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Beton monolityczny wykonywany na budowie ma klasę C20/25.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Pod ścianki działowe równoległe do belek stropowych należy montować po dwie belki obok siebie. Na ścianach z cegły kratówki długość oparcia belek na podporach winna wynosić min. 7 cm. Bezpośrednio pod oparciem belek należy dać dwie warstwy z cegły pełnej ceramicznej kl. 15 na zaprawie M12, przy czym ostatnia warstwa musi być główkowa.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Stropy RECTOR należy dozbroić nad podporami na momenty ujemne; zbrojenie to zostanie uwzględnione w PW, który zostanie wykonany przez Firmę RECTOR.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Belki stropowe należy podpierać na czas montażu i twardnienia betonu podporami montażowymi w max. rozstawach: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 do 2,0 m rozpiętości – bez podpory,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 od 2,1 do 4,9 m rozpiętości – montaż z jedna podporą,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- powyżej 5,0 m rozpiętości – montaż z dwiema podporami.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Podpory powinny być montowane tak, aby możliwe było zachowanie podczas montażu ujemnej strzałki ugięcia. Ujemna strzałka ugięcia nie powinna przekraczać wartości L=500 (L – rozpiętość w świetle ścian). Podpory montażowe należy ustawiać przed układaniem pustaków.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>Podpory montażowe można usunąć po osiągnięciu przez beton wytrzymałości 0,7 Rb.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Strop winien mieć klasę REI 60 – zapewnia ją </w:t>
      </w:r>
      <w:proofErr w:type="spellStart"/>
      <w:r>
        <w:rPr>
          <w:sz w:val="24"/>
        </w:rPr>
        <w:t>nadbeton</w:t>
      </w:r>
      <w:proofErr w:type="spellEnd"/>
      <w:r>
        <w:rPr>
          <w:sz w:val="24"/>
        </w:rPr>
        <w:t xml:space="preserve"> o grubości 60 mm oraz tynk gipsowy od spodu o grubości 15 mm.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W poziomach kondygnacji zaprojektowano wieńce żelbetowe z betonu C25/30 i stali AIIIN. Należy je betonować łącznie ze stropami.</w:t>
      </w:r>
    </w:p>
    <w:p w:rsidR="006D7126" w:rsidRDefault="006D7126" w:rsidP="006D7126">
      <w:pPr>
        <w:pStyle w:val="Tekstblokowy1"/>
        <w:ind w:left="426" w:right="0" w:hanging="426"/>
        <w:rPr>
          <w:sz w:val="24"/>
          <w:szCs w:val="24"/>
        </w:rPr>
      </w:pPr>
      <w:r>
        <w:rPr>
          <w:sz w:val="24"/>
          <w:szCs w:val="24"/>
        </w:rPr>
        <w:t xml:space="preserve"> 6.4 Elementy monolityczne.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Konstrukcja ścian jest lokalnie wzmocniona na działanie sił poziomych słupkami żelbetowymi z betonu C20/25 XC3 zbrojonymi stalą A III N oraz wieńcami żelbetowymi w poziomach stropów z materiału jw. Podciągi oraz nadproża żelbetowe należy wykonać z betonu C25/30 XC3 zbrojonego stalą A III N.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Słupy lokalizowane w ścianach wykonać należy z betonu C20/25 i stali AIIIN; słupy wolno stojące z betonu C25/30 i stali AIIIN</w:t>
      </w:r>
    </w:p>
    <w:p w:rsidR="006D7126" w:rsidRDefault="006D7126" w:rsidP="006D7126">
      <w:pPr>
        <w:pStyle w:val="Tekstblokowy"/>
        <w:ind w:left="426" w:hanging="354"/>
        <w:rPr>
          <w:sz w:val="24"/>
        </w:rPr>
      </w:pPr>
      <w:r>
        <w:rPr>
          <w:sz w:val="24"/>
        </w:rPr>
        <w:t xml:space="preserve">      </w:t>
      </w:r>
      <w:r w:rsidRPr="002A50B7">
        <w:rPr>
          <w:sz w:val="24"/>
        </w:rPr>
        <w:t xml:space="preserve">Należy stosować do stabilizacji zbrojenia </w:t>
      </w:r>
      <w:proofErr w:type="spellStart"/>
      <w:r w:rsidRPr="002A50B7">
        <w:rPr>
          <w:sz w:val="24"/>
        </w:rPr>
        <w:t>odstępniki</w:t>
      </w:r>
      <w:proofErr w:type="spellEnd"/>
      <w:r w:rsidRPr="002A50B7">
        <w:rPr>
          <w:sz w:val="24"/>
        </w:rPr>
        <w:t xml:space="preserve"> systemowe. Grubość otuliny zbroje</w:t>
      </w:r>
      <w:r>
        <w:rPr>
          <w:sz w:val="24"/>
        </w:rPr>
        <w:t xml:space="preserve">nia głównego winna wynosić: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- w słupach, nadprożach i podciągach  - 30 mm. </w:t>
      </w:r>
    </w:p>
    <w:p w:rsidR="006D7126" w:rsidRDefault="006D7126" w:rsidP="006D7126">
      <w:pPr>
        <w:pStyle w:val="Tekstblokowy"/>
        <w:ind w:left="426" w:hanging="354"/>
        <w:rPr>
          <w:sz w:val="24"/>
        </w:rPr>
      </w:pPr>
      <w:r>
        <w:rPr>
          <w:sz w:val="24"/>
        </w:rPr>
        <w:t xml:space="preserve">      Zabrania się stosowania</w:t>
      </w:r>
      <w:r w:rsidRPr="002A50B7">
        <w:rPr>
          <w:sz w:val="24"/>
        </w:rPr>
        <w:t xml:space="preserve"> jako </w:t>
      </w:r>
      <w:proofErr w:type="spellStart"/>
      <w:r w:rsidRPr="002A50B7">
        <w:rPr>
          <w:sz w:val="24"/>
        </w:rPr>
        <w:t>odstępników</w:t>
      </w:r>
      <w:proofErr w:type="spellEnd"/>
      <w:r w:rsidRPr="002A50B7">
        <w:rPr>
          <w:sz w:val="24"/>
        </w:rPr>
        <w:t xml:space="preserve"> odcinków z prętów stalowych. </w:t>
      </w:r>
    </w:p>
    <w:p w:rsidR="006D7126" w:rsidRPr="008A2B81" w:rsidRDefault="006D7126" w:rsidP="006D7126">
      <w:pPr>
        <w:pStyle w:val="Tekstblokowy"/>
        <w:ind w:left="426"/>
        <w:rPr>
          <w:sz w:val="24"/>
        </w:rPr>
      </w:pPr>
      <w:r w:rsidRPr="002A50B7">
        <w:rPr>
          <w:sz w:val="24"/>
        </w:rPr>
        <w:t xml:space="preserve">Podczas robót betonowych należy pobierać próbki betonu do badań laboratoryjnych. Próbki te winny być przechowywane w warunkach identycznych jak konstrukcja, z której je pobrano. Kontrolę jakości betonu winno prowadzić niezależne laboratorium. Odchyłki wymiarowe elementów betonowych winny być zgodne z tabl. </w:t>
      </w:r>
      <w:r w:rsidRPr="008A2B81">
        <w:rPr>
          <w:sz w:val="24"/>
        </w:rPr>
        <w:t>10-3 WTW i ORBM.</w:t>
      </w:r>
    </w:p>
    <w:p w:rsidR="006D7126" w:rsidRPr="008A2B81" w:rsidRDefault="006D7126" w:rsidP="006D7126">
      <w:pPr>
        <w:pStyle w:val="Tekstblokowy"/>
        <w:ind w:left="426" w:hanging="426"/>
        <w:rPr>
          <w:sz w:val="24"/>
        </w:rPr>
      </w:pPr>
      <w:r w:rsidRPr="008A2B81">
        <w:rPr>
          <w:sz w:val="24"/>
        </w:rPr>
        <w:t>6.5  Schody.</w:t>
      </w:r>
    </w:p>
    <w:p w:rsidR="006D7126" w:rsidRPr="008A2B81" w:rsidRDefault="006D7126" w:rsidP="006D7126">
      <w:pPr>
        <w:pStyle w:val="Tekstblokowy"/>
        <w:ind w:left="426"/>
        <w:rPr>
          <w:sz w:val="24"/>
        </w:rPr>
      </w:pPr>
      <w:r w:rsidRPr="008A2B81">
        <w:rPr>
          <w:sz w:val="24"/>
        </w:rPr>
        <w:lastRenderedPageBreak/>
        <w:t xml:space="preserve"> Schody zaprojektowano jako płytowe z betonu C20/25 zbrojone stalą AIIIN. Bieg górny podparty jest na płycie spocznika i podestu; bieg dolny górą jest zakotwiony w płycie spocznika, dołem schody są zakotwione w fundamencie blokowym. Pod fundamentem należy zagęścić podłoże. Otulina zbrojenia w schodach – 20 mm; od dołu schody należy otynkować (15 mm). </w:t>
      </w:r>
    </w:p>
    <w:p w:rsidR="006D7126" w:rsidRPr="008A2B81" w:rsidRDefault="006D7126" w:rsidP="006D7126">
      <w:pPr>
        <w:pStyle w:val="Tekstblokowy"/>
        <w:ind w:left="0"/>
        <w:rPr>
          <w:sz w:val="24"/>
        </w:rPr>
      </w:pPr>
      <w:r w:rsidRPr="008A2B81">
        <w:rPr>
          <w:sz w:val="24"/>
        </w:rPr>
        <w:t xml:space="preserve">6.6 Konstrukcje stalowe dachu. </w:t>
      </w:r>
    </w:p>
    <w:p w:rsidR="006D7126" w:rsidRPr="008A2B81" w:rsidRDefault="006D7126" w:rsidP="006D7126">
      <w:pPr>
        <w:pStyle w:val="Tekstblokowy"/>
        <w:ind w:left="426"/>
        <w:rPr>
          <w:sz w:val="24"/>
        </w:rPr>
      </w:pPr>
      <w:r w:rsidRPr="008A2B81">
        <w:rPr>
          <w:sz w:val="24"/>
        </w:rPr>
        <w:t xml:space="preserve"> Konstrukcja podłogi tarasu jest zaprojektowana jako stalowa, belkowa z profili walcowanych i zamkniętych, giętych na zimno. Podparcie konstrukcji na ścianach </w:t>
      </w:r>
      <w:proofErr w:type="spellStart"/>
      <w:r w:rsidRPr="008A2B81">
        <w:rPr>
          <w:sz w:val="24"/>
        </w:rPr>
        <w:t>zewnętrzcych</w:t>
      </w:r>
      <w:proofErr w:type="spellEnd"/>
      <w:r w:rsidRPr="008A2B81">
        <w:rPr>
          <w:sz w:val="24"/>
        </w:rPr>
        <w:t xml:space="preserve"> tarasu i stropie RECTOR. Mocowanie słupków stalowych na kotwy wklejane na ładunek HIT-RE500. </w:t>
      </w:r>
    </w:p>
    <w:p w:rsidR="006D7126" w:rsidRPr="008A2B81" w:rsidRDefault="006D7126" w:rsidP="006D7126">
      <w:pPr>
        <w:pStyle w:val="Tekstblokowy"/>
        <w:ind w:left="426"/>
        <w:rPr>
          <w:sz w:val="24"/>
        </w:rPr>
      </w:pPr>
      <w:r w:rsidRPr="008A2B81">
        <w:rPr>
          <w:sz w:val="24"/>
        </w:rPr>
        <w:t xml:space="preserve"> Zadaszenie nad wejściem zaprojektowano w konstrukcji stalowej opartej na słupie stalowym z rury D219,1/8,0 mm oraz ścianach zewnętrznych budynku. Belki nośne z profili walcowanych,  element drugorzędne z profile </w:t>
      </w:r>
      <w:proofErr w:type="spellStart"/>
      <w:r w:rsidRPr="008A2B81">
        <w:rPr>
          <w:sz w:val="24"/>
        </w:rPr>
        <w:t>zamknietych</w:t>
      </w:r>
      <w:proofErr w:type="spellEnd"/>
      <w:r w:rsidRPr="008A2B81">
        <w:rPr>
          <w:sz w:val="24"/>
        </w:rPr>
        <w:t xml:space="preserve">, giętych na zimno. Połączenia zaprojektowano jako spawane. Słup posadowić na stopie fundamentowej z połączeniem na kotwy wklejane HILTI lub równoważne. </w:t>
      </w:r>
    </w:p>
    <w:p w:rsidR="006D7126" w:rsidRPr="008A2B81" w:rsidRDefault="006D7126" w:rsidP="006D7126">
      <w:pPr>
        <w:pStyle w:val="Tekstblokowy"/>
        <w:ind w:left="426"/>
        <w:rPr>
          <w:sz w:val="24"/>
        </w:rPr>
      </w:pPr>
      <w:r w:rsidRPr="008A2B81">
        <w:rPr>
          <w:sz w:val="24"/>
        </w:rPr>
        <w:t xml:space="preserve"> Stal konstrukcji S235JR, elektrody ER146, śruby kl. 8.8.     </w:t>
      </w:r>
    </w:p>
    <w:p w:rsidR="006D7126" w:rsidRDefault="006D7126" w:rsidP="006D7126">
      <w:pPr>
        <w:pStyle w:val="Tekstblokowy"/>
        <w:ind w:left="0"/>
        <w:rPr>
          <w:b/>
          <w:bCs/>
          <w:sz w:val="24"/>
        </w:rPr>
      </w:pPr>
      <w:r>
        <w:rPr>
          <w:b/>
          <w:bCs/>
          <w:sz w:val="24"/>
        </w:rPr>
        <w:t>7.    Zalecenia wykonawcze.</w:t>
      </w:r>
    </w:p>
    <w:p w:rsidR="006D7126" w:rsidRDefault="006D7126" w:rsidP="006D7126">
      <w:pPr>
        <w:pStyle w:val="Tekstblokowy"/>
        <w:ind w:left="0"/>
        <w:rPr>
          <w:sz w:val="24"/>
        </w:rPr>
      </w:pPr>
      <w:r>
        <w:rPr>
          <w:sz w:val="24"/>
        </w:rPr>
        <w:t>7.1   Izolacje elementów betonowych.</w:t>
      </w:r>
    </w:p>
    <w:p w:rsidR="006D7126" w:rsidRDefault="006D7126" w:rsidP="006D7126">
      <w:pPr>
        <w:pStyle w:val="Tekstblokowy"/>
        <w:ind w:left="540"/>
        <w:rPr>
          <w:sz w:val="24"/>
        </w:rPr>
      </w:pPr>
      <w:r>
        <w:rPr>
          <w:sz w:val="24"/>
        </w:rPr>
        <w:t xml:space="preserve">Betonowe konstrukcje będące na styku z gruntem należy izolować dwukrotnie materiałem powłokowym. </w:t>
      </w:r>
    </w:p>
    <w:p w:rsidR="006D7126" w:rsidRDefault="006D7126" w:rsidP="006D7126">
      <w:pPr>
        <w:pStyle w:val="Tekstblokowy"/>
        <w:ind w:left="284" w:hanging="284"/>
        <w:rPr>
          <w:sz w:val="24"/>
        </w:rPr>
      </w:pPr>
      <w:r>
        <w:rPr>
          <w:sz w:val="24"/>
        </w:rPr>
        <w:t>7.2 Zabezpieczenie antykorozyjne elementów konstrukcji stalowych.</w:t>
      </w:r>
    </w:p>
    <w:p w:rsidR="006D7126" w:rsidRDefault="006D7126" w:rsidP="006D7126">
      <w:pPr>
        <w:pStyle w:val="Tekstblokowy"/>
        <w:ind w:left="426" w:hanging="349"/>
        <w:rPr>
          <w:sz w:val="24"/>
        </w:rPr>
      </w:pPr>
      <w:r>
        <w:rPr>
          <w:sz w:val="24"/>
        </w:rPr>
        <w:t xml:space="preserve">     Kategoria korozyjności konstrukcji stalowej – C3 –średnia – atmosfery miejskie,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Elementy stalowe należy oczyścić poprzez piaskowanie – przygotowanie powierzchni </w:t>
      </w:r>
      <w:r>
        <w:rPr>
          <w:b/>
          <w:bCs/>
          <w:sz w:val="24"/>
        </w:rPr>
        <w:t>SA2.5</w:t>
      </w:r>
      <w:r>
        <w:rPr>
          <w:sz w:val="24"/>
        </w:rPr>
        <w:t xml:space="preserve"> wg ISO 8501-02.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Zabezpieczenie konstrukcji winno się odbywać w wytwórni.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Warstwa I – podkład dwuskładnikowy utwardzany poliamidowo na bazie fosforanu cynku SIGMACOVER CM PRIMER – grubość powłoki 60 </w:t>
      </w:r>
      <w:proofErr w:type="spellStart"/>
      <w:r>
        <w:rPr>
          <w:sz w:val="24"/>
        </w:rPr>
        <w:t>μm</w:t>
      </w:r>
      <w:proofErr w:type="spellEnd"/>
      <w:r>
        <w:rPr>
          <w:sz w:val="24"/>
        </w:rPr>
        <w:t>,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Warstwa II – farba nawierzchniowa poliuretanowa, dwuskładnikowa utwardzana izocyjanianem alifatycznym SIGADUR HB FINISH o grubości powłoki 2x50 </w:t>
      </w:r>
      <w:proofErr w:type="spellStart"/>
      <w:r>
        <w:rPr>
          <w:sz w:val="24"/>
        </w:rPr>
        <w:t>μm</w:t>
      </w:r>
      <w:proofErr w:type="spellEnd"/>
      <w:r>
        <w:rPr>
          <w:sz w:val="24"/>
        </w:rPr>
        <w:t xml:space="preserve">. Łączna grubość powłoki 160 </w:t>
      </w:r>
      <w:proofErr w:type="spellStart"/>
      <w:r>
        <w:rPr>
          <w:sz w:val="24"/>
        </w:rPr>
        <w:t>μm</w:t>
      </w:r>
      <w:proofErr w:type="spellEnd"/>
      <w:r>
        <w:rPr>
          <w:sz w:val="24"/>
        </w:rPr>
        <w:t>.</w:t>
      </w:r>
    </w:p>
    <w:p w:rsidR="006D7126" w:rsidRDefault="006D7126" w:rsidP="006D7126">
      <w:pPr>
        <w:pStyle w:val="Tekstblokowy"/>
        <w:ind w:left="426" w:firstLine="71"/>
        <w:rPr>
          <w:sz w:val="24"/>
        </w:rPr>
      </w:pPr>
      <w:r>
        <w:rPr>
          <w:sz w:val="24"/>
        </w:rPr>
        <w:t xml:space="preserve"> Kolor farby nawierzchniowej wg projektu kolorystyki. 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 Możliwe jest stosowanie innych powłok malarskich (równoważnych) po  uzgodnieniu z projektantem. </w:t>
      </w:r>
    </w:p>
    <w:p w:rsidR="006D7126" w:rsidRDefault="006D7126" w:rsidP="006D7126">
      <w:pPr>
        <w:pStyle w:val="Tekstblokowy"/>
        <w:numPr>
          <w:ilvl w:val="1"/>
          <w:numId w:val="4"/>
        </w:numPr>
        <w:ind w:left="426" w:hanging="426"/>
        <w:rPr>
          <w:sz w:val="24"/>
        </w:rPr>
      </w:pPr>
      <w:r>
        <w:rPr>
          <w:sz w:val="24"/>
        </w:rPr>
        <w:t xml:space="preserve"> Zabezpieczenie przeciwogniowe.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sz w:val="24"/>
        </w:rPr>
        <w:t xml:space="preserve">Wykonać wg projektu architektury. </w:t>
      </w:r>
    </w:p>
    <w:p w:rsidR="006D7126" w:rsidRPr="00A06CB0" w:rsidRDefault="006D7126" w:rsidP="006D7126">
      <w:pPr>
        <w:pStyle w:val="Nagwek2"/>
        <w:tabs>
          <w:tab w:val="left" w:pos="3456"/>
        </w:tabs>
        <w:ind w:left="284" w:right="309" w:hanging="284"/>
        <w:rPr>
          <w:rFonts w:ascii="Arial" w:hAnsi="Arial" w:cs="Arial"/>
          <w:b/>
          <w:i/>
          <w:sz w:val="24"/>
          <w:szCs w:val="24"/>
        </w:rPr>
      </w:pPr>
      <w:r w:rsidRPr="00A06CB0">
        <w:rPr>
          <w:rFonts w:ascii="Arial" w:hAnsi="Arial" w:cs="Arial"/>
          <w:b/>
          <w:i/>
          <w:sz w:val="24"/>
          <w:szCs w:val="24"/>
        </w:rPr>
        <w:t>7.4</w:t>
      </w:r>
      <w:r w:rsidRPr="00A06CB0">
        <w:rPr>
          <w:rFonts w:ascii="Arial" w:hAnsi="Arial" w:cs="Arial"/>
          <w:i/>
          <w:sz w:val="24"/>
          <w:szCs w:val="24"/>
        </w:rPr>
        <w:t xml:space="preserve"> </w:t>
      </w:r>
      <w:r w:rsidRPr="00A06CB0">
        <w:rPr>
          <w:rFonts w:ascii="Arial" w:hAnsi="Arial" w:cs="Arial"/>
          <w:b/>
          <w:i/>
          <w:sz w:val="24"/>
          <w:szCs w:val="24"/>
        </w:rPr>
        <w:t>Roboty murarskie</w:t>
      </w:r>
    </w:p>
    <w:p w:rsidR="006D7126" w:rsidRDefault="006D7126" w:rsidP="006D7126">
      <w:pPr>
        <w:pStyle w:val="Akapitzlist"/>
        <w:rPr>
          <w:rFonts w:ascii="Arial" w:hAnsi="Arial" w:cs="Arial"/>
        </w:rPr>
      </w:pPr>
      <w:r>
        <w:t xml:space="preserve"> </w:t>
      </w:r>
      <w:r w:rsidRPr="00F74CED">
        <w:rPr>
          <w:rFonts w:ascii="Arial" w:hAnsi="Arial" w:cs="Arial"/>
        </w:rPr>
        <w:t xml:space="preserve"> Dla robót murarskich ustala się kategorię A wykonania robót (wg PN-B-03002), tj. roboty wykonuje wyszkolony zespół pod nadzorem majstra murarskiego, stosowane są zaprawy fabryczne a jakość robót kontroluje osoba o odpowiednich kwalifikacjach, jednocześnie wymaga się, aby kategoria prod</w:t>
      </w:r>
      <w:r>
        <w:rPr>
          <w:rFonts w:ascii="Arial" w:hAnsi="Arial" w:cs="Arial"/>
        </w:rPr>
        <w:t>ukcji elementów murowych była I.</w:t>
      </w:r>
    </w:p>
    <w:p w:rsidR="006D7126" w:rsidRPr="00F74CED" w:rsidRDefault="006D7126" w:rsidP="006D7126">
      <w:pPr>
        <w:pStyle w:val="Akapitzlist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F74CED">
        <w:rPr>
          <w:rFonts w:ascii="Arial" w:hAnsi="Arial" w:cs="Arial"/>
        </w:rPr>
        <w:t>7.5 Konstrukcje stalowe</w:t>
      </w:r>
    </w:p>
    <w:p w:rsidR="006D7126" w:rsidRPr="00F74CED" w:rsidRDefault="006D7126" w:rsidP="006D7126">
      <w:pPr>
        <w:pStyle w:val="Akapitzlist"/>
        <w:rPr>
          <w:rFonts w:ascii="Arial" w:hAnsi="Arial" w:cs="Arial"/>
        </w:rPr>
      </w:pPr>
      <w:r w:rsidRPr="00F74CED">
        <w:rPr>
          <w:rFonts w:ascii="Arial" w:hAnsi="Arial" w:cs="Arial"/>
        </w:rPr>
        <w:t xml:space="preserve">  Elementy konstrukcyjne sklasyfikowano do 2 klasy konstrukcji stalowych wg PN-B-06200.</w:t>
      </w:r>
    </w:p>
    <w:p w:rsidR="006D7126" w:rsidRDefault="006D7126" w:rsidP="006D7126">
      <w:pPr>
        <w:pStyle w:val="Akapitzlist"/>
        <w:rPr>
          <w:rFonts w:ascii="Arial" w:hAnsi="Arial" w:cs="Arial"/>
        </w:rPr>
      </w:pPr>
      <w:r>
        <w:t xml:space="preserve">  </w:t>
      </w:r>
      <w:r w:rsidRPr="000F3098">
        <w:rPr>
          <w:rFonts w:ascii="Arial" w:hAnsi="Arial" w:cs="Arial"/>
        </w:rPr>
        <w:t xml:space="preserve">Wszystkie prace należy wykonywać zgodnie z obowiązującymi przepisami.     Sprawdzenie wstępne i kontrola jakości spoin wg „Warunków technicznych wykonania i odbioru elementów wysyłkowych stalowych konstrukcji budowlanych.” Przy montażu konstrukcji obowiązują najnowsze „Warunki Techniczne Wykonania i Odbioru Robót Budowlano Montażowych”. Dla konstrukcji stalowej obowiązuje norma PN-B-06200 „Konstrukcje stalowe </w:t>
      </w:r>
      <w:r w:rsidRPr="000F3098">
        <w:rPr>
          <w:rFonts w:ascii="Arial" w:hAnsi="Arial" w:cs="Arial"/>
        </w:rPr>
        <w:lastRenderedPageBreak/>
        <w:t xml:space="preserve">budowlane. Warunki wykonania i odbioru. Wymagania </w:t>
      </w:r>
      <w:proofErr w:type="spellStart"/>
      <w:r w:rsidRPr="000F3098">
        <w:rPr>
          <w:rFonts w:ascii="Arial" w:hAnsi="Arial" w:cs="Arial"/>
        </w:rPr>
        <w:t>podstawowe.”Elementy</w:t>
      </w:r>
      <w:proofErr w:type="spellEnd"/>
      <w:r w:rsidRPr="000F3098">
        <w:rPr>
          <w:rFonts w:ascii="Arial" w:hAnsi="Arial" w:cs="Arial"/>
        </w:rPr>
        <w:t xml:space="preserve"> zakończone z obydwu stron blachami czołowymi można wykonać w tolerancji ujemnej i zastosować przekładki umożliwiające montaż – w takim wypadku należy na nowo przeanalizować długości śrub. Montaż konstrukcji stalowej należy prowadzić w sposób staranny zwracając szczególną uwagę na dokręcenie odpowiednim dla danej śruby momentem. Kolejność montażu opracuje Wykonawca we własnym zakresie. Należy zwrócić szczególną uwagę na prawidłowe stężenia konstrukcji podczas montażu. W przypadku znacznych odkształceń elementów stalowych w czasie montażu Wykonawca ma obowiązek poinformowania o tym Projektanta konstrukcji i stężenia montażowego odkształconego elementu. Elementy konstrukcji nośnej (słupy i</w:t>
      </w:r>
      <w:r>
        <w:rPr>
          <w:rFonts w:ascii="Arial" w:hAnsi="Arial" w:cs="Arial"/>
        </w:rPr>
        <w:t xml:space="preserve"> belki) </w:t>
      </w:r>
      <w:r w:rsidRPr="000F3098">
        <w:rPr>
          <w:rFonts w:ascii="Arial" w:hAnsi="Arial" w:cs="Arial"/>
        </w:rPr>
        <w:t>należy spawać półautomatem, niedopuszczalne jest spawanie ręczne.</w:t>
      </w:r>
    </w:p>
    <w:p w:rsidR="006D7126" w:rsidRDefault="006D7126" w:rsidP="006D7126">
      <w:pPr>
        <w:pStyle w:val="Tekstblokowy"/>
        <w:ind w:left="709"/>
        <w:rPr>
          <w:sz w:val="24"/>
        </w:rPr>
      </w:pPr>
      <w:r>
        <w:rPr>
          <w:sz w:val="24"/>
        </w:rPr>
        <w:t xml:space="preserve">   </w:t>
      </w:r>
      <w:r w:rsidRPr="000F3098">
        <w:rPr>
          <w:sz w:val="24"/>
        </w:rPr>
        <w:t>Połączenia na śruby są traktowane jako zwykłe. Części łączone winny być dociągnięte aż do uzyskania dobrego przylegania. Śruby winny być dokręcane do</w:t>
      </w:r>
      <w:r>
        <w:rPr>
          <w:sz w:val="24"/>
        </w:rPr>
        <w:t xml:space="preserve"> </w:t>
      </w:r>
      <w:r w:rsidRPr="000F3098">
        <w:rPr>
          <w:sz w:val="24"/>
        </w:rPr>
        <w:t>osiągnięcia właściwego momentu dokręcenia, sukcesywnie od środka każdego połączenia wielośrubowego. Osiągnięcie odpowiedniego momentu dokręcenia sygnalizuje w ręcznym kluczu dynamometrycznym „złamanie się” klucza w przegubie, trzask metaliczny albo wskaźnik zegarowy. Śruba po dokręceniu nie powinna się przesuwać ani wyraźnie drgać przy ostukiwaniu młotkiem kontrolnym</w:t>
      </w:r>
    </w:p>
    <w:p w:rsidR="006D7126" w:rsidRDefault="006D7126" w:rsidP="006D7126">
      <w:pPr>
        <w:pStyle w:val="Tekstblokowy"/>
        <w:ind w:left="360" w:hanging="360"/>
        <w:rPr>
          <w:sz w:val="24"/>
        </w:rPr>
      </w:pPr>
      <w:r>
        <w:rPr>
          <w:b/>
          <w:bCs/>
          <w:sz w:val="24"/>
        </w:rPr>
        <w:t>8.   Uwagi końcowe.</w:t>
      </w:r>
      <w:r>
        <w:rPr>
          <w:sz w:val="24"/>
        </w:rPr>
        <w:t xml:space="preserve"> </w:t>
      </w:r>
    </w:p>
    <w:p w:rsidR="006D7126" w:rsidRDefault="006D7126" w:rsidP="006D7126">
      <w:pPr>
        <w:pStyle w:val="Tekstblokowy"/>
        <w:ind w:left="540" w:hanging="360"/>
        <w:rPr>
          <w:sz w:val="24"/>
        </w:rPr>
      </w:pPr>
      <w:r>
        <w:rPr>
          <w:sz w:val="24"/>
        </w:rPr>
        <w:t xml:space="preserve">     Należy wbudowywać jedynie materiały posiadające ważne atesty, aprobaty techniczne i certyfikaty wydane przez Instytut Techniki Budowlanej w Warszawie. </w:t>
      </w:r>
    </w:p>
    <w:p w:rsidR="006D7126" w:rsidRDefault="006D7126" w:rsidP="006D7126">
      <w:pPr>
        <w:pStyle w:val="Tekstblokowy"/>
        <w:ind w:left="540" w:hanging="360"/>
        <w:rPr>
          <w:sz w:val="20"/>
        </w:rPr>
      </w:pPr>
      <w:r>
        <w:rPr>
          <w:sz w:val="24"/>
        </w:rPr>
        <w:t xml:space="preserve">       Deskowania konstrukcji żelbetowych można usunąć po uzyskaniu przez beton 0,7 R</w:t>
      </w:r>
      <w:r>
        <w:rPr>
          <w:sz w:val="20"/>
        </w:rPr>
        <w:t>b.</w:t>
      </w:r>
    </w:p>
    <w:p w:rsidR="006D7126" w:rsidRPr="0095640E" w:rsidRDefault="006D7126" w:rsidP="006D7126">
      <w:pPr>
        <w:pStyle w:val="Tekstblokowy"/>
        <w:ind w:left="540" w:hanging="360"/>
        <w:rPr>
          <w:b/>
          <w:sz w:val="24"/>
        </w:rPr>
      </w:pPr>
      <w:r>
        <w:rPr>
          <w:sz w:val="20"/>
        </w:rPr>
        <w:t xml:space="preserve">      </w:t>
      </w:r>
      <w:r w:rsidRPr="0095640E">
        <w:rPr>
          <w:b/>
          <w:sz w:val="24"/>
        </w:rPr>
        <w:t>Obliczenia statyczne znajdują się w archiwum Pracowni Projektowej.</w:t>
      </w:r>
    </w:p>
    <w:p w:rsidR="006D7126" w:rsidRPr="00B643BE" w:rsidRDefault="006D7126" w:rsidP="006D7126">
      <w:pPr>
        <w:spacing w:line="276" w:lineRule="auto"/>
        <w:ind w:left="709" w:firstLine="709"/>
        <w:jc w:val="both"/>
        <w:rPr>
          <w:rFonts w:ascii="Arial" w:hAnsi="Arial" w:cs="Arial"/>
          <w:u w:val="single"/>
        </w:rPr>
      </w:pPr>
      <w:r>
        <w:t xml:space="preserve">  </w:t>
      </w:r>
      <w:r w:rsidRPr="00B643BE">
        <w:rPr>
          <w:rFonts w:ascii="Arial" w:hAnsi="Arial" w:cs="Arial"/>
          <w:u w:val="single"/>
        </w:rPr>
        <w:t>Deskowanie</w:t>
      </w:r>
    </w:p>
    <w:p w:rsidR="006D7126" w:rsidRPr="00B643BE" w:rsidRDefault="006D7126" w:rsidP="006D7126">
      <w:pPr>
        <w:spacing w:line="276" w:lineRule="auto"/>
        <w:ind w:left="709"/>
        <w:rPr>
          <w:rFonts w:ascii="Arial" w:hAnsi="Arial" w:cs="Arial"/>
        </w:rPr>
      </w:pPr>
      <w:r w:rsidRPr="00B643BE">
        <w:rPr>
          <w:rFonts w:ascii="Arial" w:hAnsi="Arial" w:cs="Arial"/>
        </w:rPr>
        <w:t>Musi być dobrej jakości, nie usuwać deskowania i podpór montażowych przed stwardnieniem betonu wystarczającym do przeniesienia przez element obciążenia własnego i użytkowego.</w:t>
      </w:r>
    </w:p>
    <w:p w:rsidR="006D7126" w:rsidRPr="00B643BE" w:rsidRDefault="006D7126" w:rsidP="006D7126">
      <w:pPr>
        <w:spacing w:line="276" w:lineRule="auto"/>
        <w:ind w:left="709" w:firstLine="709"/>
        <w:jc w:val="both"/>
        <w:rPr>
          <w:rFonts w:ascii="Arial" w:hAnsi="Arial" w:cs="Arial"/>
          <w:u w:val="single"/>
        </w:rPr>
      </w:pPr>
      <w:r w:rsidRPr="00B643BE">
        <w:rPr>
          <w:rFonts w:ascii="Arial" w:hAnsi="Arial" w:cs="Arial"/>
          <w:u w:val="single"/>
        </w:rPr>
        <w:t xml:space="preserve">Tolerancje </w:t>
      </w:r>
    </w:p>
    <w:p w:rsidR="006D7126" w:rsidRPr="00B643BE" w:rsidRDefault="006D7126" w:rsidP="006D7126">
      <w:pPr>
        <w:spacing w:line="276" w:lineRule="auto"/>
        <w:ind w:left="709"/>
        <w:rPr>
          <w:rFonts w:ascii="Arial" w:hAnsi="Arial" w:cs="Arial"/>
        </w:rPr>
      </w:pPr>
      <w:r w:rsidRPr="00B643BE">
        <w:rPr>
          <w:rFonts w:ascii="Arial" w:hAnsi="Arial" w:cs="Arial"/>
        </w:rPr>
        <w:t>Dokładność wymiarowa konstrukcji powinna być zgodna z PN-62/B-02355 i PN-62/B-02356.</w:t>
      </w:r>
    </w:p>
    <w:p w:rsidR="006D7126" w:rsidRPr="00B643BE" w:rsidRDefault="006D7126" w:rsidP="006D7126">
      <w:pPr>
        <w:spacing w:line="276" w:lineRule="auto"/>
        <w:ind w:left="709" w:firstLine="709"/>
        <w:jc w:val="both"/>
        <w:rPr>
          <w:rFonts w:ascii="Arial" w:hAnsi="Arial" w:cs="Arial"/>
          <w:u w:val="single"/>
        </w:rPr>
      </w:pPr>
      <w:r w:rsidRPr="00B643BE">
        <w:rPr>
          <w:rFonts w:ascii="Arial" w:hAnsi="Arial" w:cs="Arial"/>
          <w:u w:val="single"/>
        </w:rPr>
        <w:t>Zbrojenie</w:t>
      </w:r>
    </w:p>
    <w:p w:rsidR="006D7126" w:rsidRPr="00B643BE" w:rsidRDefault="006D7126" w:rsidP="006D7126">
      <w:pPr>
        <w:spacing w:line="276" w:lineRule="auto"/>
        <w:ind w:left="709"/>
        <w:rPr>
          <w:rFonts w:ascii="Arial" w:hAnsi="Arial" w:cs="Arial"/>
        </w:rPr>
      </w:pPr>
      <w:r w:rsidRPr="00B643BE">
        <w:rPr>
          <w:rFonts w:ascii="Arial" w:hAnsi="Arial" w:cs="Arial"/>
        </w:rPr>
        <w:t>Zbrojenie przed ułożeniem oczyścić starannie z rdzy, oblodzenia i innych zanieczyszczeń utrudniających przyczepność betonu. Zbrojenie ma być ułożone dokładnie, moc</w:t>
      </w:r>
      <w:r>
        <w:rPr>
          <w:rFonts w:ascii="Arial" w:hAnsi="Arial" w:cs="Arial"/>
        </w:rPr>
        <w:t>owane elementami o dystansowymi</w:t>
      </w:r>
      <w:r w:rsidRPr="00B643BE">
        <w:rPr>
          <w:rFonts w:ascii="Arial" w:hAnsi="Arial" w:cs="Arial"/>
        </w:rPr>
        <w:t>.</w:t>
      </w:r>
    </w:p>
    <w:p w:rsidR="006D7126" w:rsidRPr="00B643BE" w:rsidRDefault="006D7126" w:rsidP="006D7126">
      <w:pPr>
        <w:spacing w:line="276" w:lineRule="auto"/>
        <w:ind w:left="709" w:firstLine="709"/>
        <w:jc w:val="both"/>
        <w:rPr>
          <w:rFonts w:ascii="Arial" w:hAnsi="Arial" w:cs="Arial"/>
          <w:u w:val="single"/>
        </w:rPr>
      </w:pPr>
      <w:r w:rsidRPr="00B643BE">
        <w:rPr>
          <w:rFonts w:ascii="Arial" w:hAnsi="Arial" w:cs="Arial"/>
          <w:u w:val="single"/>
        </w:rPr>
        <w:t>Beton</w:t>
      </w:r>
    </w:p>
    <w:p w:rsidR="006D7126" w:rsidRPr="00B643BE" w:rsidRDefault="006D7126" w:rsidP="006D7126">
      <w:pPr>
        <w:spacing w:line="276" w:lineRule="auto"/>
        <w:ind w:left="709"/>
        <w:rPr>
          <w:rFonts w:ascii="Arial" w:hAnsi="Arial" w:cs="Arial"/>
        </w:rPr>
      </w:pPr>
      <w:r w:rsidRPr="00B643BE">
        <w:rPr>
          <w:rFonts w:ascii="Arial" w:hAnsi="Arial" w:cs="Arial"/>
        </w:rPr>
        <w:t>W projekcie przewidziano beton klasy C25/30 dla elementów monolitycznych</w:t>
      </w:r>
      <w:r>
        <w:rPr>
          <w:rFonts w:ascii="Arial" w:hAnsi="Arial" w:cs="Arial"/>
        </w:rPr>
        <w:t xml:space="preserve"> oraz C25/30 W8 dla „białej wanny”</w:t>
      </w:r>
      <w:r w:rsidRPr="00B643BE">
        <w:rPr>
          <w:rFonts w:ascii="Arial" w:hAnsi="Arial" w:cs="Arial"/>
        </w:rPr>
        <w:t>. Mieszanka betonowa powinna mieć właściwą konsystencję bez dodawania nadmiernej ilości wody. Układać beton w formach w sposób zapobiegający rozwarstwieniu. Wibrować w celu usunięcia pęcherzy powietrza niezwłocznie po ułożeniu. Wokół zbrojenia, w rogach i zwężeniach sprawdzić czy beton przylega dokładnie. Powierzchnia betonu po rozszafowaniu winna być gładka, bez uszkodzeń i „raków” oraz odpowiadać założonym w projekcie wymiarom.</w:t>
      </w:r>
    </w:p>
    <w:p w:rsidR="006D7126" w:rsidRPr="00B643BE" w:rsidRDefault="006D7126" w:rsidP="006D7126">
      <w:pPr>
        <w:spacing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643BE">
        <w:rPr>
          <w:rFonts w:ascii="Arial" w:hAnsi="Arial" w:cs="Arial"/>
        </w:rPr>
        <w:t>Kontrolować prędkość układania tak, aby mieszanka była zagęszczana w warstwach max 30cm. Przed wznowieniem betonowania powierzchnia „starego” betonu powinna być nacięta lub nadkuta w celu usunięcia szkliwa i odsłonięciu kruszywa oraz nasiąknięta i smarowana mleczkiem cementowym.</w:t>
      </w:r>
    </w:p>
    <w:p w:rsidR="006D7126" w:rsidRPr="00B643BE" w:rsidRDefault="006D7126" w:rsidP="006D7126">
      <w:pPr>
        <w:spacing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643BE">
        <w:rPr>
          <w:rFonts w:ascii="Arial" w:hAnsi="Arial" w:cs="Arial"/>
        </w:rPr>
        <w:t>Elementy przekraczające dopuszczalne normą odchyłki zostaną usunięte i wykonane ponownie na koszt wykonawcy.</w:t>
      </w:r>
    </w:p>
    <w:p w:rsidR="006D7126" w:rsidRPr="00B643BE" w:rsidRDefault="006D7126" w:rsidP="006D7126">
      <w:pPr>
        <w:spacing w:line="276" w:lineRule="auto"/>
        <w:ind w:left="709"/>
        <w:rPr>
          <w:rFonts w:ascii="Arial" w:hAnsi="Arial" w:cs="Arial"/>
        </w:rPr>
      </w:pPr>
      <w:r w:rsidRPr="00B643BE">
        <w:rPr>
          <w:rFonts w:ascii="Arial" w:hAnsi="Arial" w:cs="Arial"/>
        </w:rPr>
        <w:t>Należy prowadzić wszystkie niezbędne kontrole i testy próbek betonu na ściskanie. Beton musi odpowiadać założonej w projekcie wytrzymałości.</w:t>
      </w:r>
    </w:p>
    <w:p w:rsidR="006D7126" w:rsidRPr="00B643BE" w:rsidRDefault="006D7126" w:rsidP="006D7126">
      <w:pPr>
        <w:spacing w:line="276" w:lineRule="auto"/>
        <w:ind w:left="709"/>
        <w:rPr>
          <w:rFonts w:ascii="Arial" w:hAnsi="Arial" w:cs="Arial"/>
        </w:rPr>
      </w:pPr>
      <w:r w:rsidRPr="00B643BE">
        <w:rPr>
          <w:rFonts w:ascii="Arial" w:hAnsi="Arial" w:cs="Arial"/>
        </w:rPr>
        <w:lastRenderedPageBreak/>
        <w:t>Przy betonowaniu w temp. poniżej 5˚C materiały mają być podgrzewane. Chronić beton przed zamarzaniem do czasu wystarczającego związania przy pomocy obudów, mat itp. „wylane” betony należy prawidłowo pielęgnować.</w:t>
      </w:r>
    </w:p>
    <w:p w:rsidR="006D7126" w:rsidRDefault="006D7126" w:rsidP="006D7126">
      <w:pPr>
        <w:pStyle w:val="Tekstblokowy"/>
        <w:ind w:left="426"/>
        <w:rPr>
          <w:sz w:val="24"/>
        </w:rPr>
      </w:pPr>
      <w:r>
        <w:rPr>
          <w:b/>
          <w:sz w:val="24"/>
        </w:rPr>
        <w:t xml:space="preserve">9.  </w:t>
      </w:r>
      <w:r w:rsidRPr="00EA7B8D">
        <w:rPr>
          <w:b/>
          <w:sz w:val="24"/>
        </w:rPr>
        <w:t>Założenia do obliczeń statycznych</w:t>
      </w:r>
      <w:r>
        <w:rPr>
          <w:sz w:val="24"/>
        </w:rPr>
        <w:t>.</w:t>
      </w:r>
    </w:p>
    <w:p w:rsidR="006D7126" w:rsidRPr="007A4F55" w:rsidRDefault="006D7126" w:rsidP="006D7126">
      <w:pPr>
        <w:pStyle w:val="Tekstblokowy"/>
        <w:ind w:left="786"/>
        <w:rPr>
          <w:sz w:val="24"/>
        </w:rPr>
      </w:pPr>
      <w:r>
        <w:rPr>
          <w:sz w:val="24"/>
        </w:rPr>
        <w:t>Obciążenia:</w:t>
      </w:r>
    </w:p>
    <w:p w:rsidR="006D7126" w:rsidRPr="00206BE8" w:rsidRDefault="006D7126" w:rsidP="006D712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</w:p>
    <w:tbl>
      <w:tblPr>
        <w:tblW w:w="8490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1227"/>
        <w:gridCol w:w="1321"/>
        <w:gridCol w:w="1132"/>
      </w:tblGrid>
      <w:tr w:rsidR="006D7126" w:rsidRPr="00630043" w:rsidTr="00A50FCC">
        <w:trPr>
          <w:trHeight w:val="113"/>
        </w:trPr>
        <w:tc>
          <w:tcPr>
            <w:tcW w:w="8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6D7126" w:rsidRPr="00630043" w:rsidRDefault="006D7126" w:rsidP="00A50FCC">
            <w:pPr>
              <w:spacing w:line="276" w:lineRule="auto"/>
              <w:jc w:val="center"/>
              <w:rPr>
                <w:rFonts w:cs="Tahoma"/>
                <w:color w:val="000000"/>
              </w:rPr>
            </w:pPr>
            <w:r w:rsidRPr="00630043">
              <w:rPr>
                <w:rFonts w:cs="Tahoma"/>
                <w:color w:val="000000"/>
              </w:rPr>
              <w:t>DACH</w:t>
            </w:r>
            <w:r>
              <w:rPr>
                <w:rFonts w:cs="Tahoma"/>
                <w:color w:val="000000"/>
              </w:rPr>
              <w:t xml:space="preserve"> – obciążenia </w:t>
            </w:r>
          </w:p>
        </w:tc>
      </w:tr>
      <w:tr w:rsidR="006D7126" w:rsidRPr="00630043" w:rsidTr="00A50FCC">
        <w:trPr>
          <w:trHeight w:val="113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630043" w:rsidRDefault="006D7126" w:rsidP="00A50FCC">
            <w:pPr>
              <w:spacing w:line="276" w:lineRule="auto"/>
              <w:jc w:val="center"/>
              <w:rPr>
                <w:rFonts w:cs="Tahoma"/>
                <w:color w:val="000000"/>
              </w:rPr>
            </w:pPr>
            <w:r w:rsidRPr="00630043">
              <w:rPr>
                <w:rFonts w:cs="Tahoma"/>
                <w:color w:val="000000"/>
              </w:rPr>
              <w:t>Typ obciążenia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9C64D9" w:rsidRDefault="006D7126" w:rsidP="00A50FCC">
            <w:pPr>
              <w:spacing w:line="276" w:lineRule="auto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Obciążenie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 chara</w:t>
            </w:r>
            <w:r>
              <w:rPr>
                <w:rFonts w:cs="Tahoma"/>
                <w:color w:val="000000"/>
                <w:sz w:val="16"/>
                <w:szCs w:val="16"/>
              </w:rPr>
              <w:t>kterystyczne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</w:rPr>
              <w:t>q</w:t>
            </w:r>
            <w:r>
              <w:rPr>
                <w:rFonts w:cs="Tahoma"/>
                <w:color w:val="000000"/>
                <w:vertAlign w:val="subscript"/>
              </w:rPr>
              <w:t>k</w:t>
            </w:r>
            <w:proofErr w:type="spellEnd"/>
            <w:r>
              <w:rPr>
                <w:rFonts w:cs="Tahoma"/>
                <w:color w:val="000000"/>
                <w:vertAlign w:val="subscript"/>
              </w:rPr>
              <w:t xml:space="preserve"> 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>[</w:t>
            </w:r>
            <w:proofErr w:type="spellStart"/>
            <w:r w:rsidRPr="009C64D9">
              <w:rPr>
                <w:rFonts w:cs="Tahoma"/>
                <w:color w:val="000000"/>
                <w:sz w:val="16"/>
                <w:szCs w:val="16"/>
              </w:rPr>
              <w:t>kN</w:t>
            </w:r>
            <w:proofErr w:type="spellEnd"/>
            <w:r w:rsidRPr="009C64D9">
              <w:rPr>
                <w:rFonts w:cs="Tahoma"/>
                <w:color w:val="000000"/>
                <w:sz w:val="16"/>
                <w:szCs w:val="16"/>
              </w:rPr>
              <w:t>/m²]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9C64D9" w:rsidRDefault="006D7126" w:rsidP="00A50FCC">
            <w:pPr>
              <w:spacing w:line="276" w:lineRule="auto"/>
              <w:jc w:val="center"/>
              <w:rPr>
                <w:rFonts w:cs="Tahoma"/>
                <w:color w:val="000000"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W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>spół</w:t>
            </w:r>
            <w:proofErr w:type="spellEnd"/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r>
              <w:rPr>
                <w:rFonts w:cs="Tahoma"/>
                <w:color w:val="000000"/>
                <w:sz w:val="16"/>
                <w:szCs w:val="16"/>
              </w:rPr>
              <w:t>o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>bc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iążenia </w:t>
            </w:r>
            <w:proofErr w:type="spellStart"/>
            <w:r w:rsidRPr="009C64D9">
              <w:rPr>
                <w:rFonts w:cs="Tahoma"/>
                <w:color w:val="000000"/>
              </w:rPr>
              <w:t>Υ</w:t>
            </w:r>
            <w:r>
              <w:rPr>
                <w:rFonts w:cs="Tahoma"/>
                <w:color w:val="000000"/>
                <w:vertAlign w:val="subscript"/>
              </w:rPr>
              <w:t>f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Default="006D7126" w:rsidP="00A50FCC">
            <w:pPr>
              <w:spacing w:line="276" w:lineRule="auto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9C64D9">
              <w:rPr>
                <w:rFonts w:cs="Tahoma"/>
                <w:color w:val="000000"/>
                <w:sz w:val="16"/>
                <w:szCs w:val="16"/>
              </w:rPr>
              <w:t>Obc</w:t>
            </w:r>
            <w:r>
              <w:rPr>
                <w:rFonts w:cs="Tahoma"/>
                <w:color w:val="000000"/>
                <w:sz w:val="16"/>
                <w:szCs w:val="16"/>
              </w:rPr>
              <w:t>iążenie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 obl</w:t>
            </w:r>
            <w:r>
              <w:rPr>
                <w:rFonts w:cs="Tahoma"/>
                <w:color w:val="000000"/>
                <w:sz w:val="16"/>
                <w:szCs w:val="16"/>
              </w:rPr>
              <w:t>iczeniowe</w:t>
            </w:r>
          </w:p>
          <w:p w:rsidR="006D7126" w:rsidRPr="009C64D9" w:rsidRDefault="006D7126" w:rsidP="00A50FCC">
            <w:pPr>
              <w:spacing w:line="276" w:lineRule="auto"/>
              <w:jc w:val="center"/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</w:rPr>
              <w:t>q</w:t>
            </w:r>
            <w:r>
              <w:rPr>
                <w:rFonts w:cs="Tahoma"/>
                <w:color w:val="000000"/>
                <w:vertAlign w:val="subscript"/>
              </w:rPr>
              <w:t>o</w:t>
            </w:r>
            <w:proofErr w:type="spellEnd"/>
            <w:r>
              <w:rPr>
                <w:rFonts w:cs="Tahoma"/>
                <w:color w:val="000000"/>
                <w:vertAlign w:val="subscript"/>
              </w:rPr>
              <w:t xml:space="preserve"> 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 [</w:t>
            </w:r>
            <w:proofErr w:type="spellStart"/>
            <w:r w:rsidRPr="009C64D9">
              <w:rPr>
                <w:rFonts w:cs="Tahoma"/>
                <w:color w:val="000000"/>
                <w:sz w:val="16"/>
                <w:szCs w:val="16"/>
              </w:rPr>
              <w:t>kN</w:t>
            </w:r>
            <w:proofErr w:type="spellEnd"/>
            <w:r w:rsidRPr="009C64D9">
              <w:rPr>
                <w:rFonts w:cs="Tahoma"/>
                <w:color w:val="000000"/>
                <w:sz w:val="16"/>
                <w:szCs w:val="16"/>
              </w:rPr>
              <w:t>/m²]</w:t>
            </w:r>
          </w:p>
        </w:tc>
      </w:tr>
      <w:tr w:rsidR="006D7126" w:rsidRPr="00630043" w:rsidTr="00A50FCC">
        <w:trPr>
          <w:trHeight w:val="44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Pokrycie dachowe - 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0,51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1,20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0,61</w:t>
            </w:r>
          </w:p>
        </w:tc>
      </w:tr>
      <w:tr w:rsidR="006D7126" w:rsidRPr="00630043" w:rsidTr="00A50FCC">
        <w:trPr>
          <w:trHeight w:val="44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Instalacje + technologia + sufit </w:t>
            </w:r>
            <w:proofErr w:type="spellStart"/>
            <w:r>
              <w:rPr>
                <w:rFonts w:cs="Tahoma"/>
                <w:color w:val="000000"/>
              </w:rPr>
              <w:t>podw</w:t>
            </w:r>
            <w:proofErr w:type="spellEnd"/>
            <w:r>
              <w:rPr>
                <w:rFonts w:cs="Tahoma"/>
                <w:color w:val="000000"/>
              </w:rPr>
              <w:t>.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0,65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1,20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0,78</w:t>
            </w:r>
          </w:p>
        </w:tc>
      </w:tr>
      <w:tr w:rsidR="006D7126" w:rsidRPr="00630043" w:rsidTr="00A50FCC">
        <w:trPr>
          <w:trHeight w:val="44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Użytkowe – obciążenie technologiczne (centrale) wg ciężaru urządzeń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0,30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 xml:space="preserve">       1,20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 xml:space="preserve">     0,36</w:t>
            </w:r>
          </w:p>
        </w:tc>
      </w:tr>
    </w:tbl>
    <w:p w:rsidR="006D7126" w:rsidRDefault="006D7126" w:rsidP="006D7126">
      <w:pPr>
        <w:pStyle w:val="Tekstblokowy"/>
        <w:ind w:left="540"/>
        <w:rPr>
          <w:sz w:val="24"/>
        </w:rPr>
      </w:pPr>
    </w:p>
    <w:tbl>
      <w:tblPr>
        <w:tblW w:w="8522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1229"/>
        <w:gridCol w:w="472"/>
        <w:gridCol w:w="851"/>
        <w:gridCol w:w="1151"/>
      </w:tblGrid>
      <w:tr w:rsidR="006D7126" w:rsidRPr="00630043" w:rsidTr="00A50FCC">
        <w:trPr>
          <w:trHeight w:val="113"/>
        </w:trPr>
        <w:tc>
          <w:tcPr>
            <w:tcW w:w="8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BUDYNEK – obciążenia klimatyczne</w:t>
            </w:r>
          </w:p>
        </w:tc>
      </w:tr>
      <w:tr w:rsidR="006D7126" w:rsidRPr="009C64D9" w:rsidTr="00A50FCC">
        <w:trPr>
          <w:trHeight w:val="113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 w:rsidRPr="00630043">
              <w:rPr>
                <w:rFonts w:cs="Tahoma"/>
                <w:color w:val="000000"/>
              </w:rPr>
              <w:t>Typ obciążenia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9C64D9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Obciążenie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 chara</w:t>
            </w:r>
            <w:r>
              <w:rPr>
                <w:rFonts w:cs="Tahoma"/>
                <w:color w:val="000000"/>
                <w:sz w:val="16"/>
                <w:szCs w:val="16"/>
              </w:rPr>
              <w:t>kterystyczne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</w:rPr>
              <w:t>q</w:t>
            </w:r>
            <w:r>
              <w:rPr>
                <w:rFonts w:cs="Tahoma"/>
                <w:color w:val="000000"/>
                <w:vertAlign w:val="subscript"/>
              </w:rPr>
              <w:t>k</w:t>
            </w:r>
            <w:proofErr w:type="spellEnd"/>
            <w:r>
              <w:rPr>
                <w:rFonts w:cs="Tahoma"/>
                <w:color w:val="000000"/>
                <w:vertAlign w:val="subscript"/>
              </w:rPr>
              <w:t xml:space="preserve"> 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>[</w:t>
            </w:r>
            <w:proofErr w:type="spellStart"/>
            <w:r w:rsidRPr="009C64D9">
              <w:rPr>
                <w:rFonts w:cs="Tahoma"/>
                <w:color w:val="000000"/>
                <w:sz w:val="16"/>
                <w:szCs w:val="16"/>
              </w:rPr>
              <w:t>kN</w:t>
            </w:r>
            <w:proofErr w:type="spellEnd"/>
            <w:r w:rsidRPr="009C64D9">
              <w:rPr>
                <w:rFonts w:cs="Tahoma"/>
                <w:color w:val="000000"/>
                <w:sz w:val="16"/>
                <w:szCs w:val="16"/>
              </w:rPr>
              <w:t>/m²]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9C64D9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W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>spół</w:t>
            </w:r>
            <w:proofErr w:type="spellEnd"/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r>
              <w:rPr>
                <w:rFonts w:cs="Tahoma"/>
                <w:color w:val="000000"/>
                <w:sz w:val="16"/>
                <w:szCs w:val="16"/>
              </w:rPr>
              <w:t>o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>bc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iążenia </w:t>
            </w:r>
            <w:proofErr w:type="spellStart"/>
            <w:r w:rsidRPr="009C64D9">
              <w:rPr>
                <w:rFonts w:cs="Tahoma"/>
                <w:color w:val="000000"/>
              </w:rPr>
              <w:t>Υ</w:t>
            </w:r>
            <w:r>
              <w:rPr>
                <w:rFonts w:cs="Tahoma"/>
                <w:color w:val="000000"/>
                <w:vertAlign w:val="subscript"/>
              </w:rPr>
              <w:t>f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9C64D9">
              <w:rPr>
                <w:rFonts w:cs="Tahoma"/>
                <w:color w:val="000000"/>
                <w:sz w:val="16"/>
                <w:szCs w:val="16"/>
              </w:rPr>
              <w:t>Obc</w:t>
            </w:r>
            <w:r>
              <w:rPr>
                <w:rFonts w:cs="Tahoma"/>
                <w:color w:val="000000"/>
                <w:sz w:val="16"/>
                <w:szCs w:val="16"/>
              </w:rPr>
              <w:t>iążenie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 obl</w:t>
            </w:r>
            <w:r>
              <w:rPr>
                <w:rFonts w:cs="Tahoma"/>
                <w:color w:val="000000"/>
                <w:sz w:val="16"/>
                <w:szCs w:val="16"/>
              </w:rPr>
              <w:t>iczeniowe</w:t>
            </w:r>
          </w:p>
          <w:p w:rsidR="006D7126" w:rsidRPr="009C64D9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</w:rPr>
              <w:t>q</w:t>
            </w:r>
            <w:r>
              <w:rPr>
                <w:rFonts w:cs="Tahoma"/>
                <w:color w:val="000000"/>
                <w:vertAlign w:val="subscript"/>
              </w:rPr>
              <w:t>o</w:t>
            </w:r>
            <w:proofErr w:type="spellEnd"/>
            <w:r>
              <w:rPr>
                <w:rFonts w:cs="Tahoma"/>
                <w:color w:val="000000"/>
                <w:vertAlign w:val="subscript"/>
              </w:rPr>
              <w:t xml:space="preserve"> 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 [</w:t>
            </w:r>
            <w:proofErr w:type="spellStart"/>
            <w:r w:rsidRPr="009C64D9">
              <w:rPr>
                <w:rFonts w:cs="Tahoma"/>
                <w:color w:val="000000"/>
                <w:sz w:val="16"/>
                <w:szCs w:val="16"/>
              </w:rPr>
              <w:t>kN</w:t>
            </w:r>
            <w:proofErr w:type="spellEnd"/>
            <w:r w:rsidRPr="009C64D9">
              <w:rPr>
                <w:rFonts w:cs="Tahoma"/>
                <w:color w:val="000000"/>
                <w:sz w:val="16"/>
                <w:szCs w:val="16"/>
              </w:rPr>
              <w:t>/m²]</w:t>
            </w:r>
          </w:p>
        </w:tc>
      </w:tr>
      <w:tr w:rsidR="006D7126" w:rsidRPr="00630043" w:rsidTr="00A50FCC">
        <w:trPr>
          <w:trHeight w:val="444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Śnieg (II strefa) – Raciążek 0,9x0.8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0,72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1,08</w:t>
            </w:r>
          </w:p>
        </w:tc>
      </w:tr>
      <w:tr w:rsidR="006D7126" w:rsidRPr="00630043" w:rsidTr="00A50FCC">
        <w:trPr>
          <w:trHeight w:val="121"/>
        </w:trPr>
        <w:tc>
          <w:tcPr>
            <w:tcW w:w="8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</w:p>
        </w:tc>
      </w:tr>
      <w:tr w:rsidR="006D7126" w:rsidRPr="00630043" w:rsidTr="00A50FCC">
        <w:trPr>
          <w:trHeight w:val="444"/>
        </w:trPr>
        <w:tc>
          <w:tcPr>
            <w:tcW w:w="8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color w:val="000000"/>
              </w:rPr>
              <w:t>Wiatr (I strefa) – obciążenie ścian budynku</w:t>
            </w:r>
          </w:p>
        </w:tc>
      </w:tr>
      <w:tr w:rsidR="006D7126" w:rsidTr="00A50FCC">
        <w:trPr>
          <w:trHeight w:val="444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Powierzchnia nawietrzna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0,63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0,95</w:t>
            </w:r>
          </w:p>
        </w:tc>
      </w:tr>
      <w:tr w:rsidR="006D7126" w:rsidTr="00A50FCC">
        <w:trPr>
          <w:trHeight w:val="444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Powierzchnia zawietrzna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-0,22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-0,33</w:t>
            </w:r>
          </w:p>
        </w:tc>
      </w:tr>
      <w:tr w:rsidR="006D7126" w:rsidTr="00A50FCC">
        <w:trPr>
          <w:trHeight w:val="444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</w:p>
        </w:tc>
      </w:tr>
      <w:tr w:rsidR="006D7126" w:rsidRPr="00630043" w:rsidTr="00A50FCC">
        <w:trPr>
          <w:trHeight w:val="444"/>
        </w:trPr>
        <w:tc>
          <w:tcPr>
            <w:tcW w:w="8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color w:val="000000"/>
              </w:rPr>
              <w:t>Wiatr (Chodecz – I strefa) – obciążenie połaci budynku</w:t>
            </w:r>
          </w:p>
        </w:tc>
      </w:tr>
      <w:tr w:rsidR="006D7126" w:rsidTr="00A50FCC">
        <w:trPr>
          <w:trHeight w:val="444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Dach dwuspadowy i płaski - pominięto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</w:p>
        </w:tc>
      </w:tr>
      <w:tr w:rsidR="006D7126" w:rsidTr="00A50FCC">
        <w:trPr>
          <w:trHeight w:val="444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</w:p>
        </w:tc>
      </w:tr>
    </w:tbl>
    <w:p w:rsidR="006D7126" w:rsidRPr="0020402F" w:rsidRDefault="006D7126" w:rsidP="006D7126">
      <w:pPr>
        <w:pStyle w:val="Tekstblokowy"/>
        <w:tabs>
          <w:tab w:val="left" w:pos="142"/>
        </w:tabs>
        <w:ind w:left="0"/>
        <w:rPr>
          <w:sz w:val="24"/>
        </w:rPr>
      </w:pPr>
      <w:r>
        <w:rPr>
          <w:sz w:val="24"/>
        </w:rPr>
        <w:t xml:space="preserve">     </w:t>
      </w:r>
    </w:p>
    <w:tbl>
      <w:tblPr>
        <w:tblW w:w="8505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7"/>
        <w:gridCol w:w="1595"/>
        <w:gridCol w:w="976"/>
        <w:gridCol w:w="1077"/>
      </w:tblGrid>
      <w:tr w:rsidR="006D7126" w:rsidRPr="00630043" w:rsidTr="00A50FCC">
        <w:trPr>
          <w:trHeight w:val="113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PŁYTA STROPOWA – obciążenia stałe</w:t>
            </w:r>
          </w:p>
        </w:tc>
      </w:tr>
      <w:tr w:rsidR="006D7126" w:rsidRPr="009C64D9" w:rsidTr="00A50FCC">
        <w:trPr>
          <w:trHeight w:val="113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 w:rsidRPr="00630043">
              <w:rPr>
                <w:rFonts w:cs="Tahoma"/>
                <w:color w:val="000000"/>
              </w:rPr>
              <w:t>Typ obciążenia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9C64D9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Obciążenie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 chara</w:t>
            </w:r>
            <w:r>
              <w:rPr>
                <w:rFonts w:cs="Tahoma"/>
                <w:color w:val="000000"/>
                <w:sz w:val="16"/>
                <w:szCs w:val="16"/>
              </w:rPr>
              <w:t>kterystyczne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ahoma"/>
                <w:color w:val="000000"/>
              </w:rPr>
              <w:t>q</w:t>
            </w:r>
            <w:r>
              <w:rPr>
                <w:rFonts w:cs="Tahoma"/>
                <w:color w:val="000000"/>
                <w:vertAlign w:val="subscript"/>
              </w:rPr>
              <w:t>k</w:t>
            </w:r>
            <w:proofErr w:type="spellEnd"/>
            <w:r>
              <w:rPr>
                <w:rFonts w:cs="Tahoma"/>
                <w:color w:val="000000"/>
                <w:vertAlign w:val="subscript"/>
              </w:rPr>
              <w:t xml:space="preserve"> 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>[</w:t>
            </w:r>
            <w:proofErr w:type="spellStart"/>
            <w:r w:rsidRPr="009C64D9">
              <w:rPr>
                <w:rFonts w:cs="Tahoma"/>
                <w:color w:val="000000"/>
                <w:sz w:val="16"/>
                <w:szCs w:val="16"/>
              </w:rPr>
              <w:t>kN</w:t>
            </w:r>
            <w:proofErr w:type="spellEnd"/>
            <w:r w:rsidRPr="009C64D9">
              <w:rPr>
                <w:rFonts w:cs="Tahoma"/>
                <w:color w:val="000000"/>
                <w:sz w:val="16"/>
                <w:szCs w:val="16"/>
              </w:rPr>
              <w:t>/m²]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9C64D9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cs="Tahoma"/>
                <w:color w:val="000000"/>
                <w:sz w:val="16"/>
                <w:szCs w:val="16"/>
              </w:rPr>
              <w:t>W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>spół</w:t>
            </w:r>
            <w:proofErr w:type="spellEnd"/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. </w:t>
            </w:r>
            <w:r>
              <w:rPr>
                <w:rFonts w:cs="Tahoma"/>
                <w:color w:val="000000"/>
                <w:sz w:val="16"/>
                <w:szCs w:val="16"/>
              </w:rPr>
              <w:t>o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>bc</w:t>
            </w:r>
            <w:r>
              <w:rPr>
                <w:rFonts w:cs="Tahoma"/>
                <w:color w:val="000000"/>
                <w:sz w:val="16"/>
                <w:szCs w:val="16"/>
              </w:rPr>
              <w:t xml:space="preserve">iążenia </w:t>
            </w:r>
            <w:proofErr w:type="spellStart"/>
            <w:r w:rsidRPr="009C64D9">
              <w:rPr>
                <w:rFonts w:cs="Tahoma"/>
                <w:color w:val="000000"/>
              </w:rPr>
              <w:t>Υ</w:t>
            </w:r>
            <w:r>
              <w:rPr>
                <w:rFonts w:cs="Tahoma"/>
                <w:color w:val="000000"/>
                <w:vertAlign w:val="subscript"/>
              </w:rPr>
              <w:t>f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9C64D9">
              <w:rPr>
                <w:rFonts w:cs="Tahoma"/>
                <w:color w:val="000000"/>
                <w:sz w:val="16"/>
                <w:szCs w:val="16"/>
              </w:rPr>
              <w:t>Obc</w:t>
            </w:r>
            <w:r>
              <w:rPr>
                <w:rFonts w:cs="Tahoma"/>
                <w:color w:val="000000"/>
                <w:sz w:val="16"/>
                <w:szCs w:val="16"/>
              </w:rPr>
              <w:t>iążenie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 obl</w:t>
            </w:r>
            <w:r>
              <w:rPr>
                <w:rFonts w:cs="Tahoma"/>
                <w:color w:val="000000"/>
                <w:sz w:val="16"/>
                <w:szCs w:val="16"/>
              </w:rPr>
              <w:t>iczeniowe</w:t>
            </w:r>
          </w:p>
          <w:p w:rsidR="006D7126" w:rsidRPr="009C64D9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ahoma"/>
                <w:color w:val="000000"/>
              </w:rPr>
              <w:t>q</w:t>
            </w:r>
            <w:r>
              <w:rPr>
                <w:rFonts w:cs="Tahoma"/>
                <w:color w:val="000000"/>
                <w:vertAlign w:val="subscript"/>
              </w:rPr>
              <w:t>o</w:t>
            </w:r>
            <w:proofErr w:type="spellEnd"/>
            <w:r>
              <w:rPr>
                <w:rFonts w:cs="Tahoma"/>
                <w:color w:val="000000"/>
                <w:vertAlign w:val="subscript"/>
              </w:rPr>
              <w:t xml:space="preserve"> </w:t>
            </w:r>
            <w:r w:rsidRPr="009C64D9">
              <w:rPr>
                <w:rFonts w:cs="Tahoma"/>
                <w:color w:val="000000"/>
                <w:sz w:val="16"/>
                <w:szCs w:val="16"/>
              </w:rPr>
              <w:t xml:space="preserve"> [</w:t>
            </w:r>
            <w:proofErr w:type="spellStart"/>
            <w:r w:rsidRPr="009C64D9">
              <w:rPr>
                <w:rFonts w:cs="Tahoma"/>
                <w:color w:val="000000"/>
                <w:sz w:val="16"/>
                <w:szCs w:val="16"/>
              </w:rPr>
              <w:t>kN</w:t>
            </w:r>
            <w:proofErr w:type="spellEnd"/>
            <w:r w:rsidRPr="009C64D9">
              <w:rPr>
                <w:rFonts w:cs="Tahoma"/>
                <w:color w:val="000000"/>
                <w:sz w:val="16"/>
                <w:szCs w:val="16"/>
              </w:rPr>
              <w:t>/m²]</w:t>
            </w:r>
          </w:p>
        </w:tc>
      </w:tr>
      <w:tr w:rsidR="006D7126" w:rsidRPr="00630043" w:rsidTr="00A50FCC">
        <w:trPr>
          <w:trHeight w:val="444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C</w:t>
            </w:r>
            <w:r w:rsidRPr="00630043">
              <w:rPr>
                <w:rFonts w:cs="Tahoma"/>
                <w:color w:val="000000"/>
              </w:rPr>
              <w:t>iężar własny</w:t>
            </w:r>
          </w:p>
        </w:tc>
        <w:tc>
          <w:tcPr>
            <w:tcW w:w="3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wg projektu konstrukcji</w:t>
            </w:r>
          </w:p>
        </w:tc>
      </w:tr>
      <w:tr w:rsidR="006D7126" w:rsidRPr="00630043" w:rsidTr="00A50FCC">
        <w:trPr>
          <w:trHeight w:val="444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Płytki ceramiczne + tynk + ścianki dział.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1,98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1,20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2,38</w:t>
            </w:r>
          </w:p>
        </w:tc>
      </w:tr>
      <w:tr w:rsidR="006D7126" w:rsidRPr="00630043" w:rsidTr="00A50FCC">
        <w:trPr>
          <w:trHeight w:val="444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CB5919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Wylewka cementowa gr. 5cm (21kN/m</w:t>
            </w:r>
            <w:r>
              <w:rPr>
                <w:rFonts w:cs="Tahoma"/>
                <w:color w:val="000000"/>
                <w:vertAlign w:val="superscript"/>
              </w:rPr>
              <w:t>3</w:t>
            </w:r>
            <w:r>
              <w:rPr>
                <w:rFonts w:cs="Tahoma"/>
                <w:color w:val="000000"/>
              </w:rPr>
              <w:t>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1,05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1,30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1,37</w:t>
            </w:r>
          </w:p>
        </w:tc>
      </w:tr>
      <w:tr w:rsidR="006D7126" w:rsidRPr="00630043" w:rsidTr="00A50FCC">
        <w:trPr>
          <w:trHeight w:val="444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Suma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287697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/>
                <w:bCs/>
                <w:color w:val="000000"/>
              </w:rPr>
            </w:pPr>
            <w:r w:rsidRPr="00287697">
              <w:rPr>
                <w:rFonts w:cs="Tahoma"/>
                <w:b/>
                <w:bCs/>
                <w:color w:val="000000"/>
              </w:rPr>
              <w:t>3,03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287697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/>
                <w:bCs/>
                <w:color w:val="000000"/>
              </w:rPr>
            </w:pPr>
            <w:r w:rsidRPr="00287697">
              <w:rPr>
                <w:rFonts w:cs="Tahoma"/>
                <w:b/>
                <w:bCs/>
                <w:color w:val="000000"/>
              </w:rPr>
              <w:t>3,75</w:t>
            </w:r>
          </w:p>
        </w:tc>
      </w:tr>
      <w:tr w:rsidR="006D7126" w:rsidRPr="00630043" w:rsidTr="00A50FCC">
        <w:trPr>
          <w:trHeight w:val="44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rPr>
                <w:rFonts w:cs="Tahoma"/>
                <w:color w:val="000000"/>
              </w:rPr>
            </w:pPr>
            <w:proofErr w:type="spellStart"/>
            <w:r>
              <w:rPr>
                <w:rFonts w:cs="Tahoma"/>
                <w:color w:val="000000"/>
              </w:rPr>
              <w:t>Obc</w:t>
            </w:r>
            <w:proofErr w:type="spellEnd"/>
            <w:r>
              <w:rPr>
                <w:rFonts w:cs="Tahoma"/>
                <w:color w:val="000000"/>
              </w:rPr>
              <w:t>. zmienne użytkowe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287697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2</w:t>
            </w:r>
            <w:r w:rsidRPr="00287697">
              <w:rPr>
                <w:rFonts w:cs="Tahoma"/>
                <w:bCs/>
                <w:color w:val="000000"/>
              </w:rPr>
              <w:t>,</w:t>
            </w:r>
            <w:r>
              <w:rPr>
                <w:rFonts w:cs="Tahoma"/>
                <w:bCs/>
                <w:color w:val="000000"/>
              </w:rPr>
              <w:t>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630043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1,30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126" w:rsidRPr="00287697" w:rsidRDefault="006D7126" w:rsidP="00A50FCC">
            <w:pPr>
              <w:tabs>
                <w:tab w:val="left" w:pos="142"/>
              </w:tabs>
              <w:spacing w:line="276" w:lineRule="auto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3,25</w:t>
            </w:r>
          </w:p>
        </w:tc>
      </w:tr>
    </w:tbl>
    <w:p w:rsidR="006D7126" w:rsidRPr="0020402F" w:rsidRDefault="006D7126" w:rsidP="006D7126">
      <w:pPr>
        <w:pStyle w:val="Tekstblokowy"/>
        <w:tabs>
          <w:tab w:val="left" w:pos="142"/>
        </w:tabs>
        <w:ind w:left="0"/>
        <w:rPr>
          <w:sz w:val="24"/>
        </w:rPr>
      </w:pPr>
      <w:r>
        <w:rPr>
          <w:sz w:val="24"/>
        </w:rPr>
        <w:t xml:space="preserve">      Dla stropu nad parterem w części warsztatowej p=3,5 </w:t>
      </w:r>
      <w:proofErr w:type="spellStart"/>
      <w:r>
        <w:rPr>
          <w:sz w:val="24"/>
        </w:rPr>
        <w:t>kN</w:t>
      </w:r>
      <w:proofErr w:type="spellEnd"/>
      <w:r>
        <w:rPr>
          <w:sz w:val="24"/>
        </w:rPr>
        <w:t>/m².</w:t>
      </w:r>
    </w:p>
    <w:p w:rsidR="006D7126" w:rsidRPr="001E265C" w:rsidRDefault="006D7126" w:rsidP="006D7126">
      <w:pPr>
        <w:tabs>
          <w:tab w:val="left" w:pos="142"/>
        </w:tabs>
        <w:ind w:left="284" w:firstLine="142"/>
        <w:rPr>
          <w:rFonts w:ascii="Arial" w:hAnsi="Arial" w:cs="Arial"/>
          <w:szCs w:val="22"/>
        </w:rPr>
      </w:pPr>
      <w:r>
        <w:rPr>
          <w:szCs w:val="22"/>
        </w:rPr>
        <w:t xml:space="preserve"> </w:t>
      </w:r>
      <w:r w:rsidRPr="001E265C">
        <w:rPr>
          <w:rFonts w:ascii="Arial" w:hAnsi="Arial" w:cs="Arial"/>
          <w:szCs w:val="22"/>
        </w:rPr>
        <w:t xml:space="preserve">Fundamenty zamodelowano jako </w:t>
      </w:r>
      <w:r>
        <w:rPr>
          <w:rFonts w:ascii="Arial" w:hAnsi="Arial" w:cs="Arial"/>
          <w:szCs w:val="22"/>
        </w:rPr>
        <w:t>elementy</w:t>
      </w:r>
      <w:r w:rsidRPr="001E265C">
        <w:rPr>
          <w:rFonts w:ascii="Arial" w:hAnsi="Arial" w:cs="Arial"/>
          <w:szCs w:val="22"/>
        </w:rPr>
        <w:t xml:space="preserve"> na podłożu sprężystym o parametrach wynikających z</w:t>
      </w:r>
      <w:r>
        <w:rPr>
          <w:szCs w:val="22"/>
        </w:rPr>
        <w:t xml:space="preserve"> </w:t>
      </w:r>
      <w:r w:rsidRPr="001E265C">
        <w:rPr>
          <w:rFonts w:ascii="Arial" w:hAnsi="Arial" w:cs="Arial"/>
          <w:szCs w:val="22"/>
        </w:rPr>
        <w:t>otrzymanych badań g</w:t>
      </w:r>
      <w:r>
        <w:rPr>
          <w:rFonts w:ascii="Arial" w:hAnsi="Arial" w:cs="Arial"/>
          <w:szCs w:val="22"/>
        </w:rPr>
        <w:t>runtowych. Grubość ław fundamentowych  4</w:t>
      </w:r>
      <w:r w:rsidRPr="001E265C">
        <w:rPr>
          <w:rFonts w:ascii="Arial" w:hAnsi="Arial" w:cs="Arial"/>
          <w:szCs w:val="22"/>
        </w:rPr>
        <w:t>0</w:t>
      </w:r>
      <w:r>
        <w:rPr>
          <w:rFonts w:ascii="Arial" w:hAnsi="Arial" w:cs="Arial"/>
          <w:szCs w:val="22"/>
        </w:rPr>
        <w:t xml:space="preserve"> cm, stóp fundamentowych  4</w:t>
      </w:r>
      <w:r w:rsidRPr="001E265C">
        <w:rPr>
          <w:rFonts w:ascii="Arial" w:hAnsi="Arial" w:cs="Arial"/>
          <w:szCs w:val="22"/>
        </w:rPr>
        <w:t>0</w:t>
      </w:r>
      <w:r>
        <w:rPr>
          <w:rFonts w:ascii="Arial" w:hAnsi="Arial" w:cs="Arial"/>
          <w:szCs w:val="22"/>
        </w:rPr>
        <w:t xml:space="preserve">  cm, płyty fundamentowej 40 cm.</w:t>
      </w:r>
      <w:r w:rsidRPr="001E265C">
        <w:rPr>
          <w:rFonts w:ascii="Arial" w:hAnsi="Arial" w:cs="Arial"/>
          <w:szCs w:val="22"/>
        </w:rPr>
        <w:t xml:space="preserve"> Obciążenie stanowią reakcje ze ścian</w:t>
      </w:r>
      <w:r>
        <w:rPr>
          <w:rFonts w:ascii="Arial" w:hAnsi="Arial" w:cs="Arial"/>
          <w:szCs w:val="22"/>
        </w:rPr>
        <w:t xml:space="preserve"> i słupów znajdujących się w ich obrębie</w:t>
      </w:r>
      <w:r w:rsidRPr="001E265C">
        <w:rPr>
          <w:rFonts w:ascii="Arial" w:hAnsi="Arial" w:cs="Arial"/>
          <w:szCs w:val="22"/>
        </w:rPr>
        <w:t>. Dopuszczalne zarysowanie 0,3mm</w:t>
      </w:r>
      <w:r>
        <w:rPr>
          <w:rFonts w:ascii="Arial" w:hAnsi="Arial" w:cs="Arial"/>
          <w:szCs w:val="22"/>
        </w:rPr>
        <w:t xml:space="preserve">, dla płyty fundamentowej 0.1 mm. </w:t>
      </w:r>
    </w:p>
    <w:p w:rsidR="006D7126" w:rsidRPr="001E265C" w:rsidRDefault="006D7126" w:rsidP="006D7126">
      <w:pPr>
        <w:widowControl w:val="0"/>
        <w:tabs>
          <w:tab w:val="left" w:pos="142"/>
        </w:tabs>
        <w:ind w:left="284"/>
        <w:rPr>
          <w:rFonts w:ascii="Arial" w:eastAsia="ArialNarrow" w:hAnsi="Arial" w:cs="Arial"/>
        </w:rPr>
      </w:pPr>
      <w:r w:rsidRPr="001E265C">
        <w:rPr>
          <w:rFonts w:ascii="Arial" w:hAnsi="Arial" w:cs="Arial"/>
          <w:szCs w:val="22"/>
        </w:rPr>
        <w:lastRenderedPageBreak/>
        <w:t xml:space="preserve"> Wartości obciążeń przyjęto zgodnie z założeniami projektowymi. Powierzchnie przyłożenia obciążenia zgodnie </w:t>
      </w:r>
      <w:r>
        <w:rPr>
          <w:rFonts w:ascii="Arial" w:hAnsi="Arial" w:cs="Arial"/>
          <w:szCs w:val="22"/>
        </w:rPr>
        <w:t xml:space="preserve">z </w:t>
      </w:r>
      <w:r w:rsidRPr="001E265C">
        <w:rPr>
          <w:rFonts w:ascii="Arial" w:hAnsi="Arial" w:cs="Arial"/>
          <w:szCs w:val="22"/>
        </w:rPr>
        <w:t>przeznaczeniem pomieszczeń. Z przedstawionych schematów otrzymano obciążenia poszczególnych elementów konstrukcyjnych takich jak (słupy, ściany, belki).</w:t>
      </w:r>
    </w:p>
    <w:p w:rsidR="006D7126" w:rsidRPr="001E265C" w:rsidRDefault="006D7126" w:rsidP="006D7126">
      <w:pPr>
        <w:keepLines/>
        <w:tabs>
          <w:tab w:val="left" w:pos="142"/>
        </w:tabs>
        <w:ind w:left="284"/>
        <w:rPr>
          <w:rFonts w:ascii="Arial" w:hAnsi="Arial" w:cs="Arial"/>
          <w:szCs w:val="22"/>
        </w:rPr>
      </w:pPr>
      <w:r w:rsidRPr="001E265C">
        <w:rPr>
          <w:rFonts w:ascii="Arial" w:hAnsi="Arial" w:cs="Arial"/>
          <w:szCs w:val="22"/>
        </w:rPr>
        <w:t xml:space="preserve"> Jako schematy staty</w:t>
      </w:r>
      <w:r>
        <w:rPr>
          <w:rFonts w:ascii="Arial" w:hAnsi="Arial" w:cs="Arial"/>
          <w:szCs w:val="22"/>
        </w:rPr>
        <w:t>czne belek przyjęto belki jedno- lub wieloprzęsłowe</w:t>
      </w:r>
      <w:r w:rsidRPr="001E265C">
        <w:rPr>
          <w:rFonts w:ascii="Arial" w:hAnsi="Arial" w:cs="Arial"/>
          <w:szCs w:val="22"/>
        </w:rPr>
        <w:t xml:space="preserve">. Rozpiętość przęseł wynika z układu podparć elementu w osiach. Obciążenia elementów przyjęto zgodnie z wyznaczonymi reakcjami. Obciążenie równomiernie rozłożone na belce w szczególnych przypadkach występują siły skupione. </w:t>
      </w:r>
    </w:p>
    <w:p w:rsidR="006D7126" w:rsidRPr="001E265C" w:rsidRDefault="006D7126" w:rsidP="006D7126">
      <w:pPr>
        <w:keepLines/>
        <w:tabs>
          <w:tab w:val="left" w:pos="142"/>
        </w:tabs>
        <w:ind w:left="284"/>
        <w:rPr>
          <w:rFonts w:ascii="Arial" w:hAnsi="Arial" w:cs="Arial"/>
          <w:szCs w:val="22"/>
        </w:rPr>
      </w:pPr>
      <w:r w:rsidRPr="001E265C">
        <w:rPr>
          <w:rFonts w:ascii="Arial" w:hAnsi="Arial" w:cs="Arial"/>
          <w:szCs w:val="22"/>
        </w:rPr>
        <w:t xml:space="preserve"> Jako schematy statyczne słupów przyjęto słupy </w:t>
      </w:r>
      <w:r>
        <w:rPr>
          <w:rFonts w:ascii="Arial" w:hAnsi="Arial" w:cs="Arial"/>
          <w:szCs w:val="22"/>
        </w:rPr>
        <w:t xml:space="preserve">jednokondygnacyjne </w:t>
      </w:r>
      <w:r w:rsidRPr="001E265C">
        <w:rPr>
          <w:rFonts w:ascii="Arial" w:hAnsi="Arial" w:cs="Arial"/>
          <w:szCs w:val="22"/>
        </w:rPr>
        <w:t xml:space="preserve">monolitycznie połączone z fundamentem. W poziomie </w:t>
      </w:r>
      <w:r>
        <w:rPr>
          <w:rFonts w:ascii="Arial" w:hAnsi="Arial" w:cs="Arial"/>
          <w:szCs w:val="22"/>
        </w:rPr>
        <w:t>dachów</w:t>
      </w:r>
      <w:r w:rsidRPr="001E265C">
        <w:rPr>
          <w:rFonts w:ascii="Arial" w:hAnsi="Arial" w:cs="Arial"/>
          <w:szCs w:val="22"/>
        </w:rPr>
        <w:t xml:space="preserve"> usztywnienie poziome. Obciążenie stanową reakcje z belek oraz parcie wiatru.</w:t>
      </w:r>
    </w:p>
    <w:p w:rsidR="006D7126" w:rsidRDefault="006D7126" w:rsidP="006D7126">
      <w:pPr>
        <w:keepLines/>
        <w:tabs>
          <w:tab w:val="left" w:pos="142"/>
        </w:tabs>
        <w:ind w:left="284"/>
        <w:rPr>
          <w:rFonts w:ascii="Arial" w:hAnsi="Arial" w:cs="Arial"/>
          <w:szCs w:val="22"/>
        </w:rPr>
      </w:pPr>
      <w:r w:rsidRPr="001E265C">
        <w:rPr>
          <w:rFonts w:ascii="Arial" w:hAnsi="Arial" w:cs="Arial"/>
          <w:szCs w:val="22"/>
        </w:rPr>
        <w:t xml:space="preserve"> Nadproża i pod</w:t>
      </w:r>
      <w:r>
        <w:rPr>
          <w:rFonts w:ascii="Arial" w:hAnsi="Arial" w:cs="Arial"/>
          <w:szCs w:val="22"/>
        </w:rPr>
        <w:t>ciągi przyjęto jako belki jedno- lub wielo</w:t>
      </w:r>
      <w:r w:rsidRPr="001E265C">
        <w:rPr>
          <w:rFonts w:ascii="Arial" w:hAnsi="Arial" w:cs="Arial"/>
          <w:szCs w:val="22"/>
        </w:rPr>
        <w:t>przęsłowe. Rozpiętość przęseł wynika z układu podparć elementu w osiach. Obciążenia elementów przyjęto zgodnie z wyznaczonymi reakcjami.</w:t>
      </w:r>
    </w:p>
    <w:p w:rsidR="006D7126" w:rsidRPr="00D425D8" w:rsidRDefault="006D7126" w:rsidP="006D7126">
      <w:pPr>
        <w:pStyle w:val="Nagwek2"/>
        <w:spacing w:line="360" w:lineRule="auto"/>
      </w:pPr>
      <w:r>
        <w:t xml:space="preserve">                                        </w:t>
      </w:r>
      <w:r w:rsidRPr="00D425D8">
        <w:t xml:space="preserve">Obowiązujące normy i przepisy </w:t>
      </w:r>
    </w:p>
    <w:p w:rsidR="006D7126" w:rsidRDefault="006D7126" w:rsidP="006D7126">
      <w:pPr>
        <w:tabs>
          <w:tab w:val="left" w:pos="2069"/>
          <w:tab w:val="left" w:pos="3402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PN-B-03264:2002     </w:t>
      </w:r>
      <w:r>
        <w:rPr>
          <w:rFonts w:ascii="Arial" w:hAnsi="Arial" w:cs="Arial"/>
          <w:szCs w:val="22"/>
        </w:rPr>
        <w:tab/>
        <w:t>Konstrukcje betonowe, żelbetowe i sprężone.</w:t>
      </w:r>
    </w:p>
    <w:p w:rsidR="006D7126" w:rsidRDefault="006D7126" w:rsidP="006D7126">
      <w:pPr>
        <w:tabs>
          <w:tab w:val="left" w:pos="2069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Obliczenia statyczne i projektowanie.</w:t>
      </w:r>
    </w:p>
    <w:p w:rsidR="006D7126" w:rsidRDefault="006D7126" w:rsidP="006D7126">
      <w:pPr>
        <w:tabs>
          <w:tab w:val="left" w:pos="2069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PN-B-03002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Konstrukcje murowe niezbrojone.</w:t>
      </w:r>
    </w:p>
    <w:p w:rsidR="006D7126" w:rsidRDefault="006D7126" w:rsidP="006D7126">
      <w:pPr>
        <w:tabs>
          <w:tab w:val="left" w:pos="2069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Projektowanie i obliczenia.</w:t>
      </w:r>
    </w:p>
    <w:p w:rsidR="006D7126" w:rsidRDefault="006D7126" w:rsidP="006D7126">
      <w:pPr>
        <w:tabs>
          <w:tab w:val="left" w:pos="2069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PN-B-03200:1990     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Konstrukcje stalowe.</w:t>
      </w:r>
    </w:p>
    <w:p w:rsidR="006D7126" w:rsidRDefault="006D7126" w:rsidP="006D7126">
      <w:pPr>
        <w:tabs>
          <w:tab w:val="left" w:pos="2069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Obliczenia statyczne i projektowanie.</w:t>
      </w:r>
    </w:p>
    <w:p w:rsidR="006D7126" w:rsidRDefault="006D7126" w:rsidP="006D7126">
      <w:pPr>
        <w:tabs>
          <w:tab w:val="left" w:pos="2069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PN-82/B-02000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Obciążenia budowli. Zasady ustalania wartości.</w:t>
      </w:r>
    </w:p>
    <w:p w:rsidR="006D7126" w:rsidRDefault="006D7126" w:rsidP="006D7126">
      <w:pPr>
        <w:tabs>
          <w:tab w:val="left" w:pos="2069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PN-82/B-02001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Obciążenia stałe</w:t>
      </w:r>
    </w:p>
    <w:p w:rsidR="006D7126" w:rsidRDefault="006D7126" w:rsidP="006D7126">
      <w:pPr>
        <w:tabs>
          <w:tab w:val="left" w:pos="2069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PN-82/B-02003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Podstawowe obciążenia technologiczne i montażowe</w:t>
      </w:r>
    </w:p>
    <w:p w:rsidR="006D7126" w:rsidRDefault="006D7126" w:rsidP="006D7126">
      <w:pPr>
        <w:tabs>
          <w:tab w:val="left" w:pos="2069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PN-82/B-02004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Obciążenia pojazdami</w:t>
      </w:r>
    </w:p>
    <w:p w:rsidR="006D7126" w:rsidRDefault="006D7126" w:rsidP="006D7126">
      <w:pPr>
        <w:tabs>
          <w:tab w:val="left" w:pos="2069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PN-80/B-02010/Az1  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Obciążenia śniegiem</w:t>
      </w:r>
    </w:p>
    <w:p w:rsidR="006D7126" w:rsidRDefault="006D7126" w:rsidP="006D7126">
      <w:pPr>
        <w:tabs>
          <w:tab w:val="left" w:pos="2069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PN-B-02011:1977/Az1</w:t>
      </w:r>
      <w:r>
        <w:rPr>
          <w:rFonts w:ascii="Arial" w:hAnsi="Arial" w:cs="Arial"/>
          <w:szCs w:val="22"/>
        </w:rPr>
        <w:tab/>
        <w:t xml:space="preserve">      Obciążenia wiatrem</w:t>
      </w:r>
    </w:p>
    <w:p w:rsidR="006D7126" w:rsidRDefault="006D7126" w:rsidP="006D7126">
      <w:pPr>
        <w:tabs>
          <w:tab w:val="left" w:pos="2069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PN-88/B-02014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Obciążenie gruntem</w:t>
      </w:r>
    </w:p>
    <w:p w:rsidR="006D7126" w:rsidRDefault="006D7126" w:rsidP="006D7126">
      <w:pPr>
        <w:tabs>
          <w:tab w:val="left" w:pos="2069"/>
          <w:tab w:val="left" w:pos="3119"/>
          <w:tab w:val="left" w:pos="3402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PN-81/B-03020        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Posadowienie bezpośrednie budowli</w:t>
      </w:r>
    </w:p>
    <w:p w:rsidR="006D7126" w:rsidRPr="001E44AD" w:rsidRDefault="006D7126" w:rsidP="006D7126">
      <w:pPr>
        <w:tabs>
          <w:tab w:val="left" w:pos="6829"/>
        </w:tabs>
        <w:ind w:left="709" w:right="3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PN-B-06200 </w:t>
      </w:r>
      <w:r>
        <w:rPr>
          <w:rFonts w:ascii="Arial" w:hAnsi="Arial" w:cs="Arial"/>
          <w:color w:val="FF0000"/>
          <w:szCs w:val="22"/>
        </w:rPr>
        <w:t xml:space="preserve">        </w:t>
      </w:r>
      <w:r>
        <w:rPr>
          <w:rFonts w:ascii="Arial" w:hAnsi="Arial" w:cs="Arial"/>
          <w:szCs w:val="22"/>
        </w:rPr>
        <w:t xml:space="preserve">                  Konstrukcje stalowe budowlane. Warunki wykonania i odbioru.</w:t>
      </w:r>
    </w:p>
    <w:p w:rsidR="00CE762E" w:rsidRDefault="00CE762E">
      <w:bookmarkStart w:id="0" w:name="_GoBack"/>
      <w:bookmarkEnd w:id="0"/>
    </w:p>
    <w:sectPr w:rsidR="00CE7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mant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MS Mincho"/>
    <w:charset w:val="8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22D3A"/>
    <w:multiLevelType w:val="hybridMultilevel"/>
    <w:tmpl w:val="1DEA0886"/>
    <w:lvl w:ilvl="0" w:tplc="58369A90">
      <w:start w:val="3"/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E055FEB"/>
    <w:multiLevelType w:val="multilevel"/>
    <w:tmpl w:val="04150029"/>
    <w:lvl w:ilvl="0">
      <w:start w:val="1"/>
      <w:numFmt w:val="decimal"/>
      <w:pStyle w:val="Nagwek1"/>
      <w:suff w:val="space"/>
      <w:lvlText w:val="Rozdział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ABF0A3C"/>
    <w:multiLevelType w:val="multilevel"/>
    <w:tmpl w:val="ACF0EAB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3" w15:restartNumberingAfterBreak="0">
    <w:nsid w:val="62FE05AC"/>
    <w:multiLevelType w:val="multilevel"/>
    <w:tmpl w:val="B9FEC56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126"/>
    <w:rsid w:val="004609E4"/>
    <w:rsid w:val="006D7126"/>
    <w:rsid w:val="00CE762E"/>
    <w:rsid w:val="00DC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95823-1F8E-4D8F-BED4-31876FB4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7126"/>
    <w:pPr>
      <w:keepNext/>
      <w:numPr>
        <w:numId w:val="1"/>
      </w:numPr>
      <w:jc w:val="center"/>
      <w:outlineLvl w:val="0"/>
    </w:pPr>
    <w:rPr>
      <w:sz w:val="40"/>
    </w:rPr>
  </w:style>
  <w:style w:type="paragraph" w:styleId="Nagwek2">
    <w:name w:val="heading 2"/>
    <w:basedOn w:val="Normalny"/>
    <w:next w:val="Normalny"/>
    <w:link w:val="Nagwek2Znak"/>
    <w:qFormat/>
    <w:rsid w:val="006D7126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6D7126"/>
    <w:pPr>
      <w:keepNext/>
      <w:numPr>
        <w:ilvl w:val="2"/>
        <w:numId w:val="1"/>
      </w:numPr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6D7126"/>
    <w:pPr>
      <w:keepNext/>
      <w:numPr>
        <w:ilvl w:val="3"/>
        <w:numId w:val="1"/>
      </w:numPr>
      <w:jc w:val="both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6D7126"/>
    <w:pPr>
      <w:keepNext/>
      <w:numPr>
        <w:ilvl w:val="4"/>
        <w:numId w:val="1"/>
      </w:numPr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6D7126"/>
    <w:pPr>
      <w:keepNext/>
      <w:numPr>
        <w:ilvl w:val="5"/>
        <w:numId w:val="1"/>
      </w:numPr>
      <w:jc w:val="both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link w:val="Nagwek7Znak"/>
    <w:qFormat/>
    <w:rsid w:val="006D7126"/>
    <w:pPr>
      <w:keepNext/>
      <w:numPr>
        <w:ilvl w:val="6"/>
        <w:numId w:val="1"/>
      </w:numPr>
      <w:outlineLvl w:val="6"/>
    </w:pPr>
    <w:rPr>
      <w:b/>
      <w:sz w:val="56"/>
    </w:rPr>
  </w:style>
  <w:style w:type="paragraph" w:styleId="Nagwek8">
    <w:name w:val="heading 8"/>
    <w:basedOn w:val="Normalny"/>
    <w:next w:val="Normalny"/>
    <w:link w:val="Nagwek8Znak"/>
    <w:qFormat/>
    <w:rsid w:val="006D7126"/>
    <w:pPr>
      <w:keepNext/>
      <w:numPr>
        <w:ilvl w:val="7"/>
        <w:numId w:val="1"/>
      </w:numPr>
      <w:outlineLvl w:val="7"/>
    </w:pPr>
    <w:rPr>
      <w:b/>
      <w:sz w:val="40"/>
    </w:rPr>
  </w:style>
  <w:style w:type="paragraph" w:styleId="Nagwek9">
    <w:name w:val="heading 9"/>
    <w:basedOn w:val="Normalny"/>
    <w:next w:val="Normalny"/>
    <w:link w:val="Nagwek9Znak"/>
    <w:qFormat/>
    <w:rsid w:val="006D7126"/>
    <w:pPr>
      <w:keepNext/>
      <w:numPr>
        <w:ilvl w:val="8"/>
        <w:numId w:val="1"/>
      </w:numPr>
      <w:jc w:val="both"/>
      <w:outlineLvl w:val="8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7126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D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D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D712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D712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D7126"/>
    <w:rPr>
      <w:rFonts w:ascii="Times New Roman" w:eastAsia="Times New Roman" w:hAnsi="Times New Roman" w:cs="Times New Roman"/>
      <w:b/>
      <w:sz w:val="4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D7126"/>
    <w:rPr>
      <w:rFonts w:ascii="Times New Roman" w:eastAsia="Times New Roman" w:hAnsi="Times New Roman" w:cs="Times New Roman"/>
      <w:b/>
      <w:sz w:val="5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D7126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D7126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blokowy">
    <w:name w:val="Block Text"/>
    <w:basedOn w:val="Normalny"/>
    <w:link w:val="TekstblokowyZnak"/>
    <w:rsid w:val="006D7126"/>
    <w:pPr>
      <w:ind w:left="782" w:right="-108"/>
    </w:pPr>
    <w:rPr>
      <w:rFonts w:ascii="Arial" w:hAnsi="Arial" w:cs="Arial"/>
      <w:sz w:val="28"/>
      <w:szCs w:val="24"/>
    </w:rPr>
  </w:style>
  <w:style w:type="character" w:customStyle="1" w:styleId="TekstblokowyZnak">
    <w:name w:val="Tekst blokowy Znak"/>
    <w:link w:val="Tekstblokowy"/>
    <w:rsid w:val="006D7126"/>
    <w:rPr>
      <w:rFonts w:ascii="Arial" w:eastAsia="Times New Roman" w:hAnsi="Arial" w:cs="Arial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D712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D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6D7126"/>
    <w:pPr>
      <w:ind w:left="720"/>
      <w:contextualSpacing/>
    </w:pPr>
    <w:rPr>
      <w:sz w:val="24"/>
      <w:szCs w:val="24"/>
    </w:rPr>
  </w:style>
  <w:style w:type="paragraph" w:customStyle="1" w:styleId="Tekstblokowy1">
    <w:name w:val="Tekst blokowy1"/>
    <w:basedOn w:val="Normalny"/>
    <w:rsid w:val="006D7126"/>
    <w:pPr>
      <w:suppressAutoHyphens/>
      <w:ind w:left="782" w:right="-108"/>
    </w:pPr>
    <w:rPr>
      <w:rFonts w:ascii="Arial" w:hAnsi="Arial" w:cs="Arial"/>
      <w:sz w:val="28"/>
      <w:lang w:eastAsia="ar-SA"/>
    </w:rPr>
  </w:style>
  <w:style w:type="character" w:customStyle="1" w:styleId="AkapitzlistZnak">
    <w:name w:val="Akapit z listą Znak"/>
    <w:link w:val="Akapitzlist"/>
    <w:rsid w:val="006D712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3344</Words>
  <Characters>20066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2018-08-06T06:26:00Z</dcterms:created>
  <dcterms:modified xsi:type="dcterms:W3CDTF">2018-08-06T06:27:00Z</dcterms:modified>
</cp:coreProperties>
</file>