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DE9D9" w:themeColor="accent6" w:themeTint="33"/>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A639C4">
        <w:trPr>
          <w:trHeight w:val="838"/>
        </w:trPr>
        <w:tc>
          <w:tcPr>
            <w:tcW w:w="9214" w:type="dxa"/>
          </w:tcPr>
          <w:p w14:paraId="53DB72CD" w14:textId="77777777" w:rsidR="000F6CE6" w:rsidRPr="000F6CE6" w:rsidRDefault="000F6CE6" w:rsidP="004255F0">
            <w:pPr>
              <w:tabs>
                <w:tab w:val="left" w:pos="408"/>
              </w:tabs>
              <w:ind w:left="360"/>
              <w:jc w:val="center"/>
              <w:rPr>
                <w:b/>
                <w:sz w:val="6"/>
                <w:szCs w:val="6"/>
              </w:rPr>
            </w:pPr>
          </w:p>
          <w:p w14:paraId="668B8C98" w14:textId="1135B132" w:rsidR="00CF579B" w:rsidRPr="009C6825" w:rsidRDefault="00CF579B" w:rsidP="004255F0">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4255F0">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384"/>
        <w:gridCol w:w="7796"/>
      </w:tblGrid>
      <w:tr w:rsidR="00E261AA" w:rsidRPr="00A639C4" w14:paraId="6B45B2AB" w14:textId="77777777" w:rsidTr="00A639C4">
        <w:trPr>
          <w:trHeight w:val="693"/>
        </w:trPr>
        <w:tc>
          <w:tcPr>
            <w:tcW w:w="1384" w:type="dxa"/>
            <w:tcBorders>
              <w:bottom w:val="single" w:sz="4" w:space="0" w:color="auto"/>
            </w:tcBorders>
            <w:shd w:val="clear" w:color="auto" w:fill="auto"/>
            <w:vAlign w:val="center"/>
          </w:tcPr>
          <w:p w14:paraId="260A9B4E" w14:textId="7DFA41A6" w:rsidR="0070256A" w:rsidRPr="00A639C4" w:rsidRDefault="00E261AA" w:rsidP="004255F0">
            <w:pPr>
              <w:tabs>
                <w:tab w:val="left" w:pos="408"/>
              </w:tabs>
              <w:jc w:val="center"/>
              <w:rPr>
                <w:b/>
                <w:sz w:val="16"/>
                <w:szCs w:val="16"/>
              </w:rPr>
            </w:pPr>
            <w:r w:rsidRPr="00A639C4">
              <w:rPr>
                <w:b/>
                <w:sz w:val="16"/>
                <w:szCs w:val="16"/>
              </w:rPr>
              <w:t>Punkt (IDW) którego dotyczą informacje</w:t>
            </w:r>
          </w:p>
        </w:tc>
        <w:tc>
          <w:tcPr>
            <w:tcW w:w="7796" w:type="dxa"/>
            <w:tcBorders>
              <w:bottom w:val="single" w:sz="4" w:space="0" w:color="auto"/>
            </w:tcBorders>
            <w:shd w:val="clear" w:color="auto" w:fill="auto"/>
            <w:vAlign w:val="center"/>
          </w:tcPr>
          <w:p w14:paraId="7FF4BEB9" w14:textId="77777777" w:rsidR="00E261AA" w:rsidRPr="009C6825" w:rsidRDefault="00E261AA" w:rsidP="004255F0">
            <w:pPr>
              <w:tabs>
                <w:tab w:val="left" w:pos="408"/>
              </w:tabs>
              <w:jc w:val="center"/>
              <w:rPr>
                <w:b/>
              </w:rPr>
            </w:pPr>
            <w:r w:rsidRPr="009C6825">
              <w:rPr>
                <w:b/>
              </w:rPr>
              <w:t>Treść informacji</w:t>
            </w:r>
          </w:p>
        </w:tc>
      </w:tr>
      <w:tr w:rsidR="009E1376" w:rsidRPr="00A639C4" w14:paraId="4B0B30A6" w14:textId="77777777" w:rsidTr="00A639C4">
        <w:tc>
          <w:tcPr>
            <w:tcW w:w="1384" w:type="dxa"/>
            <w:shd w:val="clear" w:color="auto" w:fill="BFBFBF" w:themeFill="background1" w:themeFillShade="BF"/>
          </w:tcPr>
          <w:p w14:paraId="7430E121" w14:textId="70170ABD" w:rsidR="009E1376" w:rsidRPr="00A639C4" w:rsidRDefault="009E1376" w:rsidP="004255F0">
            <w:pPr>
              <w:tabs>
                <w:tab w:val="left" w:pos="408"/>
              </w:tabs>
              <w:jc w:val="center"/>
              <w:rPr>
                <w:b/>
              </w:rPr>
            </w:pPr>
            <w:r w:rsidRPr="00A639C4">
              <w:rPr>
                <w:b/>
              </w:rPr>
              <w:t>Pkt 4.1 IDW</w:t>
            </w:r>
          </w:p>
        </w:tc>
        <w:tc>
          <w:tcPr>
            <w:tcW w:w="7796" w:type="dxa"/>
            <w:shd w:val="clear" w:color="auto" w:fill="BFBFBF" w:themeFill="background1" w:themeFillShade="BF"/>
          </w:tcPr>
          <w:p w14:paraId="1239B616" w14:textId="5A079DE3" w:rsidR="0070256A" w:rsidRPr="00A639C4" w:rsidRDefault="009E1376" w:rsidP="004255F0">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A639C4">
        <w:tc>
          <w:tcPr>
            <w:tcW w:w="1384" w:type="dxa"/>
            <w:vMerge w:val="restart"/>
            <w:shd w:val="clear" w:color="auto" w:fill="auto"/>
          </w:tcPr>
          <w:p w14:paraId="05438F84" w14:textId="77777777" w:rsidR="009E1376" w:rsidRPr="004255F0" w:rsidRDefault="009E1376" w:rsidP="004255F0">
            <w:pPr>
              <w:tabs>
                <w:tab w:val="left" w:pos="408"/>
              </w:tabs>
              <w:jc w:val="center"/>
              <w:rPr>
                <w:b/>
              </w:rPr>
            </w:pPr>
          </w:p>
        </w:tc>
        <w:tc>
          <w:tcPr>
            <w:tcW w:w="7796" w:type="dxa"/>
            <w:shd w:val="clear" w:color="auto" w:fill="auto"/>
          </w:tcPr>
          <w:p w14:paraId="665BC52A" w14:textId="77777777" w:rsidR="006F3CC9" w:rsidRPr="004255F0" w:rsidRDefault="006F3CC9" w:rsidP="004255F0">
            <w:pPr>
              <w:jc w:val="both"/>
              <w:rPr>
                <w:rStyle w:val="Pogrubienie"/>
              </w:rPr>
            </w:pPr>
          </w:p>
          <w:p w14:paraId="452DDC70" w14:textId="77777777" w:rsidR="006F3CC9" w:rsidRPr="004255F0" w:rsidRDefault="006F3CC9" w:rsidP="004255F0">
            <w:pPr>
              <w:ind w:left="300" w:hanging="300"/>
              <w:jc w:val="both"/>
              <w:rPr>
                <w:b/>
              </w:rPr>
            </w:pPr>
            <w:r w:rsidRPr="004255F0">
              <w:rPr>
                <w:b/>
              </w:rPr>
              <w:t>Pełna nazwa zamówienia:</w:t>
            </w:r>
          </w:p>
          <w:p w14:paraId="0B6E992B" w14:textId="77777777" w:rsidR="006F3CC9" w:rsidRPr="004255F0" w:rsidRDefault="006F3CC9" w:rsidP="004255F0">
            <w:pPr>
              <w:jc w:val="both"/>
              <w:rPr>
                <w:rStyle w:val="Pogrubienie"/>
              </w:rPr>
            </w:pPr>
          </w:p>
          <w:p w14:paraId="79D4A856" w14:textId="5E218B0E" w:rsidR="001443D4" w:rsidRDefault="00756421" w:rsidP="004255F0">
            <w:pPr>
              <w:jc w:val="both"/>
              <w:rPr>
                <w:rStyle w:val="Pogrubienie"/>
              </w:rPr>
            </w:pPr>
            <w:r w:rsidRPr="00756421">
              <w:rPr>
                <w:rStyle w:val="Pogrubienie"/>
              </w:rPr>
              <w:t>Opracowanie raportu o stanie bezpieczeństwa ruchu drogowego na sieci dróg wojewódzkich administrowanych przez Podkarpacki Zarząd Dróg Wojewódzkich w Rzeszowie za 2023 rok</w:t>
            </w:r>
          </w:p>
          <w:p w14:paraId="0D7309BD" w14:textId="77777777" w:rsidR="00756421" w:rsidRPr="004255F0" w:rsidRDefault="00756421" w:rsidP="004255F0">
            <w:pPr>
              <w:jc w:val="both"/>
              <w:rPr>
                <w:b/>
                <w:color w:val="000000"/>
              </w:rPr>
            </w:pPr>
          </w:p>
          <w:p w14:paraId="7A3913D1" w14:textId="77777777" w:rsidR="009E1376" w:rsidRPr="004255F0" w:rsidRDefault="009E1376" w:rsidP="004255F0">
            <w:pPr>
              <w:ind w:left="300" w:hanging="300"/>
              <w:jc w:val="both"/>
              <w:rPr>
                <w:bCs/>
              </w:rPr>
            </w:pPr>
            <w:r w:rsidRPr="004255F0">
              <w:rPr>
                <w:bCs/>
              </w:rPr>
              <w:t xml:space="preserve">W/w nazwy należy używać na każdym etapie prowadzonego postępowania. </w:t>
            </w:r>
          </w:p>
          <w:p w14:paraId="7ABA3C6C" w14:textId="28FE904D" w:rsidR="009E1376" w:rsidRPr="004255F0" w:rsidRDefault="009E1376" w:rsidP="004255F0">
            <w:pPr>
              <w:ind w:left="34"/>
              <w:jc w:val="both"/>
              <w:rPr>
                <w:bCs/>
              </w:rPr>
            </w:pPr>
            <w:r w:rsidRPr="004255F0">
              <w:rPr>
                <w:bCs/>
              </w:rPr>
              <w:t>Z uwagi na możliwość wpisania ograniczonej liczby znaków w platformie e-</w:t>
            </w:r>
            <w:r w:rsidR="00A639C4" w:rsidRPr="004255F0">
              <w:rPr>
                <w:bCs/>
              </w:rPr>
              <w:t>zamówienia nazwa</w:t>
            </w:r>
            <w:r w:rsidRPr="004255F0">
              <w:rPr>
                <w:bCs/>
              </w:rPr>
              <w:t xml:space="preserve"> zamówienia może się różnić od nazwy użytej w innych dokumentach postępowania.</w:t>
            </w:r>
          </w:p>
          <w:p w14:paraId="0BE56E5C" w14:textId="77777777" w:rsidR="009E1376" w:rsidRPr="004255F0" w:rsidRDefault="009E1376" w:rsidP="004255F0">
            <w:pPr>
              <w:tabs>
                <w:tab w:val="left" w:pos="408"/>
              </w:tabs>
              <w:rPr>
                <w:b/>
              </w:rPr>
            </w:pPr>
          </w:p>
        </w:tc>
      </w:tr>
      <w:tr w:rsidR="009E1376" w:rsidRPr="00A639C4" w14:paraId="6EA5BC02" w14:textId="77777777" w:rsidTr="00A639C4">
        <w:tc>
          <w:tcPr>
            <w:tcW w:w="1384" w:type="dxa"/>
            <w:vMerge/>
            <w:shd w:val="clear" w:color="auto" w:fill="auto"/>
          </w:tcPr>
          <w:p w14:paraId="5A0C33ED" w14:textId="77777777" w:rsidR="009E1376" w:rsidRPr="004255F0" w:rsidRDefault="009E1376" w:rsidP="004255F0">
            <w:pPr>
              <w:tabs>
                <w:tab w:val="left" w:pos="408"/>
              </w:tabs>
              <w:jc w:val="center"/>
              <w:rPr>
                <w:b/>
              </w:rPr>
            </w:pPr>
          </w:p>
        </w:tc>
        <w:tc>
          <w:tcPr>
            <w:tcW w:w="7796" w:type="dxa"/>
            <w:shd w:val="clear" w:color="auto" w:fill="auto"/>
          </w:tcPr>
          <w:p w14:paraId="09FEE9C0" w14:textId="77777777" w:rsidR="006F3CC9" w:rsidRPr="004255F0" w:rsidRDefault="006F3CC9" w:rsidP="004255F0">
            <w:pPr>
              <w:ind w:left="300" w:hanging="300"/>
              <w:jc w:val="both"/>
              <w:rPr>
                <w:b/>
              </w:rPr>
            </w:pPr>
          </w:p>
          <w:p w14:paraId="11C76EEF" w14:textId="52831664" w:rsidR="009E1376" w:rsidRPr="004255F0" w:rsidRDefault="009E1376" w:rsidP="004255F0">
            <w:pPr>
              <w:ind w:left="300" w:hanging="300"/>
              <w:jc w:val="both"/>
              <w:rPr>
                <w:b/>
              </w:rPr>
            </w:pPr>
            <w:r w:rsidRPr="004255F0">
              <w:rPr>
                <w:b/>
              </w:rPr>
              <w:t>Opis przedmiotu zamówienia</w:t>
            </w:r>
          </w:p>
          <w:p w14:paraId="29337F02" w14:textId="77777777" w:rsidR="00A2696B" w:rsidRPr="004255F0" w:rsidRDefault="00A2696B" w:rsidP="004255F0">
            <w:pPr>
              <w:tabs>
                <w:tab w:val="left" w:pos="408"/>
              </w:tabs>
              <w:contextualSpacing/>
              <w:jc w:val="both"/>
            </w:pPr>
          </w:p>
          <w:p w14:paraId="739AADE9" w14:textId="77777777" w:rsidR="00756421" w:rsidRPr="00875709" w:rsidRDefault="00756421" w:rsidP="00756421">
            <w:pPr>
              <w:tabs>
                <w:tab w:val="left" w:pos="408"/>
              </w:tabs>
              <w:rPr>
                <w:bCs/>
                <w:color w:val="000000"/>
              </w:rPr>
            </w:pPr>
            <w:r w:rsidRPr="00875709">
              <w:rPr>
                <w:bCs/>
                <w:color w:val="000000"/>
              </w:rPr>
              <w:t>Przedmiotem zamówienia jest opracowanie raportu o stanie bezpieczeństwa ruchu drogowego na sieci dróg wojewódzkich administrowanych przez PZDW w Rzeszowie z identyfikacją odcinków szczególnie niebezpiecznych oraz propozycją przedsięwzięć zaradczych.</w:t>
            </w:r>
          </w:p>
          <w:p w14:paraId="53CDD5F6" w14:textId="77777777" w:rsidR="006F3CC9" w:rsidRDefault="006F3CC9" w:rsidP="004255F0">
            <w:pPr>
              <w:jc w:val="both"/>
            </w:pPr>
          </w:p>
          <w:p w14:paraId="1A962339" w14:textId="77777777" w:rsidR="006F3CC9" w:rsidRPr="004255F0" w:rsidRDefault="006F3CC9" w:rsidP="004255F0">
            <w:pPr>
              <w:jc w:val="both"/>
            </w:pPr>
            <w:r w:rsidRPr="004255F0">
              <w:t xml:space="preserve">Opis Przedmiotu Zamówienia oraz sposób realizacji zamówienia zawiera dokumentacja techniczna stanowiący </w:t>
            </w:r>
            <w:r w:rsidRPr="004255F0">
              <w:rPr>
                <w:b/>
              </w:rPr>
              <w:t>Załącznik do SWZ</w:t>
            </w:r>
            <w:r w:rsidRPr="004255F0">
              <w:t>.</w:t>
            </w:r>
          </w:p>
          <w:p w14:paraId="2130F7F8" w14:textId="77777777" w:rsidR="009E1376" w:rsidRPr="004255F0" w:rsidRDefault="009E1376" w:rsidP="004255F0">
            <w:pPr>
              <w:jc w:val="both"/>
              <w:rPr>
                <w:b/>
              </w:rPr>
            </w:pPr>
          </w:p>
        </w:tc>
      </w:tr>
      <w:tr w:rsidR="009E1376" w:rsidRPr="00A639C4" w14:paraId="65569BC4" w14:textId="77777777" w:rsidTr="00A639C4">
        <w:tc>
          <w:tcPr>
            <w:tcW w:w="1384" w:type="dxa"/>
            <w:vMerge/>
            <w:shd w:val="clear" w:color="auto" w:fill="auto"/>
          </w:tcPr>
          <w:p w14:paraId="0E5A35B9" w14:textId="77777777" w:rsidR="009E1376" w:rsidRPr="00A639C4" w:rsidRDefault="009E1376" w:rsidP="004255F0">
            <w:pPr>
              <w:tabs>
                <w:tab w:val="left" w:pos="408"/>
              </w:tabs>
              <w:jc w:val="center"/>
              <w:rPr>
                <w:b/>
              </w:rPr>
            </w:pPr>
          </w:p>
        </w:tc>
        <w:tc>
          <w:tcPr>
            <w:tcW w:w="7796" w:type="dxa"/>
            <w:shd w:val="clear" w:color="auto" w:fill="auto"/>
          </w:tcPr>
          <w:p w14:paraId="5B0AEECF" w14:textId="77777777" w:rsidR="006F3CC9" w:rsidRDefault="006F3CC9" w:rsidP="004255F0">
            <w:pPr>
              <w:ind w:left="300" w:hanging="300"/>
              <w:jc w:val="both"/>
              <w:rPr>
                <w:b/>
              </w:rPr>
            </w:pPr>
          </w:p>
          <w:p w14:paraId="161F1EAF" w14:textId="42EB6192" w:rsidR="009E1376" w:rsidRPr="00A639C4" w:rsidRDefault="009E1376" w:rsidP="004255F0">
            <w:pPr>
              <w:ind w:left="300" w:hanging="300"/>
              <w:jc w:val="both"/>
              <w:rPr>
                <w:b/>
              </w:rPr>
            </w:pPr>
            <w:r w:rsidRPr="00A639C4">
              <w:rPr>
                <w:b/>
              </w:rPr>
              <w:t>Oznaczenie wg Wspólnego Słownika Zamówień (CPV)</w:t>
            </w:r>
          </w:p>
          <w:p w14:paraId="21093CC4" w14:textId="77777777" w:rsidR="006F3CC9" w:rsidRDefault="006F3CC9" w:rsidP="004255F0"/>
          <w:p w14:paraId="626185B0" w14:textId="77777777" w:rsidR="00756421" w:rsidRPr="007D6E0D" w:rsidRDefault="00756421" w:rsidP="00756421">
            <w:pPr>
              <w:pStyle w:val="Bezodstpw"/>
              <w:rPr>
                <w:b/>
              </w:rPr>
            </w:pPr>
            <w:r w:rsidRPr="007D6E0D">
              <w:rPr>
                <w:b/>
              </w:rPr>
              <w:t xml:space="preserve">71322000-1 </w:t>
            </w:r>
            <w:r w:rsidRPr="007D6E0D">
              <w:rPr>
                <w:bCs/>
              </w:rPr>
              <w:t>Usługi inżynierii projektowej w zakresie inżynierii lądowej i wodnej</w:t>
            </w:r>
          </w:p>
          <w:p w14:paraId="35CBC523" w14:textId="3A490ED9" w:rsidR="004255F0" w:rsidRPr="00A639C4" w:rsidRDefault="004255F0" w:rsidP="004255F0">
            <w:pPr>
              <w:ind w:left="300" w:hanging="300"/>
              <w:jc w:val="both"/>
              <w:rPr>
                <w:b/>
              </w:rPr>
            </w:pPr>
          </w:p>
        </w:tc>
      </w:tr>
      <w:tr w:rsidR="009E1376" w:rsidRPr="00A639C4" w14:paraId="3A8A3E00" w14:textId="77777777" w:rsidTr="00A639C4">
        <w:tc>
          <w:tcPr>
            <w:tcW w:w="1384" w:type="dxa"/>
            <w:vMerge/>
            <w:shd w:val="clear" w:color="auto" w:fill="auto"/>
          </w:tcPr>
          <w:p w14:paraId="50BFF663" w14:textId="77777777" w:rsidR="009E1376" w:rsidRPr="00A639C4" w:rsidRDefault="009E1376" w:rsidP="004255F0">
            <w:pPr>
              <w:tabs>
                <w:tab w:val="left" w:pos="408"/>
              </w:tabs>
              <w:jc w:val="center"/>
              <w:rPr>
                <w:b/>
              </w:rPr>
            </w:pPr>
          </w:p>
        </w:tc>
        <w:tc>
          <w:tcPr>
            <w:tcW w:w="7796" w:type="dxa"/>
            <w:shd w:val="clear" w:color="auto" w:fill="auto"/>
          </w:tcPr>
          <w:p w14:paraId="5267881B" w14:textId="77777777" w:rsidR="006F3CC9" w:rsidRDefault="006F3CC9" w:rsidP="004255F0">
            <w:pPr>
              <w:ind w:left="300" w:hanging="300"/>
              <w:jc w:val="both"/>
              <w:rPr>
                <w:b/>
              </w:rPr>
            </w:pPr>
          </w:p>
          <w:p w14:paraId="2166DE66" w14:textId="455E6C24" w:rsidR="009E1376" w:rsidRPr="00A639C4" w:rsidRDefault="009E1376" w:rsidP="004255F0">
            <w:pPr>
              <w:ind w:left="300" w:hanging="300"/>
              <w:jc w:val="both"/>
              <w:rPr>
                <w:b/>
              </w:rPr>
            </w:pPr>
            <w:r w:rsidRPr="00A639C4">
              <w:rPr>
                <w:b/>
              </w:rPr>
              <w:t>Sposób realizacji zamówienia</w:t>
            </w:r>
          </w:p>
          <w:p w14:paraId="026EAC46" w14:textId="77777777" w:rsidR="009E1376" w:rsidRPr="00A639C4" w:rsidRDefault="009E1376" w:rsidP="004255F0">
            <w:pPr>
              <w:ind w:left="300" w:hanging="300"/>
              <w:jc w:val="both"/>
              <w:rPr>
                <w:b/>
              </w:rPr>
            </w:pPr>
          </w:p>
          <w:p w14:paraId="5FFF83CB" w14:textId="4BF220B1" w:rsidR="006F3CC9" w:rsidRPr="00BF0687" w:rsidRDefault="009E1376" w:rsidP="004255F0">
            <w:pPr>
              <w:pStyle w:val="Akapitzlist"/>
              <w:numPr>
                <w:ilvl w:val="0"/>
                <w:numId w:val="9"/>
              </w:numPr>
              <w:tabs>
                <w:tab w:val="left" w:pos="408"/>
              </w:tabs>
              <w:jc w:val="both"/>
            </w:pPr>
            <w:r w:rsidRPr="00A639C4">
              <w:t>Realizacja przedmiotu zamówienia musi być zgodna z ofertą i SWZ, w szczególności:</w:t>
            </w:r>
            <w:r w:rsidR="00EA37E4">
              <w:t xml:space="preserve"> </w:t>
            </w:r>
            <w:r w:rsidR="006F3CC9" w:rsidRPr="00BF0687">
              <w:t xml:space="preserve"> Projektowanymi postanowieniami umowy w sprawie zamówienia publicznego,</w:t>
            </w:r>
          </w:p>
          <w:p w14:paraId="686FFEC0" w14:textId="7DF47907" w:rsidR="006F3CC9" w:rsidRPr="00BF0687" w:rsidRDefault="004255F0" w:rsidP="004255F0">
            <w:pPr>
              <w:numPr>
                <w:ilvl w:val="0"/>
                <w:numId w:val="9"/>
              </w:numPr>
              <w:jc w:val="both"/>
            </w:pPr>
            <w:r>
              <w:t>Formularzem Cenowym</w:t>
            </w:r>
            <w:r w:rsidR="006F3CC9" w:rsidRPr="00BF0687">
              <w:t xml:space="preserve"> (</w:t>
            </w:r>
            <w:r>
              <w:t>FC</w:t>
            </w:r>
            <w:r w:rsidR="006F3CC9" w:rsidRPr="00BF0687">
              <w:t>),</w:t>
            </w:r>
          </w:p>
          <w:p w14:paraId="65BADBBA" w14:textId="3C924FB9" w:rsidR="0006539D" w:rsidRPr="00A639C4" w:rsidRDefault="001443D4" w:rsidP="004255F0">
            <w:pPr>
              <w:numPr>
                <w:ilvl w:val="0"/>
                <w:numId w:val="9"/>
              </w:numPr>
              <w:jc w:val="both"/>
            </w:pPr>
            <w:r>
              <w:t>Opisem Przedmiotu Zamówienia</w:t>
            </w:r>
          </w:p>
          <w:p w14:paraId="6F5C1478" w14:textId="454CBC29" w:rsidR="0006539D" w:rsidRPr="00A639C4" w:rsidRDefault="0006539D" w:rsidP="004255F0">
            <w:pPr>
              <w:tabs>
                <w:tab w:val="left" w:pos="408"/>
              </w:tabs>
              <w:rPr>
                <w:b/>
              </w:rPr>
            </w:pPr>
          </w:p>
        </w:tc>
      </w:tr>
      <w:tr w:rsidR="009E1376" w:rsidRPr="00A639C4" w14:paraId="7D5B7BE2" w14:textId="77777777" w:rsidTr="00A639C4">
        <w:tc>
          <w:tcPr>
            <w:tcW w:w="1384" w:type="dxa"/>
            <w:vMerge/>
            <w:shd w:val="clear" w:color="auto" w:fill="auto"/>
          </w:tcPr>
          <w:p w14:paraId="275DDF89" w14:textId="77777777" w:rsidR="009E1376" w:rsidRPr="00A639C4" w:rsidRDefault="009E1376" w:rsidP="004255F0">
            <w:pPr>
              <w:tabs>
                <w:tab w:val="left" w:pos="408"/>
              </w:tabs>
              <w:jc w:val="center"/>
              <w:rPr>
                <w:b/>
              </w:rPr>
            </w:pPr>
          </w:p>
        </w:tc>
        <w:tc>
          <w:tcPr>
            <w:tcW w:w="7796" w:type="dxa"/>
            <w:shd w:val="clear" w:color="auto" w:fill="auto"/>
          </w:tcPr>
          <w:p w14:paraId="77A15D11" w14:textId="77777777" w:rsidR="006F3CC9" w:rsidRDefault="006F3CC9" w:rsidP="004255F0">
            <w:pPr>
              <w:tabs>
                <w:tab w:val="left" w:pos="408"/>
              </w:tabs>
              <w:jc w:val="both"/>
              <w:rPr>
                <w:b/>
              </w:rPr>
            </w:pPr>
          </w:p>
          <w:p w14:paraId="15B3DC1F" w14:textId="7C6617F3" w:rsidR="009E1376" w:rsidRDefault="009E1376" w:rsidP="004255F0">
            <w:pPr>
              <w:tabs>
                <w:tab w:val="left" w:pos="408"/>
              </w:tabs>
              <w:jc w:val="both"/>
              <w:rPr>
                <w:b/>
              </w:rPr>
            </w:pPr>
            <w:r w:rsidRPr="00A639C4">
              <w:rPr>
                <w:b/>
              </w:rPr>
              <w:t>Okres gwarancji i rękojmi za wady</w:t>
            </w:r>
            <w:r w:rsidR="006F3CC9">
              <w:rPr>
                <w:b/>
              </w:rPr>
              <w:t xml:space="preserve">: </w:t>
            </w:r>
            <w:r w:rsidR="006F3CC9" w:rsidRPr="00BF0687">
              <w:rPr>
                <w:b/>
              </w:rPr>
              <w:t xml:space="preserve"> </w:t>
            </w:r>
            <w:r w:rsidR="00756421">
              <w:rPr>
                <w:b/>
              </w:rPr>
              <w:t>NIE DOTYCZY</w:t>
            </w:r>
          </w:p>
          <w:p w14:paraId="7B1B78FA" w14:textId="77777777" w:rsidR="004255F0" w:rsidRDefault="004255F0" w:rsidP="004255F0">
            <w:pPr>
              <w:tabs>
                <w:tab w:val="left" w:pos="408"/>
              </w:tabs>
              <w:jc w:val="both"/>
              <w:rPr>
                <w:b/>
              </w:rPr>
            </w:pPr>
          </w:p>
          <w:p w14:paraId="7C296827" w14:textId="77777777" w:rsidR="004255F0" w:rsidRDefault="004255F0" w:rsidP="001443D4">
            <w:pPr>
              <w:tabs>
                <w:tab w:val="left" w:pos="408"/>
              </w:tabs>
              <w:jc w:val="both"/>
              <w:rPr>
                <w:b/>
              </w:rPr>
            </w:pPr>
          </w:p>
          <w:p w14:paraId="63960AF3" w14:textId="77777777" w:rsidR="001443D4" w:rsidRDefault="001443D4" w:rsidP="001443D4">
            <w:pPr>
              <w:tabs>
                <w:tab w:val="left" w:pos="408"/>
              </w:tabs>
              <w:jc w:val="both"/>
              <w:rPr>
                <w:b/>
              </w:rPr>
            </w:pPr>
          </w:p>
          <w:p w14:paraId="39FC6A87" w14:textId="77777777" w:rsidR="001443D4" w:rsidRDefault="001443D4" w:rsidP="001443D4">
            <w:pPr>
              <w:tabs>
                <w:tab w:val="left" w:pos="408"/>
              </w:tabs>
              <w:jc w:val="both"/>
              <w:rPr>
                <w:b/>
              </w:rPr>
            </w:pPr>
          </w:p>
          <w:p w14:paraId="57554596" w14:textId="1A5D1599" w:rsidR="001443D4" w:rsidRPr="00A639C4" w:rsidRDefault="001443D4" w:rsidP="001443D4">
            <w:pPr>
              <w:tabs>
                <w:tab w:val="left" w:pos="408"/>
              </w:tabs>
              <w:jc w:val="both"/>
              <w:rPr>
                <w:b/>
              </w:rPr>
            </w:pPr>
          </w:p>
        </w:tc>
      </w:tr>
      <w:tr w:rsidR="009E1376" w:rsidRPr="00A639C4" w14:paraId="65A68816" w14:textId="77777777" w:rsidTr="00A639C4">
        <w:tc>
          <w:tcPr>
            <w:tcW w:w="1384" w:type="dxa"/>
            <w:vMerge/>
            <w:shd w:val="clear" w:color="auto" w:fill="auto"/>
          </w:tcPr>
          <w:p w14:paraId="15B37764" w14:textId="77777777" w:rsidR="009E1376" w:rsidRPr="00A639C4" w:rsidRDefault="009E1376" w:rsidP="004255F0">
            <w:pPr>
              <w:tabs>
                <w:tab w:val="left" w:pos="408"/>
              </w:tabs>
              <w:jc w:val="center"/>
              <w:rPr>
                <w:b/>
              </w:rPr>
            </w:pPr>
          </w:p>
        </w:tc>
        <w:tc>
          <w:tcPr>
            <w:tcW w:w="7796" w:type="dxa"/>
            <w:shd w:val="clear" w:color="auto" w:fill="auto"/>
          </w:tcPr>
          <w:p w14:paraId="607AA5FE" w14:textId="77777777" w:rsidR="006F3CC9" w:rsidRDefault="006F3CC9" w:rsidP="004255F0">
            <w:pPr>
              <w:widowControl/>
              <w:autoSpaceDE/>
              <w:autoSpaceDN/>
              <w:adjustRightInd/>
              <w:contextualSpacing/>
              <w:jc w:val="both"/>
              <w:rPr>
                <w:rFonts w:eastAsia="Calibri"/>
                <w:b/>
                <w:lang w:eastAsia="en-US"/>
              </w:rPr>
            </w:pPr>
          </w:p>
          <w:p w14:paraId="1135353D" w14:textId="26A34429" w:rsidR="006F3CC9" w:rsidRPr="00BF0687" w:rsidRDefault="006F3CC9" w:rsidP="004255F0">
            <w:pPr>
              <w:widowControl/>
              <w:autoSpaceDE/>
              <w:autoSpaceDN/>
              <w:adjustRightInd/>
              <w:contextualSpacing/>
              <w:jc w:val="both"/>
              <w:rPr>
                <w:rFonts w:eastAsia="Calibri"/>
                <w:b/>
                <w:lang w:eastAsia="en-US"/>
              </w:rPr>
            </w:pPr>
            <w:r w:rsidRPr="00BF0687">
              <w:rPr>
                <w:rFonts w:eastAsia="Calibri"/>
                <w:b/>
                <w:lang w:eastAsia="en-US"/>
              </w:rPr>
              <w:t xml:space="preserve">Kwota, jaką Zamawiający zamierza przeznaczyć na sfinansowanie zamówienia </w:t>
            </w:r>
          </w:p>
          <w:p w14:paraId="4148175D" w14:textId="77777777" w:rsidR="006F3CC9" w:rsidRPr="00BF0687" w:rsidRDefault="006F3CC9" w:rsidP="004255F0">
            <w:pPr>
              <w:widowControl/>
              <w:autoSpaceDE/>
              <w:autoSpaceDN/>
              <w:adjustRightInd/>
              <w:contextualSpacing/>
              <w:jc w:val="both"/>
              <w:rPr>
                <w:rFonts w:eastAsia="Calibri"/>
                <w:bCs/>
                <w:lang w:eastAsia="en-US"/>
              </w:rPr>
            </w:pPr>
            <w:r w:rsidRPr="00BF0687">
              <w:rPr>
                <w:rFonts w:eastAsia="Calibri"/>
                <w:bCs/>
                <w:lang w:eastAsia="en-US"/>
              </w:rPr>
              <w:t>Na podstawie art.  222 ust.  4. Pzp Zamawiający, najpóźniej przed otwarciem ofert, udostępnia na stronie internetowej prowadzonego postępowania informację o kwocie, jaką zamierza przeznaczyć na sfinansowanie zamówienia.</w:t>
            </w:r>
          </w:p>
          <w:p w14:paraId="05B51917" w14:textId="77777777" w:rsidR="006F3CC9" w:rsidRPr="00BF0687" w:rsidRDefault="006F3CC9" w:rsidP="004255F0">
            <w:pPr>
              <w:widowControl/>
              <w:autoSpaceDE/>
              <w:autoSpaceDN/>
              <w:adjustRightInd/>
              <w:contextualSpacing/>
              <w:jc w:val="both"/>
              <w:rPr>
                <w:rFonts w:eastAsia="Calibri"/>
                <w:bCs/>
                <w:lang w:eastAsia="en-US"/>
              </w:rPr>
            </w:pPr>
          </w:p>
          <w:p w14:paraId="12320680" w14:textId="55C38770" w:rsidR="006F3CC9" w:rsidRPr="00BF0687" w:rsidRDefault="006F3CC9" w:rsidP="004255F0">
            <w:pPr>
              <w:tabs>
                <w:tab w:val="left" w:pos="408"/>
              </w:tabs>
              <w:jc w:val="both"/>
              <w:rPr>
                <w:rFonts w:eastAsia="Calibri"/>
                <w:bCs/>
                <w:lang w:eastAsia="en-US"/>
              </w:rPr>
            </w:pPr>
            <w:r w:rsidRPr="00BF0687">
              <w:rPr>
                <w:rFonts w:eastAsia="Calibri"/>
                <w:bCs/>
                <w:lang w:eastAsia="en-US"/>
              </w:rPr>
              <w:t>Zamawiający zamierza przeznaczyć na sfinansowanie przedmiotowego zamówienia kwotę</w:t>
            </w:r>
            <w:r w:rsidR="001443D4">
              <w:rPr>
                <w:rFonts w:eastAsia="Calibri"/>
                <w:bCs/>
                <w:lang w:eastAsia="en-US"/>
              </w:rPr>
              <w:t xml:space="preserve"> </w:t>
            </w:r>
            <w:r w:rsidR="00756421">
              <w:rPr>
                <w:rFonts w:eastAsia="Calibri"/>
                <w:bCs/>
                <w:lang w:eastAsia="en-US"/>
              </w:rPr>
              <w:t>30 000,00</w:t>
            </w:r>
            <w:r w:rsidR="004255F0">
              <w:rPr>
                <w:rFonts w:eastAsia="Calibri"/>
                <w:bCs/>
                <w:lang w:eastAsia="en-US"/>
              </w:rPr>
              <w:t xml:space="preserve"> PLN.</w:t>
            </w:r>
          </w:p>
          <w:p w14:paraId="20F80362" w14:textId="607CDD9B" w:rsidR="0006539D" w:rsidRPr="00A639C4" w:rsidRDefault="0006539D" w:rsidP="00756421">
            <w:pPr>
              <w:tabs>
                <w:tab w:val="left" w:pos="408"/>
              </w:tabs>
              <w:jc w:val="both"/>
              <w:rPr>
                <w:b/>
              </w:rPr>
            </w:pPr>
          </w:p>
        </w:tc>
      </w:tr>
      <w:tr w:rsidR="009E1376" w:rsidRPr="00A639C4" w14:paraId="6C209C93" w14:textId="77777777" w:rsidTr="00A639C4">
        <w:tc>
          <w:tcPr>
            <w:tcW w:w="1384" w:type="dxa"/>
            <w:vMerge/>
            <w:shd w:val="clear" w:color="auto" w:fill="auto"/>
          </w:tcPr>
          <w:p w14:paraId="24FD1466" w14:textId="77777777" w:rsidR="009E1376" w:rsidRPr="00A639C4" w:rsidRDefault="009E1376" w:rsidP="004255F0">
            <w:pPr>
              <w:tabs>
                <w:tab w:val="left" w:pos="408"/>
              </w:tabs>
              <w:jc w:val="center"/>
              <w:rPr>
                <w:b/>
              </w:rPr>
            </w:pPr>
          </w:p>
        </w:tc>
        <w:tc>
          <w:tcPr>
            <w:tcW w:w="7796" w:type="dxa"/>
            <w:shd w:val="clear" w:color="auto" w:fill="auto"/>
          </w:tcPr>
          <w:p w14:paraId="7B435B53" w14:textId="77777777" w:rsidR="00F96081" w:rsidRDefault="00F96081" w:rsidP="004255F0">
            <w:pPr>
              <w:tabs>
                <w:tab w:val="left" w:pos="408"/>
              </w:tabs>
              <w:jc w:val="both"/>
              <w:rPr>
                <w:b/>
                <w:bCs/>
              </w:rPr>
            </w:pPr>
          </w:p>
          <w:p w14:paraId="4C6AFAFF" w14:textId="73BED6CD" w:rsidR="009E1376" w:rsidRPr="00A639C4" w:rsidRDefault="009E1376" w:rsidP="004255F0">
            <w:pPr>
              <w:tabs>
                <w:tab w:val="left" w:pos="408"/>
              </w:tabs>
              <w:jc w:val="both"/>
              <w:rPr>
                <w:b/>
                <w:bCs/>
                <w:color w:val="000000"/>
              </w:rPr>
            </w:pPr>
            <w:r w:rsidRPr="00A639C4">
              <w:rPr>
                <w:b/>
                <w:bCs/>
              </w:rPr>
              <w:t xml:space="preserve">Realizacja obowiązków wynikających z </w:t>
            </w:r>
            <w:r w:rsidRPr="00A639C4">
              <w:rPr>
                <w:b/>
                <w:bCs/>
                <w:color w:val="000000"/>
              </w:rPr>
              <w:t xml:space="preserve">Ustawy z dnia 11 stycznia 2018r. </w:t>
            </w:r>
            <w:r w:rsidR="00A14FF0">
              <w:rPr>
                <w:b/>
                <w:bCs/>
                <w:color w:val="000000"/>
              </w:rPr>
              <w:br/>
            </w:r>
            <w:r w:rsidRPr="00A639C4">
              <w:rPr>
                <w:b/>
                <w:bCs/>
                <w:color w:val="000000"/>
              </w:rPr>
              <w:t>o elektromobilności i paliwach alternatywnych.</w:t>
            </w:r>
          </w:p>
          <w:p w14:paraId="3F2BE360" w14:textId="77777777" w:rsidR="009E1376" w:rsidRPr="00A639C4" w:rsidRDefault="009E1376" w:rsidP="004255F0">
            <w:pPr>
              <w:tabs>
                <w:tab w:val="left" w:pos="408"/>
              </w:tabs>
              <w:jc w:val="both"/>
              <w:rPr>
                <w:b/>
                <w:bCs/>
              </w:rPr>
            </w:pPr>
          </w:p>
          <w:p w14:paraId="11BEB272" w14:textId="3A80993C" w:rsidR="009E1376" w:rsidRPr="00A639C4" w:rsidRDefault="009E1376" w:rsidP="004255F0">
            <w:pPr>
              <w:tabs>
                <w:tab w:val="right" w:pos="9354"/>
              </w:tabs>
              <w:jc w:val="both"/>
              <w:rPr>
                <w:color w:val="000000"/>
              </w:rPr>
            </w:pPr>
            <w:r w:rsidRPr="00A639C4">
              <w:rPr>
                <w:color w:val="000000"/>
              </w:rPr>
              <w:t xml:space="preserve">Zgodnie z art. 68 ust. 3 Ustawy z dnia 11 stycznia 2018r. o elektromobilności </w:t>
            </w:r>
            <w:r w:rsidR="00A14FF0">
              <w:rPr>
                <w:color w:val="000000"/>
              </w:rPr>
              <w:br/>
            </w:r>
            <w:r w:rsidRPr="00A639C4">
              <w:rPr>
                <w:color w:val="000000"/>
              </w:rPr>
              <w:t xml:space="preserve">i paliwach alternatywnych </w:t>
            </w:r>
            <w:r w:rsidRPr="00A639C4">
              <w:rPr>
                <w:b/>
                <w:bCs/>
                <w:color w:val="000000"/>
              </w:rPr>
              <w:t>Zamawiający od dnia 1 stycznia 2022r.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będzie wynosił co najmniej 10%</w:t>
            </w:r>
          </w:p>
          <w:p w14:paraId="5BD06759" w14:textId="77777777" w:rsidR="009E1376" w:rsidRPr="00A639C4" w:rsidRDefault="009E1376" w:rsidP="004255F0">
            <w:pPr>
              <w:tabs>
                <w:tab w:val="right" w:pos="9354"/>
              </w:tabs>
              <w:rPr>
                <w:color w:val="000000"/>
              </w:rPr>
            </w:pPr>
          </w:p>
          <w:p w14:paraId="6519BA6A" w14:textId="72836584" w:rsidR="009E1376" w:rsidRPr="00A639C4" w:rsidRDefault="009E1376" w:rsidP="004255F0">
            <w:pPr>
              <w:tabs>
                <w:tab w:val="right" w:pos="9354"/>
              </w:tabs>
              <w:jc w:val="both"/>
              <w:rPr>
                <w:color w:val="000000"/>
              </w:rPr>
            </w:pPr>
            <w:r w:rsidRPr="00A639C4">
              <w:rPr>
                <w:color w:val="000000"/>
              </w:rPr>
              <w:t xml:space="preserve">W związku z tym Wykonawca zobowiązany jest do dostosowania się do wymagań wynikających z przepisów w/w ustawy o elektromobilności i paliwach alternatywnych. Wykonawca zobowiązany jest do zapewnienia udziału pojazdów elektrycznych lub pojazdów napędzanych gazem </w:t>
            </w:r>
            <w:r w:rsidR="00D101E2" w:rsidRPr="00A639C4">
              <w:rPr>
                <w:color w:val="000000"/>
              </w:rPr>
              <w:t>ziemnym we</w:t>
            </w:r>
            <w:r w:rsidRPr="00A639C4">
              <w:rPr>
                <w:color w:val="000000"/>
              </w:rPr>
              <w:t xml:space="preserve"> flocie użytkowanych pojazdów przy wykonywaniu przedmiotowego zamówienia w sposób zgodny z art. 68 ust. 3 ustawy </w:t>
            </w:r>
            <w:r w:rsidR="00621C71">
              <w:rPr>
                <w:color w:val="000000"/>
              </w:rPr>
              <w:t xml:space="preserve">                </w:t>
            </w:r>
            <w:r w:rsidRPr="00A639C4">
              <w:rPr>
                <w:color w:val="000000"/>
              </w:rPr>
              <w:t>o elektromobilności i paliwach alternatywnych.</w:t>
            </w:r>
          </w:p>
          <w:p w14:paraId="271162BB" w14:textId="77777777" w:rsidR="009E1376" w:rsidRPr="00A639C4" w:rsidRDefault="009E1376" w:rsidP="004255F0">
            <w:pPr>
              <w:tabs>
                <w:tab w:val="right" w:pos="9354"/>
              </w:tabs>
              <w:rPr>
                <w:color w:val="000000"/>
              </w:rPr>
            </w:pPr>
            <w:r w:rsidRPr="00A639C4">
              <w:rPr>
                <w:color w:val="000000"/>
              </w:rPr>
              <w:t xml:space="preserve">Zastosowanie mają zwłaszcza: </w:t>
            </w:r>
          </w:p>
          <w:p w14:paraId="61055AD3" w14:textId="35DA672C" w:rsidR="009E1376" w:rsidRPr="00A639C4" w:rsidRDefault="00A639C4" w:rsidP="004255F0">
            <w:pPr>
              <w:tabs>
                <w:tab w:val="right" w:pos="9354"/>
              </w:tabs>
              <w:jc w:val="both"/>
              <w:rPr>
                <w:color w:val="000000"/>
              </w:rPr>
            </w:pPr>
            <w:r>
              <w:rPr>
                <w:color w:val="000000"/>
              </w:rPr>
              <w:t xml:space="preserve">- </w:t>
            </w:r>
            <w:r w:rsidR="009E1376" w:rsidRPr="00A639C4">
              <w:rPr>
                <w:color w:val="000000"/>
              </w:rPr>
              <w:t>art. 35 ust. 2 pkt 1 ,art. 36 a, art. 68 ust. 3 , art. 76 Ustawy z dnia 11 stycznia 2018r. o elektromobilności i paliwach alternatywnych</w:t>
            </w:r>
          </w:p>
          <w:p w14:paraId="257A4804" w14:textId="16B4E452" w:rsidR="009E1376" w:rsidRPr="00A639C4" w:rsidRDefault="00A639C4" w:rsidP="004255F0">
            <w:pPr>
              <w:tabs>
                <w:tab w:val="right" w:pos="9354"/>
              </w:tabs>
              <w:rPr>
                <w:color w:val="000000"/>
              </w:rPr>
            </w:pPr>
            <w:r>
              <w:rPr>
                <w:color w:val="000000"/>
              </w:rPr>
              <w:t xml:space="preserve">- </w:t>
            </w:r>
            <w:r w:rsidR="009E1376" w:rsidRPr="00A639C4">
              <w:rPr>
                <w:color w:val="000000"/>
              </w:rPr>
              <w:t>art. 14 ust.1 Ustawy z dnia 5 czerwca 1998r. o samorządzie województwa</w:t>
            </w:r>
          </w:p>
          <w:p w14:paraId="5F29827D" w14:textId="34A7CF65" w:rsidR="009E1376" w:rsidRPr="00A639C4" w:rsidRDefault="00A639C4" w:rsidP="004255F0">
            <w:pPr>
              <w:tabs>
                <w:tab w:val="right" w:pos="9354"/>
              </w:tabs>
              <w:rPr>
                <w:color w:val="000000"/>
              </w:rPr>
            </w:pPr>
            <w:r>
              <w:rPr>
                <w:color w:val="000000"/>
              </w:rPr>
              <w:t xml:space="preserve">- </w:t>
            </w:r>
            <w:r w:rsidR="009E1376" w:rsidRPr="00A639C4">
              <w:rPr>
                <w:color w:val="000000"/>
              </w:rPr>
              <w:t>art. 2 pkt 33 ustawy z dnia 20 czerwca 1997r. - Prawo o ruchu drogowym</w:t>
            </w:r>
          </w:p>
          <w:p w14:paraId="567FE8B9" w14:textId="77777777" w:rsidR="009E1376" w:rsidRPr="00A639C4" w:rsidRDefault="009E1376" w:rsidP="004255F0">
            <w:pPr>
              <w:tabs>
                <w:tab w:val="left" w:pos="408"/>
              </w:tabs>
              <w:jc w:val="both"/>
            </w:pPr>
            <w:bookmarkStart w:id="0" w:name="_Hlk92972944"/>
          </w:p>
          <w:p w14:paraId="040FEFF4" w14:textId="4CF7BA9F" w:rsidR="009E1376" w:rsidRPr="00A639C4" w:rsidRDefault="009E1376" w:rsidP="004255F0">
            <w:pPr>
              <w:tabs>
                <w:tab w:val="left" w:pos="408"/>
              </w:tabs>
              <w:jc w:val="both"/>
            </w:pPr>
            <w:r w:rsidRPr="00A639C4">
              <w:t xml:space="preserve">Udział pojazdów, o którym mowa w art. 34-36, art. 68 i art. 68a </w:t>
            </w:r>
            <w:r w:rsidRPr="00A639C4">
              <w:rPr>
                <w:color w:val="000000"/>
              </w:rPr>
              <w:t xml:space="preserve">ustawy </w:t>
            </w:r>
            <w:r w:rsidR="00A14FF0">
              <w:rPr>
                <w:color w:val="000000"/>
              </w:rPr>
              <w:br/>
            </w:r>
            <w:r w:rsidRPr="00A639C4">
              <w:rPr>
                <w:color w:val="000000"/>
              </w:rPr>
              <w:t>o elektromobilności i paliwach alternatywnych</w:t>
            </w:r>
            <w:r w:rsidRPr="00A639C4">
              <w:t xml:space="preserve"> oblicza się, stosując zasadę, zgodnie </w:t>
            </w:r>
            <w:r w:rsidR="00A14FF0">
              <w:br/>
            </w:r>
            <w:r w:rsidRPr="00A639C4">
              <w:t>z którą wielkość tego udziału poniżej 0,5 zaokrągla się w dół, a wielkość tego udziału 0,5 i powyżej zaokrągla się w górę.</w:t>
            </w:r>
            <w:bookmarkEnd w:id="0"/>
          </w:p>
          <w:p w14:paraId="70E7627B" w14:textId="77777777" w:rsidR="009E1376" w:rsidRDefault="009E1376" w:rsidP="004255F0">
            <w:pPr>
              <w:tabs>
                <w:tab w:val="left" w:pos="408"/>
              </w:tabs>
              <w:jc w:val="both"/>
              <w:rPr>
                <w:b/>
                <w:bCs/>
              </w:rPr>
            </w:pPr>
          </w:p>
          <w:p w14:paraId="1C044D92" w14:textId="77777777" w:rsidR="00A639C4" w:rsidRPr="00A639C4" w:rsidRDefault="00A639C4" w:rsidP="004255F0">
            <w:pPr>
              <w:tabs>
                <w:tab w:val="left" w:pos="408"/>
              </w:tabs>
              <w:jc w:val="both"/>
              <w:rPr>
                <w:b/>
                <w:bCs/>
              </w:rPr>
            </w:pPr>
          </w:p>
        </w:tc>
      </w:tr>
      <w:tr w:rsidR="009E1376" w:rsidRPr="00A639C4" w14:paraId="1A817A04" w14:textId="77777777" w:rsidTr="00A639C4">
        <w:tc>
          <w:tcPr>
            <w:tcW w:w="1384" w:type="dxa"/>
            <w:vMerge/>
            <w:shd w:val="clear" w:color="auto" w:fill="auto"/>
          </w:tcPr>
          <w:p w14:paraId="00AD4B69" w14:textId="77777777" w:rsidR="009E1376" w:rsidRPr="00A639C4" w:rsidRDefault="009E1376" w:rsidP="004255F0">
            <w:pPr>
              <w:tabs>
                <w:tab w:val="left" w:pos="408"/>
              </w:tabs>
              <w:jc w:val="center"/>
              <w:rPr>
                <w:b/>
              </w:rPr>
            </w:pPr>
          </w:p>
        </w:tc>
        <w:tc>
          <w:tcPr>
            <w:tcW w:w="7796" w:type="dxa"/>
            <w:shd w:val="clear" w:color="auto" w:fill="auto"/>
          </w:tcPr>
          <w:p w14:paraId="0BB34520" w14:textId="77777777" w:rsidR="004255F0" w:rsidRDefault="004255F0" w:rsidP="004255F0">
            <w:pPr>
              <w:tabs>
                <w:tab w:val="left" w:pos="408"/>
              </w:tabs>
              <w:jc w:val="both"/>
              <w:rPr>
                <w:b/>
                <w:bCs/>
              </w:rPr>
            </w:pPr>
          </w:p>
          <w:p w14:paraId="7E71F102" w14:textId="600B843A" w:rsidR="00134BAA" w:rsidRPr="00134BAA" w:rsidRDefault="009E1376" w:rsidP="00756421">
            <w:pPr>
              <w:tabs>
                <w:tab w:val="left" w:pos="408"/>
              </w:tabs>
              <w:jc w:val="both"/>
              <w:rPr>
                <w:bCs/>
                <w:iCs/>
              </w:rPr>
            </w:pPr>
            <w:r w:rsidRPr="00A639C4">
              <w:rPr>
                <w:b/>
                <w:bCs/>
              </w:rPr>
              <w:t>Organizacja ruchu:</w:t>
            </w:r>
            <w:r w:rsidR="00756421">
              <w:rPr>
                <w:b/>
                <w:bCs/>
              </w:rPr>
              <w:t xml:space="preserve"> NIE DOTYCZY</w:t>
            </w:r>
          </w:p>
          <w:p w14:paraId="18D06E4F" w14:textId="77777777" w:rsidR="00134BAA" w:rsidRDefault="00134BAA" w:rsidP="004255F0">
            <w:pPr>
              <w:tabs>
                <w:tab w:val="left" w:pos="408"/>
              </w:tabs>
              <w:jc w:val="both"/>
              <w:rPr>
                <w:b/>
                <w:bCs/>
              </w:rPr>
            </w:pPr>
          </w:p>
          <w:p w14:paraId="1332AF73" w14:textId="280B17ED" w:rsidR="009E1376" w:rsidRPr="00A639C4" w:rsidRDefault="006F3CC9" w:rsidP="004255F0">
            <w:pPr>
              <w:tabs>
                <w:tab w:val="left" w:pos="408"/>
              </w:tabs>
              <w:jc w:val="both"/>
              <w:rPr>
                <w:b/>
                <w:bCs/>
              </w:rPr>
            </w:pPr>
            <w:r w:rsidRPr="00BF0687">
              <w:rPr>
                <w:bCs/>
              </w:rPr>
              <w:t xml:space="preserve"> </w:t>
            </w:r>
          </w:p>
        </w:tc>
      </w:tr>
      <w:tr w:rsidR="009E1376" w:rsidRPr="00A639C4" w14:paraId="1D1D1909" w14:textId="77777777" w:rsidTr="00A639C4">
        <w:tc>
          <w:tcPr>
            <w:tcW w:w="1384" w:type="dxa"/>
            <w:vMerge/>
            <w:shd w:val="clear" w:color="auto" w:fill="auto"/>
          </w:tcPr>
          <w:p w14:paraId="3263727A" w14:textId="77777777" w:rsidR="009E1376" w:rsidRPr="00A639C4" w:rsidRDefault="009E1376" w:rsidP="004255F0">
            <w:pPr>
              <w:tabs>
                <w:tab w:val="left" w:pos="408"/>
              </w:tabs>
              <w:jc w:val="center"/>
              <w:rPr>
                <w:b/>
              </w:rPr>
            </w:pPr>
          </w:p>
        </w:tc>
        <w:tc>
          <w:tcPr>
            <w:tcW w:w="7796" w:type="dxa"/>
            <w:shd w:val="clear" w:color="auto" w:fill="auto"/>
          </w:tcPr>
          <w:p w14:paraId="0BECDEA8" w14:textId="77777777" w:rsidR="004255F0" w:rsidRDefault="004255F0" w:rsidP="004255F0">
            <w:pPr>
              <w:tabs>
                <w:tab w:val="left" w:pos="408"/>
              </w:tabs>
              <w:jc w:val="both"/>
              <w:rPr>
                <w:b/>
                <w:bCs/>
              </w:rPr>
            </w:pPr>
          </w:p>
          <w:p w14:paraId="0B1FC49E" w14:textId="776F8276" w:rsidR="009E1376" w:rsidRPr="00A639C4" w:rsidRDefault="009E1376" w:rsidP="004255F0">
            <w:pPr>
              <w:tabs>
                <w:tab w:val="left" w:pos="408"/>
              </w:tabs>
              <w:jc w:val="both"/>
              <w:rPr>
                <w:b/>
                <w:bCs/>
              </w:rPr>
            </w:pPr>
            <w:r w:rsidRPr="00A639C4">
              <w:rPr>
                <w:b/>
                <w:bCs/>
              </w:rPr>
              <w:t>Równoważność</w:t>
            </w:r>
          </w:p>
          <w:p w14:paraId="5CC6A1C3" w14:textId="77777777" w:rsidR="009E1376" w:rsidRPr="00A639C4" w:rsidRDefault="009E1376" w:rsidP="004255F0">
            <w:pPr>
              <w:tabs>
                <w:tab w:val="left" w:pos="408"/>
              </w:tabs>
              <w:jc w:val="both"/>
            </w:pPr>
          </w:p>
          <w:p w14:paraId="4B3890CD" w14:textId="77B9EEA8" w:rsidR="009E1376" w:rsidRPr="00A639C4" w:rsidRDefault="009E1376" w:rsidP="004255F0">
            <w:pPr>
              <w:tabs>
                <w:tab w:val="left" w:pos="408"/>
              </w:tabs>
              <w:jc w:val="both"/>
            </w:pPr>
            <w:r w:rsidRPr="00A639C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A639C4">
              <w:br/>
            </w:r>
            <w:r w:rsidRPr="00A639C4">
              <w:t>w wyżej wymienionych dokumentach.</w:t>
            </w:r>
          </w:p>
          <w:p w14:paraId="5417F5F1" w14:textId="2B7841F9" w:rsidR="009E1376" w:rsidRPr="00A639C4" w:rsidRDefault="009E1376" w:rsidP="004255F0">
            <w:pPr>
              <w:jc w:val="both"/>
              <w:rPr>
                <w:color w:val="000000"/>
              </w:rPr>
            </w:pPr>
            <w:r w:rsidRPr="00A639C4">
              <w:rPr>
                <w:b/>
                <w:color w:val="000000"/>
              </w:rPr>
              <w:t>Każdemu odwołaniu do</w:t>
            </w:r>
            <w:r w:rsidRPr="000D5B40">
              <w:rPr>
                <w:b/>
              </w:rPr>
              <w:t xml:space="preserve"> </w:t>
            </w:r>
            <w:r w:rsidRPr="008F6691">
              <w:rPr>
                <w:b/>
                <w:color w:val="000000"/>
              </w:rPr>
              <w:t>norm</w:t>
            </w:r>
            <w:r w:rsidR="000D5B40" w:rsidRPr="008F6691">
              <w:rPr>
                <w:b/>
                <w:color w:val="000000"/>
              </w:rPr>
              <w:t xml:space="preserve"> </w:t>
            </w:r>
            <w:r w:rsidRPr="008F6691">
              <w:rPr>
                <w:b/>
                <w:color w:val="000000"/>
              </w:rPr>
              <w:t>przywołanych</w:t>
            </w:r>
            <w:r w:rsidRPr="00A639C4">
              <w:rPr>
                <w:b/>
                <w:color w:val="000000"/>
              </w:rPr>
              <w:t xml:space="preserve"> w niniejszej SWZ wraz z załącznikami towarzyszy zwrot: „lub równoważne”.</w:t>
            </w:r>
          </w:p>
          <w:p w14:paraId="7FE165B5" w14:textId="77777777" w:rsidR="009E1376" w:rsidRDefault="009E1376" w:rsidP="004255F0">
            <w:pPr>
              <w:tabs>
                <w:tab w:val="left" w:pos="408"/>
              </w:tabs>
              <w:jc w:val="both"/>
              <w:rPr>
                <w:color w:val="000000"/>
              </w:rPr>
            </w:pPr>
            <w:r w:rsidRPr="00A639C4">
              <w:rPr>
                <w:color w:val="000000"/>
              </w:rPr>
              <w:lastRenderedPageBreak/>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w:t>
            </w:r>
            <w:r w:rsidR="0006539D" w:rsidRPr="00A639C4">
              <w:rPr>
                <w:color w:val="000000"/>
              </w:rPr>
              <w:t>jakościowych,</w:t>
            </w:r>
            <w:r w:rsidRPr="00A639C4">
              <w:rPr>
                <w:color w:val="000000"/>
              </w:rPr>
              <w:t xml:space="preserve"> użytkowych </w:t>
            </w:r>
            <w:r w:rsidR="00A639C4">
              <w:rPr>
                <w:color w:val="000000"/>
              </w:rPr>
              <w:br/>
            </w:r>
            <w:r w:rsidRPr="00A639C4">
              <w:rPr>
                <w:color w:val="000000"/>
              </w:rPr>
              <w:t xml:space="preserve">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p w14:paraId="2C2B886A" w14:textId="7B903851" w:rsidR="006F3CC9" w:rsidRPr="00A639C4" w:rsidRDefault="006F3CC9" w:rsidP="004255F0">
            <w:pPr>
              <w:tabs>
                <w:tab w:val="left" w:pos="408"/>
              </w:tabs>
              <w:jc w:val="both"/>
              <w:rPr>
                <w:b/>
                <w:bCs/>
              </w:rPr>
            </w:pPr>
          </w:p>
        </w:tc>
      </w:tr>
      <w:tr w:rsidR="00265C7D" w:rsidRPr="00A639C4" w14:paraId="74E3F54E" w14:textId="77777777" w:rsidTr="00A639C4">
        <w:tc>
          <w:tcPr>
            <w:tcW w:w="1384" w:type="dxa"/>
            <w:shd w:val="clear" w:color="auto" w:fill="BFBFBF" w:themeFill="background1" w:themeFillShade="BF"/>
          </w:tcPr>
          <w:p w14:paraId="51F189A6" w14:textId="6CBD9CE1" w:rsidR="00265C7D" w:rsidRPr="00A639C4" w:rsidRDefault="00265C7D" w:rsidP="004255F0">
            <w:pPr>
              <w:tabs>
                <w:tab w:val="left" w:pos="408"/>
              </w:tabs>
              <w:jc w:val="center"/>
              <w:rPr>
                <w:b/>
              </w:rPr>
            </w:pPr>
            <w:r>
              <w:rPr>
                <w:b/>
              </w:rPr>
              <w:lastRenderedPageBreak/>
              <w:t>3.1</w:t>
            </w:r>
            <w:r w:rsidR="002B7221">
              <w:rPr>
                <w:b/>
              </w:rPr>
              <w:t xml:space="preserve"> IDW</w:t>
            </w:r>
          </w:p>
        </w:tc>
        <w:tc>
          <w:tcPr>
            <w:tcW w:w="7796" w:type="dxa"/>
            <w:shd w:val="clear" w:color="auto" w:fill="BFBFBF" w:themeFill="background1" w:themeFillShade="BF"/>
          </w:tcPr>
          <w:p w14:paraId="3A3A97F2" w14:textId="4CE2F9B9" w:rsidR="00265C7D" w:rsidRPr="00A639C4" w:rsidRDefault="00265C7D" w:rsidP="004255F0">
            <w:pPr>
              <w:jc w:val="both"/>
              <w:rPr>
                <w:b/>
                <w:bCs/>
              </w:rPr>
            </w:pPr>
            <w:r>
              <w:rPr>
                <w:b/>
                <w:bCs/>
              </w:rPr>
              <w:t>M</w:t>
            </w:r>
            <w:r w:rsidRPr="00265C7D">
              <w:rPr>
                <w:b/>
                <w:bCs/>
              </w:rPr>
              <w:t>ożliwość negocjacji</w:t>
            </w:r>
          </w:p>
        </w:tc>
      </w:tr>
      <w:tr w:rsidR="00265C7D" w:rsidRPr="00A639C4" w14:paraId="56C45A99" w14:textId="77777777" w:rsidTr="00265C7D">
        <w:tc>
          <w:tcPr>
            <w:tcW w:w="1384" w:type="dxa"/>
            <w:shd w:val="clear" w:color="auto" w:fill="auto"/>
          </w:tcPr>
          <w:p w14:paraId="281CC30D" w14:textId="77777777" w:rsidR="00265C7D" w:rsidRPr="00A639C4" w:rsidRDefault="00265C7D" w:rsidP="004255F0">
            <w:pPr>
              <w:tabs>
                <w:tab w:val="left" w:pos="408"/>
              </w:tabs>
              <w:jc w:val="center"/>
              <w:rPr>
                <w:b/>
              </w:rPr>
            </w:pPr>
          </w:p>
        </w:tc>
        <w:tc>
          <w:tcPr>
            <w:tcW w:w="7796" w:type="dxa"/>
            <w:shd w:val="clear" w:color="auto" w:fill="auto"/>
          </w:tcPr>
          <w:p w14:paraId="635D7E04" w14:textId="77777777" w:rsidR="006F3CC9" w:rsidRDefault="006F3CC9" w:rsidP="004255F0">
            <w:pPr>
              <w:jc w:val="both"/>
            </w:pPr>
          </w:p>
          <w:p w14:paraId="499FF639" w14:textId="401E3ED6" w:rsidR="00265C7D" w:rsidRDefault="00265C7D" w:rsidP="004255F0">
            <w:pPr>
              <w:jc w:val="both"/>
            </w:pPr>
            <w:r>
              <w:t>Zamawiający przewiduje możliwość prowadzenia negocjacji w celu ulepszenia treści ofert, które podlegają ocenie w ramach kryteriów oceny ofert tj.:</w:t>
            </w:r>
          </w:p>
          <w:p w14:paraId="35029BC2" w14:textId="77777777" w:rsidR="00265C7D" w:rsidRPr="006F3CC9" w:rsidRDefault="00265C7D" w:rsidP="004255F0">
            <w:pPr>
              <w:pStyle w:val="Akapitzlist"/>
              <w:numPr>
                <w:ilvl w:val="0"/>
                <w:numId w:val="33"/>
              </w:numPr>
              <w:jc w:val="both"/>
              <w:rPr>
                <w:b/>
                <w:bCs/>
              </w:rPr>
            </w:pPr>
            <w:r>
              <w:t xml:space="preserve">cena </w:t>
            </w:r>
          </w:p>
          <w:p w14:paraId="72739266" w14:textId="61FF001D" w:rsidR="006F3CC9" w:rsidRPr="00265C7D" w:rsidRDefault="006F3CC9" w:rsidP="004255F0">
            <w:pPr>
              <w:pStyle w:val="Akapitzlist"/>
              <w:ind w:left="720"/>
              <w:jc w:val="both"/>
              <w:rPr>
                <w:b/>
                <w:bCs/>
              </w:rPr>
            </w:pPr>
          </w:p>
        </w:tc>
      </w:tr>
      <w:tr w:rsidR="009E1376" w:rsidRPr="00A639C4" w14:paraId="67762414" w14:textId="77777777" w:rsidTr="00A639C4">
        <w:tc>
          <w:tcPr>
            <w:tcW w:w="1384" w:type="dxa"/>
            <w:shd w:val="clear" w:color="auto" w:fill="BFBFBF" w:themeFill="background1" w:themeFillShade="BF"/>
          </w:tcPr>
          <w:p w14:paraId="7A6F6403" w14:textId="5C478B20" w:rsidR="009E1376" w:rsidRPr="00A639C4" w:rsidRDefault="009E1376" w:rsidP="004255F0">
            <w:pPr>
              <w:tabs>
                <w:tab w:val="left" w:pos="408"/>
              </w:tabs>
              <w:jc w:val="center"/>
              <w:rPr>
                <w:b/>
              </w:rPr>
            </w:pPr>
            <w:bookmarkStart w:id="1" w:name="_Hlk123634923"/>
            <w:r w:rsidRPr="00A639C4">
              <w:rPr>
                <w:b/>
              </w:rPr>
              <w:t>Pkt 3.8 IDW</w:t>
            </w:r>
          </w:p>
        </w:tc>
        <w:tc>
          <w:tcPr>
            <w:tcW w:w="7796" w:type="dxa"/>
            <w:shd w:val="clear" w:color="auto" w:fill="BFBFBF" w:themeFill="background1" w:themeFillShade="BF"/>
          </w:tcPr>
          <w:p w14:paraId="1E5CC173" w14:textId="19389242" w:rsidR="009E1376" w:rsidRPr="00A639C4" w:rsidRDefault="009E1376" w:rsidP="004255F0">
            <w:pPr>
              <w:jc w:val="both"/>
              <w:rPr>
                <w:b/>
                <w:bCs/>
              </w:rPr>
            </w:pPr>
            <w:r w:rsidRPr="00A639C4">
              <w:rPr>
                <w:b/>
                <w:bCs/>
              </w:rPr>
              <w:t>Prawo opcji</w:t>
            </w:r>
            <w:r w:rsidRPr="00A639C4">
              <w:rPr>
                <w:bCs/>
              </w:rPr>
              <w:t xml:space="preserve"> </w:t>
            </w:r>
            <w:r w:rsidRPr="00A639C4">
              <w:rPr>
                <w:b/>
                <w:bCs/>
              </w:rPr>
              <w:t>zgodnie z art. 441 ust.1 Pzp</w:t>
            </w:r>
          </w:p>
        </w:tc>
      </w:tr>
      <w:tr w:rsidR="009E1376" w:rsidRPr="00A639C4" w14:paraId="2727A62A" w14:textId="77777777" w:rsidTr="00A639C4">
        <w:tc>
          <w:tcPr>
            <w:tcW w:w="1384" w:type="dxa"/>
            <w:shd w:val="clear" w:color="auto" w:fill="auto"/>
          </w:tcPr>
          <w:p w14:paraId="1D8CBF62" w14:textId="77777777" w:rsidR="009E1376" w:rsidRPr="00A639C4" w:rsidRDefault="009E1376" w:rsidP="004255F0">
            <w:pPr>
              <w:tabs>
                <w:tab w:val="left" w:pos="408"/>
              </w:tabs>
              <w:jc w:val="center"/>
              <w:rPr>
                <w:b/>
              </w:rPr>
            </w:pPr>
          </w:p>
        </w:tc>
        <w:tc>
          <w:tcPr>
            <w:tcW w:w="7796" w:type="dxa"/>
            <w:shd w:val="clear" w:color="auto" w:fill="auto"/>
          </w:tcPr>
          <w:p w14:paraId="528C9DFE" w14:textId="77777777" w:rsidR="0006539D" w:rsidRDefault="0006539D" w:rsidP="004255F0">
            <w:pPr>
              <w:jc w:val="both"/>
              <w:rPr>
                <w:color w:val="FF0000"/>
                <w:u w:val="single"/>
              </w:rPr>
            </w:pPr>
          </w:p>
          <w:p w14:paraId="7795F68E" w14:textId="77777777" w:rsidR="006F3CC9" w:rsidRPr="00BF0687" w:rsidRDefault="006F3CC9" w:rsidP="004255F0">
            <w:pPr>
              <w:jc w:val="both"/>
            </w:pPr>
            <w:r w:rsidRPr="00BF0687">
              <w:t xml:space="preserve">Zamawiający </w:t>
            </w:r>
            <w:r w:rsidRPr="00BF0687">
              <w:rPr>
                <w:b/>
                <w:bCs/>
              </w:rPr>
              <w:t>nie przewiduje</w:t>
            </w:r>
            <w:r w:rsidRPr="00BF0687">
              <w:t xml:space="preserve"> możliwości skorzystania z „prawa opcji</w:t>
            </w:r>
            <w:bookmarkStart w:id="2" w:name="_Hlk123634413"/>
            <w:r w:rsidRPr="00BF0687">
              <w:t>”.</w:t>
            </w:r>
            <w:bookmarkEnd w:id="2"/>
          </w:p>
          <w:p w14:paraId="3B96E6F9" w14:textId="2BEFC90E" w:rsidR="006F3CC9" w:rsidRPr="006F3CC9" w:rsidRDefault="006F3CC9" w:rsidP="004255F0">
            <w:pPr>
              <w:jc w:val="both"/>
              <w:rPr>
                <w:b/>
                <w:bCs/>
              </w:rPr>
            </w:pPr>
          </w:p>
        </w:tc>
      </w:tr>
      <w:bookmarkEnd w:id="1"/>
      <w:tr w:rsidR="009E1376" w:rsidRPr="00A639C4" w14:paraId="214B6BF8" w14:textId="77777777" w:rsidTr="00A639C4">
        <w:tc>
          <w:tcPr>
            <w:tcW w:w="1384" w:type="dxa"/>
            <w:shd w:val="clear" w:color="auto" w:fill="BFBFBF" w:themeFill="background1" w:themeFillShade="BF"/>
          </w:tcPr>
          <w:p w14:paraId="4D350397" w14:textId="7FC52D83" w:rsidR="009E1376" w:rsidRPr="00A639C4" w:rsidRDefault="009E1376" w:rsidP="004255F0">
            <w:pPr>
              <w:tabs>
                <w:tab w:val="left" w:pos="408"/>
              </w:tabs>
              <w:jc w:val="center"/>
              <w:rPr>
                <w:b/>
              </w:rPr>
            </w:pPr>
            <w:r w:rsidRPr="00A639C4">
              <w:rPr>
                <w:b/>
              </w:rPr>
              <w:t>Pkt 3.10 IDW</w:t>
            </w:r>
          </w:p>
        </w:tc>
        <w:tc>
          <w:tcPr>
            <w:tcW w:w="7796" w:type="dxa"/>
            <w:shd w:val="clear" w:color="auto" w:fill="BFBFBF" w:themeFill="background1" w:themeFillShade="BF"/>
          </w:tcPr>
          <w:p w14:paraId="37E68364" w14:textId="1FDD83F7" w:rsidR="009E1376" w:rsidRPr="00A639C4" w:rsidRDefault="009E1376" w:rsidP="004255F0">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9E1376" w:rsidRPr="00A639C4" w14:paraId="60A709E1" w14:textId="77777777" w:rsidTr="00A639C4">
        <w:tc>
          <w:tcPr>
            <w:tcW w:w="1384" w:type="dxa"/>
            <w:tcBorders>
              <w:bottom w:val="single" w:sz="4" w:space="0" w:color="auto"/>
            </w:tcBorders>
            <w:shd w:val="clear" w:color="auto" w:fill="auto"/>
          </w:tcPr>
          <w:p w14:paraId="6579DE5C" w14:textId="77777777" w:rsidR="009E1376" w:rsidRPr="00A639C4" w:rsidRDefault="009E1376" w:rsidP="004255F0">
            <w:pPr>
              <w:tabs>
                <w:tab w:val="left" w:pos="408"/>
              </w:tabs>
              <w:rPr>
                <w:b/>
              </w:rPr>
            </w:pPr>
          </w:p>
        </w:tc>
        <w:tc>
          <w:tcPr>
            <w:tcW w:w="7796" w:type="dxa"/>
            <w:tcBorders>
              <w:bottom w:val="single" w:sz="4" w:space="0" w:color="auto"/>
            </w:tcBorders>
            <w:shd w:val="clear" w:color="auto" w:fill="auto"/>
          </w:tcPr>
          <w:p w14:paraId="0F546463" w14:textId="77777777" w:rsidR="009E1376" w:rsidRPr="00A639C4" w:rsidRDefault="009E1376" w:rsidP="004255F0">
            <w:pPr>
              <w:jc w:val="both"/>
              <w:rPr>
                <w:b/>
              </w:rPr>
            </w:pPr>
          </w:p>
          <w:p w14:paraId="339BF232" w14:textId="77777777" w:rsidR="009E1376" w:rsidRPr="00A639C4" w:rsidRDefault="009E1376" w:rsidP="004255F0">
            <w:pPr>
              <w:jc w:val="both"/>
              <w:rPr>
                <w:b/>
                <w:bCs/>
              </w:rPr>
            </w:pPr>
            <w:r w:rsidRPr="00A639C4">
              <w:rPr>
                <w:b/>
                <w:bCs/>
              </w:rPr>
              <w:t>Szczegółowe wymagania o których mowa w art. 95 Pzp dotyczące realizacji zamówienia oraz egzekwowania wymogu zatrudnienia na podstawie stosunku pracy:</w:t>
            </w:r>
          </w:p>
          <w:p w14:paraId="7E866006" w14:textId="04B5F7DF" w:rsidR="009E1376" w:rsidRPr="00A639C4" w:rsidRDefault="009E1376" w:rsidP="004255F0">
            <w:pPr>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14:paraId="12F2B928" w14:textId="77777777" w:rsidR="009E1376" w:rsidRPr="00A639C4" w:rsidRDefault="009E1376" w:rsidP="004255F0">
            <w:pPr>
              <w:jc w:val="both"/>
              <w:rPr>
                <w:b/>
              </w:rPr>
            </w:pPr>
          </w:p>
          <w:p w14:paraId="2C316B50" w14:textId="0D8AF407" w:rsidR="009E1376" w:rsidRPr="00A639C4" w:rsidRDefault="009E1376" w:rsidP="004255F0">
            <w:pPr>
              <w:jc w:val="both"/>
              <w:rPr>
                <w:b/>
              </w:rPr>
            </w:pPr>
            <w:r w:rsidRPr="00A639C4">
              <w:rPr>
                <w:b/>
              </w:rPr>
              <w:t xml:space="preserve">1) rodzaj czynności niezbędnych do realizacji zamówienia, których dotyczą wymagania zatrudnienia na podstawie stosunku pracy przez wykonawcę </w:t>
            </w:r>
            <w:r w:rsidR="00621C71">
              <w:rPr>
                <w:b/>
              </w:rPr>
              <w:t xml:space="preserve">                     </w:t>
            </w:r>
            <w:r w:rsidRPr="00A639C4">
              <w:rPr>
                <w:b/>
              </w:rPr>
              <w:t>lub podwykonawcę osób wykonujących czynności w trakcie realizacji zamówienia;</w:t>
            </w:r>
          </w:p>
          <w:p w14:paraId="4F04632D" w14:textId="77777777" w:rsidR="009E1376" w:rsidRPr="00A639C4" w:rsidRDefault="009E1376" w:rsidP="004255F0">
            <w:pPr>
              <w:jc w:val="both"/>
            </w:pPr>
          </w:p>
          <w:p w14:paraId="655B67E1" w14:textId="77777777" w:rsidR="00444CA5" w:rsidRDefault="00444CA5" w:rsidP="00444CA5">
            <w:pPr>
              <w:jc w:val="both"/>
            </w:pPr>
            <w:r w:rsidRPr="000E368E">
              <w:t xml:space="preserve">Zamawiający wymaga zatrudnienia na </w:t>
            </w:r>
            <w:r w:rsidRPr="0027230C">
              <w:rPr>
                <w:bCs/>
              </w:rPr>
              <w:t>podstawie stosunku pracy</w:t>
            </w:r>
            <w:r>
              <w:t xml:space="preserve"> przez W</w:t>
            </w:r>
            <w:r w:rsidRPr="000E368E">
              <w:t xml:space="preserve">ykonawcę lub podwykonawcę osób </w:t>
            </w:r>
            <w:bookmarkStart w:id="3" w:name="_Hlk1632458"/>
            <w:r w:rsidRPr="000E368E">
              <w:t xml:space="preserve">wykonujących czynności </w:t>
            </w:r>
            <w:r>
              <w:t>w trakcie realizacji zamówienia:</w:t>
            </w:r>
          </w:p>
          <w:bookmarkEnd w:id="3"/>
          <w:p w14:paraId="7EAD0C9C" w14:textId="2502F93A" w:rsidR="00444CA5" w:rsidRPr="002422F1" w:rsidRDefault="00444CA5" w:rsidP="00444CA5">
            <w:pPr>
              <w:jc w:val="both"/>
              <w:rPr>
                <w:color w:val="FF0000"/>
              </w:rPr>
            </w:pPr>
            <w:r w:rsidRPr="0070280C">
              <w:rPr>
                <w:b/>
              </w:rPr>
              <w:t xml:space="preserve">- </w:t>
            </w:r>
            <w:r>
              <w:rPr>
                <w:b/>
              </w:rPr>
              <w:t xml:space="preserve">pracownik biurowy </w:t>
            </w:r>
            <w:r w:rsidRPr="007526B9">
              <w:rPr>
                <w:b/>
              </w:rPr>
              <w:t xml:space="preserve">- </w:t>
            </w:r>
            <w:r w:rsidRPr="007526B9">
              <w:rPr>
                <w:bCs/>
              </w:rPr>
              <w:t>osoba wykonująca</w:t>
            </w:r>
            <w:r w:rsidRPr="007526B9">
              <w:t xml:space="preserve"> w trakcie realizacji zamówienia między innymi czynności obsługi administracyjno-biurowej, niezależnie od tego czy prace te będzie wykonywał Wykonawca czy podwykonawca.</w:t>
            </w:r>
          </w:p>
          <w:p w14:paraId="4FC9AFC3" w14:textId="77777777" w:rsidR="00444CA5" w:rsidRPr="000E368E" w:rsidRDefault="00444CA5" w:rsidP="00444CA5">
            <w:pPr>
              <w:jc w:val="both"/>
            </w:pPr>
            <w:r w:rsidRPr="000E368E">
              <w:t xml:space="preserve">Zamawiający </w:t>
            </w:r>
            <w:r>
              <w:t xml:space="preserve">nie </w:t>
            </w:r>
            <w:r w:rsidRPr="000E368E">
              <w:t>wymaga zatrudnienia na</w:t>
            </w:r>
            <w:r>
              <w:t xml:space="preserve"> podstawie umowy o pracę przez W</w:t>
            </w:r>
            <w:r w:rsidRPr="000E368E">
              <w:t>ykonawcę lub podwykonawcę osób pełniących samodzielne funkcje techniczne w budownictwie oraz osób wykonujących czynności związane z</w:t>
            </w:r>
            <w:r>
              <w:t> </w:t>
            </w:r>
            <w:r w:rsidRPr="000E368E">
              <w:t xml:space="preserve">wykonywaniem prac geodezyjnych, opracowań z zakresu ochrony środowiska, prac związanych z przygotowywaniem materiałów do decyzji administracyjnych oraz prac pomiarowych w zakresie sieci i urządzeń teletechnicznych, energetycznych, gazowniczych, wodociągowych i oświetlenia.  </w:t>
            </w:r>
          </w:p>
          <w:p w14:paraId="216A271A" w14:textId="77777777" w:rsidR="00A639C4" w:rsidRPr="00A639C4" w:rsidRDefault="00A639C4" w:rsidP="004255F0">
            <w:pPr>
              <w:jc w:val="both"/>
            </w:pPr>
          </w:p>
          <w:p w14:paraId="29EA9E72" w14:textId="77777777" w:rsidR="009E1376" w:rsidRPr="00A639C4" w:rsidRDefault="009E1376" w:rsidP="004255F0">
            <w:pPr>
              <w:jc w:val="both"/>
              <w:rPr>
                <w:b/>
              </w:rPr>
            </w:pPr>
            <w:r w:rsidRPr="00A639C4">
              <w:rPr>
                <w:b/>
              </w:rPr>
              <w:t>2) sposób weryfikacji zatrudnienia tych osób;</w:t>
            </w:r>
          </w:p>
          <w:p w14:paraId="28CD51BC" w14:textId="77777777" w:rsidR="009E1376" w:rsidRPr="00A639C4" w:rsidRDefault="009E1376" w:rsidP="004255F0">
            <w:pPr>
              <w:jc w:val="both"/>
            </w:pPr>
          </w:p>
          <w:p w14:paraId="67C5565D" w14:textId="53D8828A" w:rsidR="009E1376" w:rsidRPr="00A639C4" w:rsidRDefault="009E1376" w:rsidP="004255F0">
            <w:pPr>
              <w:jc w:val="both"/>
            </w:pPr>
            <w:r w:rsidRPr="00A639C4">
              <w:lastRenderedPageBreak/>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14:paraId="188F090D" w14:textId="77777777" w:rsidR="009E1376" w:rsidRPr="00A639C4" w:rsidRDefault="009E1376" w:rsidP="004255F0">
            <w:pPr>
              <w:jc w:val="both"/>
              <w:rPr>
                <w:b/>
              </w:rPr>
            </w:pPr>
          </w:p>
          <w:p w14:paraId="425AF457" w14:textId="77777777" w:rsidR="009E1376" w:rsidRPr="00A639C4" w:rsidRDefault="009E1376" w:rsidP="004255F0">
            <w:pPr>
              <w:jc w:val="both"/>
              <w:rPr>
                <w:b/>
              </w:rPr>
            </w:pPr>
            <w:r w:rsidRPr="00A639C4">
              <w:rPr>
                <w:b/>
              </w:rPr>
              <w:t>3) uprawnienia zamawiającego w zakresie kontroli spełniania przez wykonawcę wymagań związanych z zatrudnianiem tych osób oraz sankcji z tytułu niespełnienia tych wymagań.</w:t>
            </w:r>
          </w:p>
          <w:p w14:paraId="365C856C" w14:textId="77777777" w:rsidR="009E1376" w:rsidRPr="00A639C4" w:rsidRDefault="009E1376" w:rsidP="004255F0">
            <w:pPr>
              <w:jc w:val="both"/>
            </w:pPr>
          </w:p>
          <w:p w14:paraId="16775595" w14:textId="4BB04FE1" w:rsidR="009E1376" w:rsidRPr="00A639C4" w:rsidRDefault="009E1376" w:rsidP="004255F0">
            <w:pPr>
              <w:jc w:val="both"/>
            </w:pPr>
            <w:r w:rsidRPr="00A639C4">
              <w:t xml:space="preserve">Zamawiający ma prawo do skontrolowania Wykonawcy w zakresie zatrudnienia osób, o których mowa w art. 95 Ustawy Pzp wzywając go na piśmie do przekazania informacji w terminie 14 dni od otrzymania takiego wezwania. W przypadku gdy Wykonawca nie dochowa ww. terminu Zamawiający obciąży Wykonawcę karami umownymi </w:t>
            </w:r>
            <w:r w:rsidR="0039128C">
              <w:t xml:space="preserve"> </w:t>
            </w:r>
            <w:r w:rsidR="0039128C" w:rsidRPr="0039128C">
              <w:t>określon</w:t>
            </w:r>
            <w:r w:rsidR="0039128C">
              <w:t>ymi</w:t>
            </w:r>
            <w:r w:rsidR="0039128C" w:rsidRPr="0039128C">
              <w:t xml:space="preserve"> w projektowanych postanowieniach umownych.</w:t>
            </w:r>
          </w:p>
          <w:p w14:paraId="51B67B5A" w14:textId="77777777" w:rsidR="009E1376" w:rsidRPr="00A639C4" w:rsidRDefault="009E1376" w:rsidP="004255F0">
            <w:pPr>
              <w:jc w:val="both"/>
            </w:pPr>
          </w:p>
        </w:tc>
      </w:tr>
      <w:tr w:rsidR="009E1376" w:rsidRPr="00A639C4" w14:paraId="32227B2D" w14:textId="77777777" w:rsidTr="00A639C4">
        <w:tc>
          <w:tcPr>
            <w:tcW w:w="1384" w:type="dxa"/>
            <w:shd w:val="clear" w:color="auto" w:fill="BFBFBF" w:themeFill="background1" w:themeFillShade="BF"/>
          </w:tcPr>
          <w:p w14:paraId="5200B712" w14:textId="2FC0D74A" w:rsidR="009E1376" w:rsidRPr="00A639C4" w:rsidRDefault="009E1376" w:rsidP="004255F0">
            <w:pPr>
              <w:tabs>
                <w:tab w:val="left" w:pos="408"/>
              </w:tabs>
              <w:jc w:val="center"/>
              <w:rPr>
                <w:b/>
              </w:rPr>
            </w:pPr>
            <w:r w:rsidRPr="00A639C4">
              <w:rPr>
                <w:b/>
              </w:rPr>
              <w:lastRenderedPageBreak/>
              <w:t>Pkt 4.2 IDW</w:t>
            </w:r>
          </w:p>
        </w:tc>
        <w:tc>
          <w:tcPr>
            <w:tcW w:w="7796" w:type="dxa"/>
            <w:shd w:val="clear" w:color="auto" w:fill="BFBFBF" w:themeFill="background1" w:themeFillShade="BF"/>
          </w:tcPr>
          <w:p w14:paraId="007C0D9A" w14:textId="25C5FB76" w:rsidR="009E1376" w:rsidRPr="00A639C4" w:rsidRDefault="009E1376" w:rsidP="004255F0">
            <w:pPr>
              <w:tabs>
                <w:tab w:val="left" w:pos="408"/>
              </w:tabs>
              <w:rPr>
                <w:b/>
              </w:rPr>
            </w:pPr>
            <w:r w:rsidRPr="00A639C4">
              <w:rPr>
                <w:b/>
              </w:rPr>
              <w:t>Składanie ofert częściowych</w:t>
            </w:r>
          </w:p>
        </w:tc>
      </w:tr>
      <w:tr w:rsidR="009E1376" w:rsidRPr="00A639C4" w14:paraId="555BB7B8" w14:textId="77777777" w:rsidTr="00A639C4">
        <w:tc>
          <w:tcPr>
            <w:tcW w:w="1384" w:type="dxa"/>
            <w:shd w:val="clear" w:color="auto" w:fill="auto"/>
          </w:tcPr>
          <w:p w14:paraId="7F7FF4A8" w14:textId="3DAAC5AF" w:rsidR="009E1376" w:rsidRPr="00A639C4" w:rsidRDefault="009E1376" w:rsidP="004255F0">
            <w:pPr>
              <w:tabs>
                <w:tab w:val="left" w:pos="408"/>
              </w:tabs>
              <w:jc w:val="center"/>
              <w:rPr>
                <w:b/>
              </w:rPr>
            </w:pPr>
          </w:p>
        </w:tc>
        <w:tc>
          <w:tcPr>
            <w:tcW w:w="7796" w:type="dxa"/>
            <w:shd w:val="clear" w:color="auto" w:fill="auto"/>
          </w:tcPr>
          <w:p w14:paraId="1F4A2031" w14:textId="77777777" w:rsidR="009E1376" w:rsidRPr="00A639C4" w:rsidRDefault="009E1376" w:rsidP="004255F0">
            <w:pPr>
              <w:tabs>
                <w:tab w:val="left" w:pos="408"/>
              </w:tabs>
              <w:jc w:val="both"/>
              <w:rPr>
                <w:bCs/>
              </w:rPr>
            </w:pPr>
          </w:p>
          <w:p w14:paraId="5853B6E8" w14:textId="77777777" w:rsidR="006F3CC9" w:rsidRPr="00BF0687" w:rsidRDefault="006F3CC9" w:rsidP="004255F0">
            <w:pPr>
              <w:tabs>
                <w:tab w:val="left" w:pos="408"/>
              </w:tabs>
              <w:rPr>
                <w:bCs/>
              </w:rPr>
            </w:pPr>
            <w:r w:rsidRPr="00BF0687">
              <w:rPr>
                <w:bCs/>
              </w:rPr>
              <w:t xml:space="preserve">Zamawiający </w:t>
            </w:r>
            <w:r w:rsidRPr="00BF0687">
              <w:rPr>
                <w:b/>
                <w:bCs/>
                <w:u w:val="single"/>
              </w:rPr>
              <w:t>nie dopuszcza</w:t>
            </w:r>
            <w:r w:rsidRPr="00BF0687">
              <w:rPr>
                <w:bCs/>
              </w:rPr>
              <w:t xml:space="preserve"> składania ofert częściowych.</w:t>
            </w:r>
          </w:p>
          <w:p w14:paraId="1E9CCCD5" w14:textId="77777777" w:rsidR="006F3CC9" w:rsidRPr="00BF0687" w:rsidRDefault="006F3CC9" w:rsidP="004255F0">
            <w:pPr>
              <w:tabs>
                <w:tab w:val="left" w:pos="408"/>
              </w:tabs>
              <w:jc w:val="both"/>
              <w:rPr>
                <w:bCs/>
              </w:rPr>
            </w:pPr>
          </w:p>
          <w:p w14:paraId="006AC619" w14:textId="77777777" w:rsidR="006F3CC9" w:rsidRDefault="006F3CC9" w:rsidP="004255F0">
            <w:pPr>
              <w:tabs>
                <w:tab w:val="left" w:pos="16874"/>
                <w:tab w:val="left" w:pos="17157"/>
              </w:tabs>
              <w:jc w:val="both"/>
            </w:pPr>
            <w:r w:rsidRPr="00BF0687">
              <w:t xml:space="preserve">Przedmiot zamówienia nie został podzielony na części. </w:t>
            </w:r>
          </w:p>
          <w:p w14:paraId="455751E1" w14:textId="77777777" w:rsidR="00134BAA" w:rsidRDefault="00134BAA" w:rsidP="004255F0">
            <w:pPr>
              <w:tabs>
                <w:tab w:val="left" w:pos="16874"/>
                <w:tab w:val="left" w:pos="17157"/>
              </w:tabs>
              <w:jc w:val="both"/>
            </w:pPr>
          </w:p>
          <w:p w14:paraId="78A9F309" w14:textId="16E42B18" w:rsidR="00134BAA" w:rsidRPr="00134BAA" w:rsidRDefault="00134BAA" w:rsidP="00134BAA">
            <w:pPr>
              <w:tabs>
                <w:tab w:val="left" w:pos="16874"/>
                <w:tab w:val="left" w:pos="17157"/>
              </w:tabs>
              <w:jc w:val="both"/>
              <w:rPr>
                <w:rFonts w:ascii="Calibri" w:hAnsi="Calibri" w:cs="Calibri"/>
              </w:rPr>
            </w:pPr>
            <w:r w:rsidRPr="00134BAA">
              <w:rPr>
                <w:rFonts w:cstheme="minorHAnsi"/>
              </w:rPr>
              <w:t>Zamawiający odstąpił od podziału zamówienia na części z uwagi, że w</w:t>
            </w:r>
            <w:r w:rsidRPr="00134BAA">
              <w:t>artość jak również zakres zamówienia  jest nieduży i polega na przygotowani</w:t>
            </w:r>
            <w:r w:rsidR="00DF0690">
              <w:t>u</w:t>
            </w:r>
            <w:r w:rsidRPr="00134BAA">
              <w:t xml:space="preserve"> w tym celu  odpowiedniej dokumentacji. Ewentualny  podział niniejszego zamówienia na  części może  spowodować trudności  w skoordynowaniu  pracy, co może  skutkować  zagrożeniem nieprawidłowej realizacji zamówienia.</w:t>
            </w:r>
          </w:p>
          <w:p w14:paraId="1B3E61D6" w14:textId="77777777" w:rsidR="006F3CC9" w:rsidRPr="00BF0687" w:rsidRDefault="006F3CC9" w:rsidP="004255F0">
            <w:pPr>
              <w:jc w:val="both"/>
            </w:pPr>
          </w:p>
          <w:p w14:paraId="433BFD6C" w14:textId="77777777" w:rsidR="006F3CC9" w:rsidRPr="00BF0687" w:rsidRDefault="006F3CC9" w:rsidP="004255F0">
            <w:pPr>
              <w:jc w:val="both"/>
            </w:pPr>
            <w:r w:rsidRPr="00BF0687">
              <w:t xml:space="preserve">Zamawiający przed ogłoszeniem postępowania dokonał analizy zasadności podziału przedmiotu zamówienia na części. Poniżej wskazano główne przyczyny decyzji instytucji zamawiającej o braku podziału zamówienia na części. </w:t>
            </w:r>
          </w:p>
          <w:p w14:paraId="6F7603CB" w14:textId="77777777" w:rsidR="006F3CC9" w:rsidRPr="00BF0687" w:rsidRDefault="006F3CC9" w:rsidP="004255F0">
            <w:pPr>
              <w:jc w:val="both"/>
            </w:pPr>
            <w:r w:rsidRPr="00BF0687">
              <w:t xml:space="preserve">Zamawiający wskazuje, że nie jest zobowiązany do dokonywania podziału zamówienia na części za wszelką cenę – tj. po to, żeby podziału dokonać, niezależnie od tego w jaki sposób i jaką metodologią. </w:t>
            </w:r>
          </w:p>
          <w:p w14:paraId="1D7C65F4" w14:textId="77777777" w:rsidR="006F3CC9" w:rsidRPr="00BF0687" w:rsidRDefault="006F3CC9" w:rsidP="004255F0">
            <w:pPr>
              <w:jc w:val="both"/>
            </w:pPr>
            <w:r w:rsidRPr="00BF0687">
              <w:t>Przepisy ustawy Pzp 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0249E4D4" w14:textId="413F4871" w:rsidR="006F3CC9" w:rsidRPr="00BF0687" w:rsidRDefault="006F3CC9" w:rsidP="004255F0">
            <w:pPr>
              <w:jc w:val="both"/>
            </w:pPr>
            <w:r w:rsidRPr="00BF0687">
              <w:t>Stanowiący podstawę dla tego obowiązku przepis art. 91 ust.2 ustawy Pzp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w:t>
            </w:r>
            <w:r>
              <w:t xml:space="preserve"> </w:t>
            </w:r>
            <w:r w:rsidRPr="00BF0687">
              <w:t xml:space="preserve"> zamówienia na części jest celowy i jeśli decyzja o zaniechaniu podziału zostanie podjęta i uzasadniona należy uznać, że czynność została dokonana przez zamawiającego prawidłowo.</w:t>
            </w:r>
          </w:p>
          <w:p w14:paraId="67DC50C3" w14:textId="77777777" w:rsidR="006F3CC9" w:rsidRPr="00BF0687" w:rsidRDefault="006F3CC9" w:rsidP="004255F0">
            <w:pPr>
              <w:ind w:firstLine="708"/>
              <w:jc w:val="both"/>
            </w:pPr>
            <w:r w:rsidRPr="00BF0687">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0A132814" w14:textId="77777777" w:rsidR="006F3CC9" w:rsidRPr="00BF0687" w:rsidRDefault="006F3CC9" w:rsidP="004255F0">
            <w:pPr>
              <w:ind w:firstLine="708"/>
              <w:jc w:val="both"/>
            </w:pPr>
            <w:r w:rsidRPr="00BF0687">
              <w:lastRenderedPageBreak/>
              <w:t xml:space="preserve">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branży. </w:t>
            </w:r>
          </w:p>
          <w:p w14:paraId="1BF54C94" w14:textId="77777777" w:rsidR="006F3CC9" w:rsidRPr="00BF0687" w:rsidRDefault="006F3CC9" w:rsidP="004255F0">
            <w:pPr>
              <w:ind w:firstLine="708"/>
              <w:jc w:val="both"/>
            </w:pPr>
            <w:r w:rsidRPr="00BF0687">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2C877DEB" w14:textId="77777777" w:rsidR="006F3CC9" w:rsidRPr="00BF0687" w:rsidRDefault="006F3CC9" w:rsidP="004255F0">
            <w:pPr>
              <w:ind w:firstLine="708"/>
              <w:jc w:val="both"/>
            </w:pPr>
            <w:r w:rsidRPr="00BF0687">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64F66408" w14:textId="77777777" w:rsidR="006F3CC9" w:rsidRPr="00BF0687" w:rsidRDefault="006F3CC9" w:rsidP="004255F0">
            <w:pPr>
              <w:ind w:firstLine="708"/>
              <w:jc w:val="both"/>
            </w:pPr>
            <w:r w:rsidRPr="00BF0687">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5B686191" w14:textId="77777777" w:rsidR="006F3CC9" w:rsidRPr="00BF0687" w:rsidRDefault="006F3CC9" w:rsidP="004255F0">
            <w:pPr>
              <w:ind w:firstLine="708"/>
              <w:jc w:val="both"/>
            </w:pPr>
            <w:r w:rsidRPr="00BF0687">
              <w:t>W opinii Zamawiającego przy podziale zamówienia na części prawdopodobna i wręcz granicząca z pewnością jest sytuacja, w której kilku wykonawców, których łączny efekt prac decyduje o prawidłowym wykonaniu przedmiotu umowy</w:t>
            </w:r>
            <w:r w:rsidRPr="00BF0687">
              <w:rPr>
                <w:strike/>
              </w:rPr>
              <w:t xml:space="preserve"> </w:t>
            </w:r>
            <w:r w:rsidRPr="00BF0687">
              <w:t>unika odpowiedzialności z uwagi na trudności z jednoznacznym ustaleniem przyczyn wystąpienia wad czy usterek.</w:t>
            </w:r>
          </w:p>
          <w:p w14:paraId="4E73EFA3" w14:textId="77777777" w:rsidR="006F3CC9" w:rsidRPr="00BF0687" w:rsidRDefault="006F3CC9" w:rsidP="004255F0">
            <w:pPr>
              <w:ind w:firstLine="708"/>
              <w:jc w:val="both"/>
            </w:pPr>
            <w:r w:rsidRPr="00BF0687">
              <w:t>Zamawiający uznał, że niedokonanie podziału przedmiotu zamówienia 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50BD12A3" w14:textId="77777777" w:rsidR="006F3CC9" w:rsidRPr="00BF0687" w:rsidRDefault="006F3CC9" w:rsidP="004255F0">
            <w:pPr>
              <w:ind w:firstLine="708"/>
              <w:jc w:val="both"/>
            </w:pPr>
            <w:r w:rsidRPr="00BF0687">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0080C991" w14:textId="77777777" w:rsidR="006F3CC9" w:rsidRPr="00BF0687" w:rsidRDefault="006F3CC9" w:rsidP="004255F0">
            <w:pPr>
              <w:ind w:firstLine="708"/>
              <w:jc w:val="both"/>
            </w:pPr>
            <w:r w:rsidRPr="00BF0687">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67C164B0" w14:textId="77777777" w:rsidR="006F3CC9" w:rsidRPr="00BF0687" w:rsidRDefault="006F3CC9" w:rsidP="004255F0">
            <w:pPr>
              <w:ind w:firstLine="708"/>
              <w:jc w:val="both"/>
            </w:pPr>
            <w:r w:rsidRPr="00BF0687">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0140A9CE" w14:textId="77777777" w:rsidR="006F3CC9" w:rsidRPr="00BF0687" w:rsidRDefault="006F3CC9" w:rsidP="004255F0">
            <w:pPr>
              <w:ind w:firstLine="708"/>
              <w:jc w:val="both"/>
            </w:pPr>
            <w:r w:rsidRPr="00BF0687">
              <w:t>Najistotniejszym argumentem za brakiem konieczności podziału zamówienia na części są nadmierne trudności czy koszty oraz brak koordynacji, skutkujący poważną groźbą nieprawidłowej realizacji zamówienia.</w:t>
            </w:r>
          </w:p>
          <w:p w14:paraId="5F3EF301" w14:textId="77777777" w:rsidR="009E1376" w:rsidRDefault="009E1376" w:rsidP="004255F0">
            <w:pPr>
              <w:tabs>
                <w:tab w:val="left" w:pos="408"/>
              </w:tabs>
              <w:jc w:val="both"/>
              <w:rPr>
                <w:bCs/>
              </w:rPr>
            </w:pPr>
          </w:p>
          <w:p w14:paraId="0CFD44A8" w14:textId="77777777" w:rsidR="006F3CC9" w:rsidRPr="00BF0687" w:rsidRDefault="006F3CC9" w:rsidP="004255F0">
            <w:pPr>
              <w:ind w:firstLine="708"/>
              <w:jc w:val="both"/>
            </w:pPr>
            <w:r w:rsidRPr="00BF0687">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sidRPr="00BF0687">
              <w:rPr>
                <w:u w:val="single"/>
              </w:rPr>
              <w:t>niewielkimi</w:t>
            </w:r>
            <w:r w:rsidRPr="00BF0687">
              <w:t xml:space="preserve"> trudnościami czy kosztami bądź </w:t>
            </w:r>
            <w:r w:rsidRPr="00BF0687">
              <w:rPr>
                <w:u w:val="single"/>
              </w:rPr>
              <w:t>nieznacznymi</w:t>
            </w:r>
            <w:r w:rsidRPr="00BF0687">
              <w:t xml:space="preserve"> problemami z koordynowaniem działań wykonawców a tym bardziej wygoda zamawiającego. W opinii Zamawiającego przyczyny niedokonania podziału nie są błahe oraz łatwe do usunięcia. </w:t>
            </w:r>
          </w:p>
          <w:p w14:paraId="6B3FABF5" w14:textId="77777777" w:rsidR="006F3CC9" w:rsidRPr="00BF0687" w:rsidRDefault="006F3CC9" w:rsidP="004255F0">
            <w:pPr>
              <w:ind w:firstLine="708"/>
              <w:jc w:val="both"/>
            </w:pPr>
            <w:r w:rsidRPr="00BF0687">
              <w:t xml:space="preserve">Istotne jest również to, że Zamawiający nie wyłączył z udziału w postępowaniu </w:t>
            </w:r>
            <w:r w:rsidRPr="00BF0687">
              <w:lastRenderedPageBreak/>
              <w:t xml:space="preserve">podmiotów działających wspólnie ani podwykonawstwa – w żaden sposób nie ogranicza to możliwości złożenia oferty </w:t>
            </w:r>
          </w:p>
          <w:p w14:paraId="04B4C86C" w14:textId="77777777" w:rsidR="006F3CC9" w:rsidRPr="00BF0687" w:rsidRDefault="006F3CC9" w:rsidP="004255F0">
            <w:pPr>
              <w:ind w:firstLine="708"/>
              <w:jc w:val="both"/>
            </w:pPr>
            <w:r w:rsidRPr="00BF0687">
              <w:t>W świetle powyższego, decyzja o tym, aby całość zamówienia została zrealizowana przez jednego wykonawcę była w pełni uzasadniona.</w:t>
            </w:r>
          </w:p>
          <w:p w14:paraId="09F3499D" w14:textId="28BEF810" w:rsidR="006F3CC9" w:rsidRPr="00A639C4" w:rsidRDefault="006F3CC9" w:rsidP="004255F0">
            <w:pPr>
              <w:tabs>
                <w:tab w:val="left" w:pos="408"/>
              </w:tabs>
              <w:jc w:val="both"/>
              <w:rPr>
                <w:bCs/>
              </w:rPr>
            </w:pPr>
          </w:p>
        </w:tc>
      </w:tr>
      <w:tr w:rsidR="009E1376" w:rsidRPr="00A639C4" w14:paraId="09EA691B" w14:textId="77777777" w:rsidTr="00A639C4">
        <w:tc>
          <w:tcPr>
            <w:tcW w:w="1384" w:type="dxa"/>
            <w:tcBorders>
              <w:bottom w:val="single" w:sz="4" w:space="0" w:color="auto"/>
            </w:tcBorders>
            <w:shd w:val="clear" w:color="auto" w:fill="BFBFBF" w:themeFill="background1" w:themeFillShade="BF"/>
          </w:tcPr>
          <w:p w14:paraId="1792CE75" w14:textId="03BAC915" w:rsidR="009E1376" w:rsidRPr="00A639C4" w:rsidRDefault="009E1376" w:rsidP="004255F0">
            <w:pPr>
              <w:tabs>
                <w:tab w:val="left" w:pos="408"/>
              </w:tabs>
              <w:jc w:val="center"/>
              <w:rPr>
                <w:b/>
              </w:rPr>
            </w:pPr>
            <w:r w:rsidRPr="00A639C4">
              <w:rPr>
                <w:b/>
              </w:rPr>
              <w:lastRenderedPageBreak/>
              <w:t>Pkt 4.4 IDW</w:t>
            </w:r>
          </w:p>
        </w:tc>
        <w:tc>
          <w:tcPr>
            <w:tcW w:w="7796" w:type="dxa"/>
            <w:tcBorders>
              <w:bottom w:val="single" w:sz="4" w:space="0" w:color="auto"/>
            </w:tcBorders>
            <w:shd w:val="clear" w:color="auto" w:fill="BFBFBF" w:themeFill="background1" w:themeFillShade="BF"/>
          </w:tcPr>
          <w:p w14:paraId="76071CD7" w14:textId="6D7F9E16" w:rsidR="009E1376" w:rsidRPr="00A639C4" w:rsidRDefault="009E1376" w:rsidP="004255F0">
            <w:pPr>
              <w:rPr>
                <w:b/>
              </w:rPr>
            </w:pPr>
            <w:r w:rsidRPr="00A639C4">
              <w:rPr>
                <w:b/>
              </w:rPr>
              <w:t>Informacje dotyczące  zamówień o których mowa w art. 305 Pzp</w:t>
            </w:r>
          </w:p>
        </w:tc>
      </w:tr>
      <w:tr w:rsidR="009E1376" w:rsidRPr="00A639C4" w14:paraId="5B099D95" w14:textId="77777777" w:rsidTr="00A639C4">
        <w:tc>
          <w:tcPr>
            <w:tcW w:w="1384" w:type="dxa"/>
            <w:tcBorders>
              <w:bottom w:val="single" w:sz="4" w:space="0" w:color="auto"/>
            </w:tcBorders>
            <w:shd w:val="clear" w:color="auto" w:fill="auto"/>
          </w:tcPr>
          <w:p w14:paraId="3AA3E3B6" w14:textId="5505CB73" w:rsidR="009E1376" w:rsidRPr="00A639C4" w:rsidRDefault="009E1376" w:rsidP="004255F0">
            <w:pPr>
              <w:tabs>
                <w:tab w:val="left" w:pos="408"/>
              </w:tabs>
              <w:rPr>
                <w:b/>
              </w:rPr>
            </w:pPr>
          </w:p>
        </w:tc>
        <w:tc>
          <w:tcPr>
            <w:tcW w:w="7796" w:type="dxa"/>
            <w:tcBorders>
              <w:bottom w:val="single" w:sz="4" w:space="0" w:color="auto"/>
            </w:tcBorders>
            <w:shd w:val="clear" w:color="auto" w:fill="auto"/>
          </w:tcPr>
          <w:p w14:paraId="02D1DF47" w14:textId="77777777" w:rsidR="009E1376" w:rsidRPr="00A639C4" w:rsidRDefault="009E1376" w:rsidP="004255F0">
            <w:pPr>
              <w:ind w:left="284"/>
              <w:jc w:val="both"/>
              <w:rPr>
                <w:bCs/>
              </w:rPr>
            </w:pPr>
          </w:p>
          <w:p w14:paraId="544F6D81" w14:textId="77777777" w:rsidR="00444CA5" w:rsidRPr="00A639C4" w:rsidRDefault="00444CA5" w:rsidP="00444CA5">
            <w:pPr>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których mowa w art. 305 pkt.1 w zw. z art. 214 ust. 1 pkt 7  Pzp</w:t>
            </w:r>
          </w:p>
          <w:p w14:paraId="1B06481F" w14:textId="77777777" w:rsidR="006F3CC9" w:rsidRPr="00A639C4" w:rsidRDefault="006F3CC9" w:rsidP="004255F0">
            <w:pPr>
              <w:jc w:val="both"/>
              <w:rPr>
                <w:bCs/>
              </w:rPr>
            </w:pPr>
          </w:p>
        </w:tc>
      </w:tr>
      <w:tr w:rsidR="009E1376" w:rsidRPr="00A639C4" w14:paraId="6BE6590F" w14:textId="77777777" w:rsidTr="00A639C4">
        <w:trPr>
          <w:trHeight w:val="164"/>
        </w:trPr>
        <w:tc>
          <w:tcPr>
            <w:tcW w:w="1384" w:type="dxa"/>
            <w:shd w:val="clear" w:color="auto" w:fill="BFBFBF" w:themeFill="background1" w:themeFillShade="BF"/>
          </w:tcPr>
          <w:p w14:paraId="1AEF528B" w14:textId="77777777" w:rsidR="009E1376" w:rsidRPr="00A639C4" w:rsidRDefault="009E1376" w:rsidP="004255F0">
            <w:pPr>
              <w:jc w:val="center"/>
              <w:rPr>
                <w:b/>
              </w:rPr>
            </w:pPr>
            <w:r w:rsidRPr="00A639C4">
              <w:rPr>
                <w:b/>
              </w:rPr>
              <w:t>Pkt 5.1 IDW</w:t>
            </w:r>
          </w:p>
        </w:tc>
        <w:tc>
          <w:tcPr>
            <w:tcW w:w="7796" w:type="dxa"/>
            <w:shd w:val="clear" w:color="auto" w:fill="BFBFBF" w:themeFill="background1" w:themeFillShade="BF"/>
          </w:tcPr>
          <w:p w14:paraId="777C055B" w14:textId="5A8D8F2E" w:rsidR="009E1376" w:rsidRPr="00A639C4" w:rsidRDefault="009E1376" w:rsidP="004255F0">
            <w:pPr>
              <w:rPr>
                <w:b/>
              </w:rPr>
            </w:pPr>
            <w:r w:rsidRPr="00A639C4">
              <w:rPr>
                <w:b/>
              </w:rPr>
              <w:t>Wizja lokalna</w:t>
            </w:r>
          </w:p>
        </w:tc>
      </w:tr>
      <w:tr w:rsidR="009E1376" w:rsidRPr="00A639C4" w14:paraId="2987B09E" w14:textId="77777777" w:rsidTr="00A639C4">
        <w:tc>
          <w:tcPr>
            <w:tcW w:w="1384" w:type="dxa"/>
            <w:tcBorders>
              <w:bottom w:val="single" w:sz="4" w:space="0" w:color="auto"/>
            </w:tcBorders>
            <w:shd w:val="clear" w:color="auto" w:fill="auto"/>
          </w:tcPr>
          <w:p w14:paraId="7EF38EF4" w14:textId="77777777" w:rsidR="009E1376" w:rsidRPr="00A639C4" w:rsidRDefault="009E1376" w:rsidP="004255F0"/>
        </w:tc>
        <w:tc>
          <w:tcPr>
            <w:tcW w:w="7796" w:type="dxa"/>
            <w:tcBorders>
              <w:bottom w:val="single" w:sz="4" w:space="0" w:color="auto"/>
            </w:tcBorders>
            <w:shd w:val="clear" w:color="auto" w:fill="auto"/>
          </w:tcPr>
          <w:p w14:paraId="7D49B598" w14:textId="77777777" w:rsidR="006F3CC9" w:rsidRDefault="006F3CC9" w:rsidP="004255F0">
            <w:pPr>
              <w:rPr>
                <w:b/>
              </w:rPr>
            </w:pPr>
          </w:p>
          <w:p w14:paraId="688BE330" w14:textId="2A8CF96E" w:rsidR="006F3CC9" w:rsidRPr="00BF0687" w:rsidRDefault="006F3CC9" w:rsidP="004255F0">
            <w:pPr>
              <w:rPr>
                <w:bCs/>
              </w:rPr>
            </w:pPr>
            <w:r w:rsidRPr="00BF0687">
              <w:rPr>
                <w:b/>
              </w:rPr>
              <w:t xml:space="preserve">Zamawiający </w:t>
            </w:r>
            <w:r w:rsidRPr="00BF0687">
              <w:rPr>
                <w:b/>
                <w:u w:val="single"/>
              </w:rPr>
              <w:t>nie wymaga</w:t>
            </w:r>
            <w:r w:rsidRPr="00BF0687">
              <w:rPr>
                <w:b/>
              </w:rPr>
              <w:t xml:space="preserve"> złożenia oferty po odbyciu wizji lokalnej</w:t>
            </w:r>
            <w:r w:rsidRPr="00BF0687">
              <w:rPr>
                <w:bCs/>
              </w:rPr>
              <w:t>.</w:t>
            </w:r>
          </w:p>
          <w:p w14:paraId="59979A1A" w14:textId="77777777" w:rsidR="006F3CC9" w:rsidRPr="00BF0687" w:rsidRDefault="006F3CC9" w:rsidP="004255F0">
            <w:pPr>
              <w:rPr>
                <w:b/>
              </w:rPr>
            </w:pPr>
          </w:p>
          <w:p w14:paraId="27FFC657" w14:textId="77777777" w:rsidR="006F3CC9" w:rsidRPr="00BF0687" w:rsidRDefault="006F3CC9" w:rsidP="004255F0">
            <w:pPr>
              <w:jc w:val="both"/>
              <w:rPr>
                <w:b/>
              </w:rPr>
            </w:pPr>
            <w:r w:rsidRPr="00BF0687">
              <w:rPr>
                <w:b/>
              </w:rPr>
              <w:t xml:space="preserve">Zamawiający </w:t>
            </w:r>
            <w:r w:rsidRPr="00BF0687">
              <w:rPr>
                <w:b/>
                <w:u w:val="single"/>
              </w:rPr>
              <w:t>nie wymaga</w:t>
            </w:r>
            <w:r w:rsidRPr="00BF0687">
              <w:rPr>
                <w:b/>
              </w:rPr>
              <w:t xml:space="preserve"> złożenia oferty po sprawdzeniu przez wykonawcę dokumentów niezbędnych do realizacji zamówienia dostępnych na miejscu u Zamawiającego.</w:t>
            </w:r>
          </w:p>
          <w:p w14:paraId="4E9E49F2" w14:textId="77777777" w:rsidR="009E1376" w:rsidRPr="00A639C4" w:rsidRDefault="009E1376" w:rsidP="004255F0"/>
        </w:tc>
      </w:tr>
      <w:tr w:rsidR="0066585A" w:rsidRPr="00A639C4" w14:paraId="6E3431A4" w14:textId="77777777" w:rsidTr="00A639C4">
        <w:tc>
          <w:tcPr>
            <w:tcW w:w="1384" w:type="dxa"/>
            <w:shd w:val="clear" w:color="auto" w:fill="BFBFBF" w:themeFill="background1" w:themeFillShade="BF"/>
          </w:tcPr>
          <w:p w14:paraId="3FE3F7D8" w14:textId="4FD0D68D" w:rsidR="0066585A" w:rsidRPr="00A639C4" w:rsidRDefault="00347D74" w:rsidP="004255F0">
            <w:pPr>
              <w:tabs>
                <w:tab w:val="left" w:pos="408"/>
              </w:tabs>
              <w:jc w:val="center"/>
              <w:rPr>
                <w:b/>
              </w:rPr>
            </w:pPr>
            <w:r w:rsidRPr="00A639C4">
              <w:rPr>
                <w:b/>
              </w:rPr>
              <w:t>6.2 IDW</w:t>
            </w:r>
          </w:p>
        </w:tc>
        <w:tc>
          <w:tcPr>
            <w:tcW w:w="7796" w:type="dxa"/>
            <w:shd w:val="clear" w:color="auto" w:fill="BFBFBF" w:themeFill="background1" w:themeFillShade="BF"/>
          </w:tcPr>
          <w:p w14:paraId="68F0CD7D" w14:textId="68B58EBD" w:rsidR="00347D74" w:rsidRPr="00A639C4" w:rsidRDefault="00347D74" w:rsidP="004255F0">
            <w:pPr>
              <w:rPr>
                <w:b/>
              </w:rPr>
            </w:pPr>
            <w:r w:rsidRPr="00A639C4">
              <w:rPr>
                <w:b/>
              </w:rPr>
              <w:t>Obowiązek osobistego wykonania przez Wykonawcę kluczowych części zamówienia</w:t>
            </w:r>
          </w:p>
          <w:p w14:paraId="27A7DF74" w14:textId="77777777" w:rsidR="0066585A" w:rsidRPr="00A639C4" w:rsidRDefault="0066585A" w:rsidP="004255F0">
            <w:pPr>
              <w:rPr>
                <w:b/>
              </w:rPr>
            </w:pPr>
          </w:p>
        </w:tc>
      </w:tr>
      <w:tr w:rsidR="0066585A" w:rsidRPr="00A639C4" w14:paraId="032FACC3" w14:textId="77777777" w:rsidTr="00A639C4">
        <w:tc>
          <w:tcPr>
            <w:tcW w:w="1384" w:type="dxa"/>
            <w:shd w:val="clear" w:color="auto" w:fill="auto"/>
          </w:tcPr>
          <w:p w14:paraId="59307303" w14:textId="77777777" w:rsidR="0066585A" w:rsidRPr="00A639C4" w:rsidRDefault="0066585A" w:rsidP="004255F0">
            <w:pPr>
              <w:tabs>
                <w:tab w:val="left" w:pos="408"/>
              </w:tabs>
              <w:jc w:val="center"/>
              <w:rPr>
                <w:b/>
              </w:rPr>
            </w:pPr>
          </w:p>
        </w:tc>
        <w:tc>
          <w:tcPr>
            <w:tcW w:w="7796" w:type="dxa"/>
            <w:shd w:val="clear" w:color="auto" w:fill="auto"/>
          </w:tcPr>
          <w:p w14:paraId="70071412" w14:textId="77777777" w:rsidR="006F3CC9" w:rsidRDefault="006F3CC9" w:rsidP="004255F0">
            <w:pPr>
              <w:pStyle w:val="arimr"/>
              <w:widowControl/>
              <w:suppressAutoHyphens/>
              <w:snapToGrid/>
              <w:spacing w:line="240" w:lineRule="auto"/>
              <w:jc w:val="both"/>
              <w:rPr>
                <w:rFonts w:ascii="Arial" w:hAnsi="Arial" w:cs="Arial"/>
                <w:sz w:val="20"/>
                <w:lang w:val="pl-PL"/>
              </w:rPr>
            </w:pPr>
          </w:p>
          <w:p w14:paraId="179A11DA" w14:textId="249B2C81" w:rsidR="006F3CC9" w:rsidRPr="00BF0687" w:rsidRDefault="006F3CC9" w:rsidP="004255F0">
            <w:pPr>
              <w:pStyle w:val="arimr"/>
              <w:widowControl/>
              <w:suppressAutoHyphens/>
              <w:snapToGrid/>
              <w:spacing w:line="240" w:lineRule="auto"/>
              <w:jc w:val="both"/>
              <w:rPr>
                <w:rFonts w:ascii="Arial" w:hAnsi="Arial" w:cs="Arial"/>
                <w:b/>
                <w:sz w:val="20"/>
                <w:lang w:val="pl-PL"/>
              </w:rPr>
            </w:pPr>
            <w:r w:rsidRPr="00BF0687">
              <w:rPr>
                <w:rFonts w:ascii="Arial" w:hAnsi="Arial" w:cs="Arial"/>
                <w:sz w:val="20"/>
                <w:lang w:val="pl-PL"/>
              </w:rPr>
              <w:t xml:space="preserve">Zamawiający </w:t>
            </w:r>
            <w:r w:rsidRPr="00BF0687">
              <w:rPr>
                <w:rFonts w:ascii="Arial" w:hAnsi="Arial" w:cs="Arial"/>
                <w:b/>
                <w:bCs/>
                <w:sz w:val="20"/>
                <w:lang w:val="pl-PL"/>
              </w:rPr>
              <w:t>nie</w:t>
            </w:r>
            <w:r w:rsidRPr="00BF0687">
              <w:rPr>
                <w:rFonts w:ascii="Arial" w:hAnsi="Arial" w:cs="Arial"/>
                <w:sz w:val="20"/>
                <w:lang w:val="pl-PL"/>
              </w:rPr>
              <w:t xml:space="preserve"> </w:t>
            </w:r>
            <w:r w:rsidRPr="00BF0687">
              <w:rPr>
                <w:rFonts w:ascii="Arial" w:hAnsi="Arial" w:cs="Arial"/>
                <w:b/>
                <w:sz w:val="20"/>
                <w:lang w:val="pl-PL"/>
              </w:rPr>
              <w:t xml:space="preserve">zastrzega </w:t>
            </w:r>
            <w:r w:rsidRPr="00BF0687">
              <w:rPr>
                <w:rFonts w:ascii="Arial" w:hAnsi="Arial" w:cs="Arial"/>
                <w:sz w:val="20"/>
                <w:lang w:val="pl-PL"/>
              </w:rPr>
              <w:t>obowiązku osobistego wykonania przez Wykonawcę kluczowych części zamówienia.</w:t>
            </w:r>
          </w:p>
          <w:p w14:paraId="32B920E5" w14:textId="2D8E3857" w:rsidR="001E436F" w:rsidRPr="00A639C4" w:rsidRDefault="001E436F" w:rsidP="004255F0">
            <w:pPr>
              <w:pStyle w:val="arimr"/>
              <w:widowControl/>
              <w:suppressAutoHyphens/>
              <w:snapToGrid/>
              <w:spacing w:line="240" w:lineRule="auto"/>
              <w:jc w:val="both"/>
              <w:rPr>
                <w:rFonts w:ascii="Arial" w:hAnsi="Arial" w:cs="Arial"/>
                <w:b/>
                <w:sz w:val="20"/>
              </w:rPr>
            </w:pPr>
          </w:p>
        </w:tc>
      </w:tr>
      <w:tr w:rsidR="009E1376" w:rsidRPr="00A639C4" w14:paraId="3567789B" w14:textId="77777777" w:rsidTr="00A639C4">
        <w:tc>
          <w:tcPr>
            <w:tcW w:w="1384" w:type="dxa"/>
            <w:shd w:val="clear" w:color="auto" w:fill="BFBFBF" w:themeFill="background1" w:themeFillShade="BF"/>
          </w:tcPr>
          <w:p w14:paraId="558F5FDC" w14:textId="436113FD" w:rsidR="009E1376" w:rsidRPr="00A639C4" w:rsidRDefault="009E1376" w:rsidP="004255F0">
            <w:pPr>
              <w:tabs>
                <w:tab w:val="left" w:pos="408"/>
              </w:tabs>
              <w:jc w:val="center"/>
              <w:rPr>
                <w:b/>
              </w:rPr>
            </w:pPr>
            <w:r w:rsidRPr="00A639C4">
              <w:rPr>
                <w:b/>
              </w:rPr>
              <w:t>Pkt 7.1 IDW</w:t>
            </w:r>
          </w:p>
        </w:tc>
        <w:tc>
          <w:tcPr>
            <w:tcW w:w="7796" w:type="dxa"/>
            <w:shd w:val="clear" w:color="auto" w:fill="BFBFBF" w:themeFill="background1" w:themeFillShade="BF"/>
          </w:tcPr>
          <w:p w14:paraId="303326E2" w14:textId="7053D133" w:rsidR="009E1376" w:rsidRPr="00A639C4" w:rsidRDefault="009E1376" w:rsidP="004255F0">
            <w:pPr>
              <w:rPr>
                <w:bCs/>
              </w:rPr>
            </w:pPr>
            <w:r w:rsidRPr="00A639C4">
              <w:rPr>
                <w:b/>
              </w:rPr>
              <w:t>Termin wykonania zamówienia</w:t>
            </w:r>
          </w:p>
        </w:tc>
      </w:tr>
      <w:tr w:rsidR="009E1376" w:rsidRPr="00A639C4" w14:paraId="0385F7B7" w14:textId="77777777" w:rsidTr="00A639C4">
        <w:tc>
          <w:tcPr>
            <w:tcW w:w="1384" w:type="dxa"/>
            <w:tcBorders>
              <w:bottom w:val="single" w:sz="4" w:space="0" w:color="auto"/>
            </w:tcBorders>
            <w:shd w:val="clear" w:color="auto" w:fill="auto"/>
          </w:tcPr>
          <w:p w14:paraId="5D8A973E" w14:textId="77777777" w:rsidR="009E1376" w:rsidRPr="00A639C4" w:rsidRDefault="009E1376" w:rsidP="004255F0">
            <w:pPr>
              <w:tabs>
                <w:tab w:val="left" w:pos="408"/>
              </w:tabs>
              <w:rPr>
                <w:b/>
              </w:rPr>
            </w:pPr>
          </w:p>
        </w:tc>
        <w:tc>
          <w:tcPr>
            <w:tcW w:w="7796" w:type="dxa"/>
            <w:tcBorders>
              <w:bottom w:val="single" w:sz="4" w:space="0" w:color="auto"/>
            </w:tcBorders>
            <w:shd w:val="clear" w:color="auto" w:fill="auto"/>
          </w:tcPr>
          <w:p w14:paraId="28D9038F" w14:textId="77777777" w:rsidR="009E1376" w:rsidRPr="00A639C4" w:rsidRDefault="009E1376" w:rsidP="004255F0">
            <w:pPr>
              <w:jc w:val="both"/>
            </w:pPr>
          </w:p>
          <w:p w14:paraId="63013740" w14:textId="4166657D" w:rsidR="006F3CC9" w:rsidRPr="00BF0687" w:rsidRDefault="009E1376" w:rsidP="004255F0">
            <w:pPr>
              <w:rPr>
                <w:b/>
              </w:rPr>
            </w:pPr>
            <w:r w:rsidRPr="00A639C4">
              <w:rPr>
                <w:b/>
              </w:rPr>
              <w:t xml:space="preserve">Termin wykonania zamówienia: </w:t>
            </w:r>
            <w:r w:rsidR="00756421">
              <w:rPr>
                <w:b/>
              </w:rPr>
              <w:t>maksymalnie do 15</w:t>
            </w:r>
            <w:r w:rsidR="006F3CC9" w:rsidRPr="00BF0687">
              <w:rPr>
                <w:b/>
              </w:rPr>
              <w:t>.</w:t>
            </w:r>
            <w:r w:rsidR="00444CA5">
              <w:rPr>
                <w:b/>
              </w:rPr>
              <w:t>1</w:t>
            </w:r>
            <w:r w:rsidR="00134BAA">
              <w:rPr>
                <w:b/>
              </w:rPr>
              <w:t>1</w:t>
            </w:r>
            <w:r w:rsidR="006F3CC9" w:rsidRPr="00BF0687">
              <w:rPr>
                <w:b/>
              </w:rPr>
              <w:t>.202</w:t>
            </w:r>
            <w:r w:rsidR="00134BAA">
              <w:rPr>
                <w:b/>
              </w:rPr>
              <w:t>4</w:t>
            </w:r>
            <w:r w:rsidR="00756421">
              <w:rPr>
                <w:b/>
              </w:rPr>
              <w:t xml:space="preserve"> </w:t>
            </w:r>
            <w:r w:rsidR="006F3CC9" w:rsidRPr="00BF0687">
              <w:rPr>
                <w:b/>
              </w:rPr>
              <w:t>r.</w:t>
            </w:r>
          </w:p>
          <w:p w14:paraId="40B17741" w14:textId="77777777" w:rsidR="006F3CC9" w:rsidRPr="00BF0687" w:rsidRDefault="006F3CC9" w:rsidP="004255F0">
            <w:pPr>
              <w:rPr>
                <w:b/>
              </w:rPr>
            </w:pPr>
          </w:p>
          <w:p w14:paraId="45BBDCD7" w14:textId="278B6DBB" w:rsidR="00134BAA" w:rsidRPr="00134BAA" w:rsidRDefault="00134BAA" w:rsidP="00134BAA">
            <w:pPr>
              <w:tabs>
                <w:tab w:val="center" w:pos="4536"/>
              </w:tabs>
              <w:jc w:val="both"/>
              <w:rPr>
                <w:bCs/>
              </w:rPr>
            </w:pPr>
            <w:r w:rsidRPr="00134BAA">
              <w:rPr>
                <w:bCs/>
              </w:rPr>
              <w:t xml:space="preserve">Zamawiający przewiduje termin realizacji zadania w IV kwartale 2024r., zatem dokładne doprecyzowanie daty wykonania zamówienia umożliwia dotrzymanie terminu rozliczenia zadania w bieżącym roku budżetowym, zważywszy na brak </w:t>
            </w:r>
            <w:r w:rsidR="00E471CF">
              <w:rPr>
                <w:bCs/>
              </w:rPr>
              <w:t>zgody</w:t>
            </w:r>
            <w:r w:rsidR="00B802BC">
              <w:rPr>
                <w:bCs/>
              </w:rPr>
              <w:t xml:space="preserve"> </w:t>
            </w:r>
            <w:r w:rsidR="00E471CF">
              <w:rPr>
                <w:bCs/>
              </w:rPr>
              <w:t xml:space="preserve">do </w:t>
            </w:r>
            <w:r w:rsidRPr="00134BAA">
              <w:rPr>
                <w:bCs/>
              </w:rPr>
              <w:t>zaciągania zobowiązań</w:t>
            </w:r>
            <w:r w:rsidR="00E471CF">
              <w:rPr>
                <w:bCs/>
              </w:rPr>
              <w:t xml:space="preserve"> wieloletnich</w:t>
            </w:r>
            <w:r w:rsidRPr="00134BAA">
              <w:rPr>
                <w:bCs/>
              </w:rPr>
              <w:t>.</w:t>
            </w:r>
          </w:p>
          <w:p w14:paraId="531409A2" w14:textId="743A9808" w:rsidR="00134BAA" w:rsidRPr="00134BAA" w:rsidRDefault="00134BAA" w:rsidP="00134BAA">
            <w:pPr>
              <w:tabs>
                <w:tab w:val="center" w:pos="4536"/>
              </w:tabs>
              <w:jc w:val="both"/>
              <w:rPr>
                <w:bCs/>
              </w:rPr>
            </w:pPr>
            <w:r w:rsidRPr="00134BAA">
              <w:rPr>
                <w:bCs/>
              </w:rPr>
              <w:t>Ponadto brak możliwości określenia na etapie ogłaszania postępowania daty jego rozstrzygnięcia oraz podpisania umowy z Wykonawcą może spowodować, że termin realizacji zadania</w:t>
            </w:r>
            <w:r w:rsidR="00DF0690">
              <w:rPr>
                <w:bCs/>
              </w:rPr>
              <w:t xml:space="preserve"> stanie się nierealny.</w:t>
            </w:r>
          </w:p>
          <w:p w14:paraId="356CB0D8" w14:textId="77777777" w:rsidR="00134BAA" w:rsidRPr="00BF0687" w:rsidRDefault="00134BAA" w:rsidP="004255F0">
            <w:pPr>
              <w:jc w:val="both"/>
              <w:rPr>
                <w:bCs/>
              </w:rPr>
            </w:pPr>
          </w:p>
          <w:p w14:paraId="4C75FE69" w14:textId="77777777" w:rsidR="006F3CC9" w:rsidRPr="00BF0687" w:rsidRDefault="006F3CC9" w:rsidP="004255F0">
            <w:pPr>
              <w:jc w:val="both"/>
              <w:rPr>
                <w:bCs/>
              </w:rPr>
            </w:pPr>
            <w:r w:rsidRPr="00BF0687">
              <w:rPr>
                <w:bCs/>
              </w:rPr>
              <w:t>Zamawiający jest jednostką budżetową, finansowaną przez Samorząd Województwa Podkarpackiego.</w:t>
            </w:r>
          </w:p>
          <w:p w14:paraId="65ADE832" w14:textId="77777777" w:rsidR="006F3CC9" w:rsidRPr="00BF0687" w:rsidRDefault="006F3CC9" w:rsidP="004255F0">
            <w:pPr>
              <w:jc w:val="both"/>
              <w:rPr>
                <w:bCs/>
              </w:rPr>
            </w:pPr>
            <w:r w:rsidRPr="00BF0687">
              <w:rPr>
                <w:bCs/>
              </w:rPr>
              <w:t xml:space="preserve">Zamawiający jako jednostka sektora finansów publicznych zawiera umowy, których przedmiotem są usługi, dostawy lub roboty budowlane, na zasadach określonych w przepisach o zamówieniach publicznych. </w:t>
            </w:r>
          </w:p>
          <w:p w14:paraId="5BB1AF23" w14:textId="77777777" w:rsidR="006F3CC9" w:rsidRPr="00BF0687" w:rsidRDefault="006F3CC9" w:rsidP="004255F0">
            <w:pPr>
              <w:jc w:val="both"/>
              <w:rPr>
                <w:bCs/>
              </w:rPr>
            </w:pPr>
            <w:r w:rsidRPr="00BF0687">
              <w:rPr>
                <w:bCs/>
              </w:rPr>
              <w:t xml:space="preserve">Podstawą gospodarki finansowej jednostki samorządu terytorialnego w danym roku budżetowym jest uchwała budżetowa. </w:t>
            </w:r>
          </w:p>
          <w:p w14:paraId="4A98BDE9" w14:textId="77777777" w:rsidR="006F3CC9" w:rsidRPr="00BF0687" w:rsidRDefault="006F3CC9" w:rsidP="004255F0">
            <w:pPr>
              <w:jc w:val="both"/>
              <w:rPr>
                <w:bCs/>
              </w:rPr>
            </w:pPr>
          </w:p>
          <w:p w14:paraId="60BA7892" w14:textId="77777777" w:rsidR="006F3CC9" w:rsidRPr="00BF0687" w:rsidRDefault="006F3CC9" w:rsidP="004255F0">
            <w:pPr>
              <w:jc w:val="both"/>
              <w:rPr>
                <w:bCs/>
              </w:rPr>
            </w:pPr>
            <w:r w:rsidRPr="00BF0687">
              <w:rPr>
                <w:bCs/>
              </w:rPr>
              <w:t>Zamawiający ponosi wydatki publiczne na cele i w wysokościach ustalonych w:</w:t>
            </w:r>
          </w:p>
          <w:p w14:paraId="6CB06C93" w14:textId="77777777" w:rsidR="006F3CC9" w:rsidRPr="00BF0687" w:rsidRDefault="006F3CC9" w:rsidP="004255F0">
            <w:pPr>
              <w:jc w:val="both"/>
              <w:rPr>
                <w:bCs/>
              </w:rPr>
            </w:pPr>
            <w:r w:rsidRPr="00BF0687">
              <w:rPr>
                <w:bCs/>
              </w:rPr>
              <w:t>1) ustawie budżetowej;</w:t>
            </w:r>
          </w:p>
          <w:p w14:paraId="4742470D" w14:textId="77777777" w:rsidR="006F3CC9" w:rsidRPr="00BF0687" w:rsidRDefault="006F3CC9" w:rsidP="004255F0">
            <w:pPr>
              <w:jc w:val="both"/>
              <w:rPr>
                <w:bCs/>
              </w:rPr>
            </w:pPr>
            <w:r w:rsidRPr="00BF0687">
              <w:rPr>
                <w:bCs/>
              </w:rPr>
              <w:t>2) uchwale budżetowej jednostki samorządu terytorialnego;</w:t>
            </w:r>
          </w:p>
          <w:p w14:paraId="54AC9D1B" w14:textId="77777777" w:rsidR="006F3CC9" w:rsidRPr="00BF0687" w:rsidRDefault="006F3CC9" w:rsidP="004255F0">
            <w:pPr>
              <w:jc w:val="both"/>
              <w:rPr>
                <w:bCs/>
              </w:rPr>
            </w:pPr>
            <w:r w:rsidRPr="00BF0687">
              <w:rPr>
                <w:bCs/>
              </w:rPr>
              <w:t>3) planie finansowym jednostki sektora finansów publicznych.</w:t>
            </w:r>
          </w:p>
          <w:p w14:paraId="7D13F769" w14:textId="77777777" w:rsidR="006F3CC9" w:rsidRPr="00BF0687" w:rsidRDefault="006F3CC9" w:rsidP="004255F0">
            <w:pPr>
              <w:jc w:val="both"/>
              <w:rPr>
                <w:bCs/>
              </w:rPr>
            </w:pPr>
            <w:r w:rsidRPr="00BF0687">
              <w:rPr>
                <w:bCs/>
              </w:rPr>
              <w:t xml:space="preserve">Sytuacja taka jest podyktowana min. tym, że Zamawiający prowadzi gospodarkę finansową w oparciu o zasady gospodarki budżetowej przyjętej dla jednostek samorządowych. Pomimo braku osobowości prawnej zasady te obowiązują, a  podstawową zasadą jest jednoroczny budżet jednostki. </w:t>
            </w:r>
          </w:p>
          <w:p w14:paraId="020778D9" w14:textId="77777777" w:rsidR="006F3CC9" w:rsidRPr="00BF0687" w:rsidRDefault="006F3CC9" w:rsidP="004255F0">
            <w:pPr>
              <w:jc w:val="both"/>
              <w:rPr>
                <w:bCs/>
              </w:rPr>
            </w:pPr>
            <w:r w:rsidRPr="00BF0687">
              <w:rPr>
                <w:bCs/>
              </w:rPr>
              <w:lastRenderedPageBreak/>
              <w:t xml:space="preserve">Mając na uwadze specyfikę przedmiotu zamówienia wskazanie daty wykonania umowy jest uzasadnione obiektywną przyczyną ( art. 436 ust. 1 Pzp).  </w:t>
            </w:r>
          </w:p>
          <w:p w14:paraId="14A11A98" w14:textId="6590C703" w:rsidR="006F3CC9" w:rsidRPr="00A639C4" w:rsidRDefault="006F3CC9" w:rsidP="00756421">
            <w:pPr>
              <w:jc w:val="both"/>
              <w:rPr>
                <w:bCs/>
              </w:rPr>
            </w:pPr>
          </w:p>
        </w:tc>
      </w:tr>
      <w:tr w:rsidR="009E1376" w:rsidRPr="00A639C4" w14:paraId="5C3DF8E2" w14:textId="77777777" w:rsidTr="00A639C4">
        <w:tc>
          <w:tcPr>
            <w:tcW w:w="1384" w:type="dxa"/>
            <w:shd w:val="clear" w:color="auto" w:fill="BFBFBF" w:themeFill="background1" w:themeFillShade="BF"/>
          </w:tcPr>
          <w:p w14:paraId="457CC753" w14:textId="2F3C5D21" w:rsidR="009E1376" w:rsidRPr="00A639C4" w:rsidRDefault="009E1376" w:rsidP="004255F0">
            <w:pPr>
              <w:tabs>
                <w:tab w:val="left" w:pos="408"/>
              </w:tabs>
              <w:jc w:val="center"/>
              <w:rPr>
                <w:b/>
              </w:rPr>
            </w:pPr>
            <w:r w:rsidRPr="00A639C4">
              <w:rPr>
                <w:b/>
              </w:rPr>
              <w:lastRenderedPageBreak/>
              <w:t>Pkt 8.</w:t>
            </w:r>
            <w:r w:rsidR="003F6CD3">
              <w:rPr>
                <w:b/>
              </w:rPr>
              <w:t>1</w:t>
            </w:r>
            <w:r w:rsidRPr="00A639C4">
              <w:rPr>
                <w:b/>
              </w:rPr>
              <w:t xml:space="preserve"> IDW</w:t>
            </w:r>
          </w:p>
        </w:tc>
        <w:tc>
          <w:tcPr>
            <w:tcW w:w="7796" w:type="dxa"/>
            <w:shd w:val="clear" w:color="auto" w:fill="BFBFBF" w:themeFill="background1" w:themeFillShade="BF"/>
          </w:tcPr>
          <w:p w14:paraId="5EF79C8F" w14:textId="77777777" w:rsidR="009E1376" w:rsidRPr="00A639C4" w:rsidRDefault="009E1376" w:rsidP="004255F0">
            <w:pPr>
              <w:rPr>
                <w:b/>
                <w:bCs/>
              </w:rPr>
            </w:pPr>
            <w:r w:rsidRPr="00A639C4">
              <w:rPr>
                <w:b/>
              </w:rPr>
              <w:t xml:space="preserve">Warunki udziału w postępowaniu o udzielenie zamówienia </w:t>
            </w:r>
          </w:p>
        </w:tc>
      </w:tr>
      <w:tr w:rsidR="009E1376" w:rsidRPr="00A639C4" w14:paraId="78420147" w14:textId="77777777" w:rsidTr="00A639C4">
        <w:tc>
          <w:tcPr>
            <w:tcW w:w="1384" w:type="dxa"/>
            <w:tcBorders>
              <w:bottom w:val="single" w:sz="4" w:space="0" w:color="auto"/>
            </w:tcBorders>
            <w:shd w:val="clear" w:color="auto" w:fill="auto"/>
          </w:tcPr>
          <w:p w14:paraId="5081D543" w14:textId="77777777" w:rsidR="009E1376" w:rsidRPr="00A639C4" w:rsidRDefault="009E1376" w:rsidP="004255F0">
            <w:pPr>
              <w:tabs>
                <w:tab w:val="left" w:pos="408"/>
              </w:tabs>
              <w:rPr>
                <w:b/>
              </w:rPr>
            </w:pPr>
          </w:p>
        </w:tc>
        <w:tc>
          <w:tcPr>
            <w:tcW w:w="7796" w:type="dxa"/>
            <w:tcBorders>
              <w:bottom w:val="single" w:sz="4" w:space="0" w:color="auto"/>
            </w:tcBorders>
            <w:shd w:val="clear" w:color="auto" w:fill="auto"/>
          </w:tcPr>
          <w:p w14:paraId="749AE049" w14:textId="77777777" w:rsidR="00756421" w:rsidRDefault="00756421" w:rsidP="004255F0">
            <w:pPr>
              <w:pStyle w:val="Teksttreci0"/>
              <w:shd w:val="clear" w:color="auto" w:fill="auto"/>
              <w:spacing w:line="240" w:lineRule="auto"/>
              <w:ind w:right="20" w:firstLine="0"/>
              <w:jc w:val="both"/>
              <w:rPr>
                <w:rFonts w:ascii="Arial" w:hAnsi="Arial" w:cs="Arial"/>
                <w:sz w:val="20"/>
                <w:szCs w:val="20"/>
              </w:rPr>
            </w:pPr>
          </w:p>
          <w:p w14:paraId="519C1C55" w14:textId="1050535D" w:rsidR="009E1376" w:rsidRDefault="009E1376" w:rsidP="004255F0">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14:paraId="3CE54206" w14:textId="77777777" w:rsidR="009F4007" w:rsidRPr="00A639C4" w:rsidRDefault="009F4007" w:rsidP="004255F0">
            <w:pPr>
              <w:pStyle w:val="Teksttreci0"/>
              <w:shd w:val="clear" w:color="auto" w:fill="auto"/>
              <w:spacing w:line="240" w:lineRule="auto"/>
              <w:ind w:right="20" w:firstLine="0"/>
              <w:jc w:val="both"/>
              <w:rPr>
                <w:rFonts w:ascii="Arial" w:hAnsi="Arial" w:cs="Arial"/>
                <w:sz w:val="20"/>
                <w:szCs w:val="20"/>
              </w:rPr>
            </w:pPr>
          </w:p>
          <w:p w14:paraId="6CF7D1B3" w14:textId="77777777" w:rsidR="009E1376" w:rsidRPr="00A639C4" w:rsidRDefault="009E1376" w:rsidP="004255F0">
            <w:pPr>
              <w:pStyle w:val="Teksttreci0"/>
              <w:numPr>
                <w:ilvl w:val="0"/>
                <w:numId w:val="4"/>
              </w:numPr>
              <w:shd w:val="clear" w:color="auto" w:fill="auto"/>
              <w:spacing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p>
          <w:p w14:paraId="556901A0" w14:textId="77777777" w:rsidR="009E1376" w:rsidRDefault="009E1376" w:rsidP="004255F0">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5F79A461" w14:textId="77777777" w:rsidR="009F4007" w:rsidRPr="00A639C4" w:rsidRDefault="009F4007" w:rsidP="004255F0">
            <w:pPr>
              <w:pStyle w:val="Teksttreci0"/>
              <w:shd w:val="clear" w:color="auto" w:fill="auto"/>
              <w:spacing w:line="240" w:lineRule="auto"/>
              <w:ind w:right="20" w:firstLine="0"/>
              <w:jc w:val="both"/>
              <w:rPr>
                <w:rFonts w:ascii="Arial" w:hAnsi="Arial" w:cs="Arial"/>
                <w:sz w:val="20"/>
                <w:szCs w:val="20"/>
              </w:rPr>
            </w:pPr>
          </w:p>
          <w:p w14:paraId="4D57ABD9" w14:textId="4E17E76A" w:rsidR="00704746" w:rsidRPr="006F3CC9" w:rsidRDefault="009E1376" w:rsidP="004255F0">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uprawnień do prowadzenia określonej działalności gospodarczej lub zawodowej, o ile wynika to z odrębnych przepisów:</w:t>
            </w:r>
            <w:r w:rsidR="00704746" w:rsidRPr="006F3CC9">
              <w:rPr>
                <w:rFonts w:ascii="Arial" w:hAnsi="Arial" w:cs="Arial"/>
                <w:color w:val="FF0000"/>
                <w:sz w:val="20"/>
                <w:szCs w:val="20"/>
                <w:u w:val="single"/>
              </w:rPr>
              <w:t xml:space="preserve"> </w:t>
            </w:r>
          </w:p>
          <w:p w14:paraId="4F06644D" w14:textId="77777777" w:rsidR="009E1376" w:rsidRDefault="009E1376" w:rsidP="004255F0">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276413C1" w14:textId="77777777" w:rsidR="009F4007" w:rsidRPr="00A639C4" w:rsidRDefault="009F4007" w:rsidP="004255F0">
            <w:pPr>
              <w:pStyle w:val="Teksttreci0"/>
              <w:shd w:val="clear" w:color="auto" w:fill="auto"/>
              <w:spacing w:line="240" w:lineRule="auto"/>
              <w:ind w:right="20" w:firstLine="0"/>
              <w:jc w:val="both"/>
              <w:rPr>
                <w:rFonts w:ascii="Arial" w:hAnsi="Arial" w:cs="Arial"/>
                <w:sz w:val="20"/>
                <w:szCs w:val="20"/>
              </w:rPr>
            </w:pPr>
          </w:p>
          <w:p w14:paraId="7D3DD20D" w14:textId="64ACE70A" w:rsidR="009E1376" w:rsidRPr="00A639C4" w:rsidRDefault="009E1376" w:rsidP="004255F0">
            <w:pPr>
              <w:pStyle w:val="Teksttreci0"/>
              <w:numPr>
                <w:ilvl w:val="0"/>
                <w:numId w:val="4"/>
              </w:numPr>
              <w:shd w:val="clear" w:color="auto" w:fill="auto"/>
              <w:spacing w:line="240" w:lineRule="auto"/>
              <w:ind w:left="852" w:right="20" w:hanging="426"/>
              <w:jc w:val="both"/>
              <w:rPr>
                <w:rFonts w:ascii="Arial" w:hAnsi="Arial" w:cs="Arial"/>
                <w:sz w:val="20"/>
                <w:szCs w:val="20"/>
              </w:rPr>
            </w:pPr>
            <w:r w:rsidRPr="00A639C4">
              <w:rPr>
                <w:rFonts w:ascii="Arial" w:hAnsi="Arial" w:cs="Arial"/>
                <w:b/>
                <w:sz w:val="20"/>
                <w:szCs w:val="20"/>
              </w:rPr>
              <w:t>sytuacji ekonomicznej lub finansowej:</w:t>
            </w:r>
          </w:p>
          <w:p w14:paraId="66BC9BF3" w14:textId="77777777" w:rsidR="00134BAA" w:rsidRDefault="00134BAA" w:rsidP="00134BAA">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28A344E9" w14:textId="77777777" w:rsidR="009F4007" w:rsidRPr="00A639C4" w:rsidRDefault="009F4007" w:rsidP="00134BAA">
            <w:pPr>
              <w:pStyle w:val="Teksttreci0"/>
              <w:shd w:val="clear" w:color="auto" w:fill="auto"/>
              <w:spacing w:line="240" w:lineRule="auto"/>
              <w:ind w:right="20" w:firstLine="0"/>
              <w:jc w:val="both"/>
              <w:rPr>
                <w:rFonts w:ascii="Arial" w:hAnsi="Arial" w:cs="Arial"/>
                <w:sz w:val="20"/>
                <w:szCs w:val="20"/>
              </w:rPr>
            </w:pPr>
          </w:p>
          <w:p w14:paraId="0025F738" w14:textId="58286956" w:rsidR="009E1376" w:rsidRPr="00A639C4" w:rsidRDefault="009E1376" w:rsidP="004255F0">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p>
          <w:p w14:paraId="40B614DA" w14:textId="77777777" w:rsidR="00DF0690" w:rsidRDefault="00DF0690" w:rsidP="00DF0690">
            <w:pPr>
              <w:pStyle w:val="Teksttreci0"/>
              <w:shd w:val="clear" w:color="auto" w:fill="auto"/>
              <w:spacing w:line="240" w:lineRule="auto"/>
              <w:ind w:right="20" w:firstLine="0"/>
              <w:jc w:val="both"/>
              <w:rPr>
                <w:rFonts w:ascii="Arial" w:hAnsi="Arial" w:cs="Arial"/>
                <w:sz w:val="20"/>
                <w:szCs w:val="20"/>
              </w:rPr>
            </w:pPr>
            <w:r w:rsidRPr="000E368E">
              <w:rPr>
                <w:rFonts w:ascii="Arial" w:hAnsi="Arial" w:cs="Arial"/>
                <w:sz w:val="20"/>
                <w:szCs w:val="20"/>
              </w:rPr>
              <w:t xml:space="preserve">Zamawiający </w:t>
            </w:r>
            <w:r w:rsidRPr="00F6231D">
              <w:rPr>
                <w:rFonts w:ascii="Arial" w:hAnsi="Arial" w:cs="Arial"/>
                <w:b/>
                <w:sz w:val="20"/>
                <w:szCs w:val="20"/>
                <w:u w:val="single"/>
              </w:rPr>
              <w:t>stawia</w:t>
            </w:r>
            <w:r>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6B9C6378" w14:textId="77777777" w:rsidR="00756421" w:rsidRPr="00A639C4" w:rsidRDefault="00756421" w:rsidP="004255F0">
            <w:pPr>
              <w:pStyle w:val="Teksttreci0"/>
              <w:shd w:val="clear" w:color="auto" w:fill="auto"/>
              <w:spacing w:line="240" w:lineRule="auto"/>
              <w:ind w:right="20" w:firstLine="0"/>
              <w:rPr>
                <w:rFonts w:ascii="Arial" w:hAnsi="Arial" w:cs="Arial"/>
                <w:sz w:val="20"/>
                <w:szCs w:val="20"/>
              </w:rPr>
            </w:pPr>
          </w:p>
          <w:p w14:paraId="6845747F" w14:textId="6794FC17" w:rsidR="009E1376" w:rsidRPr="00A639C4" w:rsidRDefault="009E1376" w:rsidP="004255F0">
            <w:pPr>
              <w:widowControl/>
              <w:numPr>
                <w:ilvl w:val="0"/>
                <w:numId w:val="21"/>
              </w:numPr>
              <w:tabs>
                <w:tab w:val="left" w:pos="300"/>
              </w:tabs>
              <w:ind w:left="300" w:hanging="300"/>
              <w:jc w:val="both"/>
              <w:rPr>
                <w:b/>
                <w:bCs/>
                <w:color w:val="000000"/>
              </w:rPr>
            </w:pPr>
            <w:r w:rsidRPr="00A639C4">
              <w:rPr>
                <w:b/>
                <w:bCs/>
                <w:color w:val="000000"/>
              </w:rPr>
              <w:t xml:space="preserve">Doświadczenie wykonawcy </w:t>
            </w:r>
          </w:p>
          <w:p w14:paraId="4FFEF000" w14:textId="77777777" w:rsidR="00756421" w:rsidRPr="00A639C4" w:rsidRDefault="00756421" w:rsidP="00756421">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2EED697E" w14:textId="77777777" w:rsidR="008F6691" w:rsidRPr="00134BAA" w:rsidRDefault="008F6691" w:rsidP="004255F0">
            <w:pPr>
              <w:pStyle w:val="Teksttreci0"/>
              <w:shd w:val="clear" w:color="auto" w:fill="auto"/>
              <w:spacing w:line="240" w:lineRule="auto"/>
              <w:ind w:right="20" w:firstLine="0"/>
              <w:jc w:val="both"/>
              <w:rPr>
                <w:rFonts w:ascii="Arial" w:hAnsi="Arial" w:cs="Arial"/>
                <w:sz w:val="20"/>
                <w:szCs w:val="20"/>
              </w:rPr>
            </w:pPr>
          </w:p>
          <w:p w14:paraId="2A30EB35" w14:textId="74C0A5DE" w:rsidR="009E1376" w:rsidRPr="00134BAA" w:rsidRDefault="009E1376" w:rsidP="004255F0">
            <w:pPr>
              <w:widowControl/>
              <w:numPr>
                <w:ilvl w:val="0"/>
                <w:numId w:val="21"/>
              </w:numPr>
              <w:tabs>
                <w:tab w:val="right" w:pos="284"/>
                <w:tab w:val="left" w:pos="400"/>
              </w:tabs>
              <w:ind w:left="300" w:hanging="400"/>
              <w:jc w:val="both"/>
              <w:rPr>
                <w:b/>
                <w:bCs/>
                <w:color w:val="000000"/>
              </w:rPr>
            </w:pPr>
            <w:r w:rsidRPr="00134BAA">
              <w:rPr>
                <w:b/>
                <w:bCs/>
                <w:color w:val="000000"/>
              </w:rPr>
              <w:t>Kwalifikacje zawodowe i doświadczenie osób skierowanych przez wykonawcę do realizacji zamówienia</w:t>
            </w:r>
          </w:p>
          <w:p w14:paraId="4A4A0DEF" w14:textId="77777777" w:rsidR="00DF0690" w:rsidRPr="00DF0690" w:rsidRDefault="00DF0690" w:rsidP="00DF0690">
            <w:pPr>
              <w:pStyle w:val="ZLITPKTzmpktliter"/>
              <w:spacing w:line="240" w:lineRule="auto"/>
              <w:ind w:left="300"/>
              <w:rPr>
                <w:rFonts w:ascii="Arial" w:hAnsi="Arial"/>
                <w:color w:val="000000"/>
                <w:sz w:val="20"/>
                <w:szCs w:val="16"/>
              </w:rPr>
            </w:pPr>
          </w:p>
          <w:p w14:paraId="0E3345F4" w14:textId="77777777" w:rsidR="00DF0690" w:rsidRDefault="00DF0690" w:rsidP="00DF0690">
            <w:pPr>
              <w:rPr>
                <w:color w:val="000000"/>
              </w:rPr>
            </w:pPr>
            <w:r w:rsidRPr="00DF0690">
              <w:rPr>
                <w:color w:val="000000"/>
              </w:rPr>
              <w:t>Wykonawca spełni ten warunek udziału w postępowaniu, jeżeli wykaże, że dysponuje lub będzie dysponował następującymi osobami:</w:t>
            </w:r>
          </w:p>
          <w:p w14:paraId="43904E30" w14:textId="77777777" w:rsidR="00DF0690" w:rsidRPr="00DF0690" w:rsidRDefault="00DF0690" w:rsidP="00DF0690">
            <w:pPr>
              <w:rPr>
                <w:color w:val="000000"/>
              </w:rPr>
            </w:pPr>
          </w:p>
          <w:p w14:paraId="600F6CA4" w14:textId="77777777" w:rsidR="00DF0690" w:rsidRPr="00DF0690" w:rsidRDefault="00DF0690" w:rsidP="00DF0690">
            <w:pPr>
              <w:rPr>
                <w:color w:val="000000"/>
              </w:rPr>
            </w:pPr>
            <w:r w:rsidRPr="00DF0690">
              <w:rPr>
                <w:color w:val="000000"/>
              </w:rPr>
              <w:t xml:space="preserve">- Osoba posiadająca uprawnienia w zakresie umożliwiającym wykonanie przedmiotu zamówienia </w:t>
            </w:r>
          </w:p>
          <w:p w14:paraId="4AC7C8F6" w14:textId="77777777" w:rsidR="00DF0690" w:rsidRPr="00DF0690" w:rsidRDefault="00DF0690" w:rsidP="00DF0690">
            <w:pPr>
              <w:rPr>
                <w:color w:val="000000"/>
              </w:rPr>
            </w:pPr>
            <w:r w:rsidRPr="00DF0690">
              <w:rPr>
                <w:color w:val="000000"/>
              </w:rPr>
              <w:t xml:space="preserve">- Osoba posiadająca certyfikat audytora bezpieczeństwa ruchu drogowego </w:t>
            </w:r>
          </w:p>
          <w:p w14:paraId="6D756918" w14:textId="77777777" w:rsidR="00DF0690" w:rsidRPr="00DF0690" w:rsidRDefault="00DF0690" w:rsidP="00DF0690">
            <w:pPr>
              <w:rPr>
                <w:color w:val="000000"/>
              </w:rPr>
            </w:pPr>
            <w:r w:rsidRPr="00DF0690">
              <w:rPr>
                <w:color w:val="000000"/>
              </w:rPr>
              <w:t xml:space="preserve">posiadającymi opisane poniżej uprawnienia i doświadczenie. </w:t>
            </w:r>
          </w:p>
          <w:p w14:paraId="4C4DB4DB" w14:textId="77777777" w:rsidR="00DF0690" w:rsidRPr="00DF0690" w:rsidRDefault="00DF0690" w:rsidP="00DF0690">
            <w:pPr>
              <w:rPr>
                <w:color w:val="000000"/>
              </w:rPr>
            </w:pPr>
          </w:p>
          <w:p w14:paraId="5C200834" w14:textId="77777777" w:rsidR="00DF0690" w:rsidRPr="00DF0690" w:rsidRDefault="00DF0690" w:rsidP="00DF0690">
            <w:pPr>
              <w:rPr>
                <w:color w:val="000000"/>
              </w:rPr>
            </w:pPr>
            <w:r w:rsidRPr="00DF0690">
              <w:rPr>
                <w:color w:val="000000"/>
              </w:rPr>
              <w:t>- Osoba posiadająca uprawnienia – min.  1 osoba</w:t>
            </w:r>
          </w:p>
          <w:p w14:paraId="53E79A24" w14:textId="77777777" w:rsidR="00DF0690" w:rsidRPr="00DF0690" w:rsidRDefault="00DF0690" w:rsidP="00DF0690">
            <w:pPr>
              <w:rPr>
                <w:color w:val="000000"/>
              </w:rPr>
            </w:pPr>
            <w:r w:rsidRPr="00DF0690">
              <w:rPr>
                <w:color w:val="000000"/>
              </w:rPr>
              <w:t xml:space="preserve">Uprawnienia: </w:t>
            </w:r>
          </w:p>
          <w:p w14:paraId="77113C74" w14:textId="77777777" w:rsidR="00DF0690" w:rsidRPr="00DF0690" w:rsidRDefault="00DF0690" w:rsidP="00DF0690">
            <w:pPr>
              <w:rPr>
                <w:color w:val="000000"/>
              </w:rPr>
            </w:pPr>
            <w:r w:rsidRPr="00DF0690">
              <w:rPr>
                <w:color w:val="000000"/>
              </w:rPr>
              <w:t>uprawnienia w zakresie umożliwiającym wykonanie przedmiotu zamówienia, np. projektowe, rzeczoznawcze, audytorskie - w specjalności dróg</w:t>
            </w:r>
          </w:p>
          <w:p w14:paraId="6B492520" w14:textId="77777777" w:rsidR="00DF0690" w:rsidRPr="00DF0690" w:rsidRDefault="00DF0690" w:rsidP="00DF0690">
            <w:pPr>
              <w:rPr>
                <w:color w:val="000000"/>
              </w:rPr>
            </w:pPr>
            <w:r w:rsidRPr="00DF0690">
              <w:rPr>
                <w:color w:val="000000"/>
              </w:rPr>
              <w:t xml:space="preserve">Doświadczenie: </w:t>
            </w:r>
          </w:p>
          <w:p w14:paraId="7022278C" w14:textId="77777777" w:rsidR="00DF0690" w:rsidRPr="00DF0690" w:rsidRDefault="00DF0690" w:rsidP="00DF0690">
            <w:pPr>
              <w:rPr>
                <w:color w:val="000000"/>
              </w:rPr>
            </w:pPr>
            <w:r w:rsidRPr="00DF0690">
              <w:rPr>
                <w:color w:val="000000"/>
              </w:rPr>
              <w:t xml:space="preserve">min. 3 lata w zakresie sporządzania dotyczących bezpieczeństwa ruchu drogowego na sieci dróg publicznych [1] opracowań o charakterze i złożoności porównywalnej z przedmiotem zamówienia tj. analiz/ekspertyz/ocen/raportów/audytów opracowanych z uwzględnieniem danych z Policyjnego Systemu Ewidencji Wypadków i Kolizji ( SEWIK) </w:t>
            </w:r>
          </w:p>
          <w:p w14:paraId="6954077D" w14:textId="77777777" w:rsidR="00DF0690" w:rsidRPr="00DF0690" w:rsidRDefault="00DF0690" w:rsidP="00DF0690">
            <w:pPr>
              <w:rPr>
                <w:color w:val="000000"/>
              </w:rPr>
            </w:pPr>
          </w:p>
          <w:p w14:paraId="57B03A53" w14:textId="77777777" w:rsidR="00DF0690" w:rsidRPr="00DF0690" w:rsidRDefault="00DF0690" w:rsidP="00DF0690">
            <w:pPr>
              <w:rPr>
                <w:color w:val="000000"/>
              </w:rPr>
            </w:pPr>
            <w:r w:rsidRPr="00DF0690">
              <w:rPr>
                <w:color w:val="000000"/>
              </w:rPr>
              <w:t>- Osoba posiadająca certyfikat audytora bezpieczeństwa ruchu drogowego – min.  1 osoba</w:t>
            </w:r>
          </w:p>
          <w:p w14:paraId="1EBA5BEB" w14:textId="77777777" w:rsidR="00DF0690" w:rsidRPr="00DF0690" w:rsidRDefault="00DF0690" w:rsidP="00DF0690">
            <w:pPr>
              <w:rPr>
                <w:color w:val="000000"/>
              </w:rPr>
            </w:pPr>
            <w:r w:rsidRPr="00DF0690">
              <w:rPr>
                <w:color w:val="000000"/>
              </w:rPr>
              <w:t xml:space="preserve">Uprawnienia: </w:t>
            </w:r>
          </w:p>
          <w:p w14:paraId="6E651112" w14:textId="77777777" w:rsidR="00DF0690" w:rsidRPr="00DF0690" w:rsidRDefault="00DF0690" w:rsidP="00DF0690">
            <w:pPr>
              <w:rPr>
                <w:color w:val="000000"/>
              </w:rPr>
            </w:pPr>
            <w:r w:rsidRPr="00DF0690">
              <w:rPr>
                <w:color w:val="000000"/>
              </w:rPr>
              <w:t xml:space="preserve">Posiadanie certyfikatu audytora bezpieczeństwa ruchu drogowego wydanego zgodnie z Rozporządzeniem Transportu, Budownictwa I Gospodarki Morskiej z dnia 14 września 2012 r. w sprawie szkoleń oraz wzoru certyfikatu dla audytorów </w:t>
            </w:r>
            <w:r w:rsidRPr="00DF0690">
              <w:rPr>
                <w:color w:val="000000"/>
              </w:rPr>
              <w:lastRenderedPageBreak/>
              <w:t>bezpieczeństwa ruchu drogowego</w:t>
            </w:r>
          </w:p>
          <w:p w14:paraId="364CE36A" w14:textId="77777777" w:rsidR="00DF0690" w:rsidRPr="00DF0690" w:rsidRDefault="00DF0690" w:rsidP="00DF0690">
            <w:pPr>
              <w:rPr>
                <w:color w:val="000000"/>
              </w:rPr>
            </w:pPr>
            <w:r w:rsidRPr="00DF0690">
              <w:rPr>
                <w:color w:val="000000"/>
              </w:rPr>
              <w:t xml:space="preserve">Doświadczenie: </w:t>
            </w:r>
          </w:p>
          <w:p w14:paraId="3EBD275C" w14:textId="77777777" w:rsidR="00DF0690" w:rsidRPr="00DF0690" w:rsidRDefault="00DF0690" w:rsidP="00DF0690">
            <w:pPr>
              <w:rPr>
                <w:color w:val="000000"/>
              </w:rPr>
            </w:pPr>
            <w:r w:rsidRPr="00DF0690">
              <w:rPr>
                <w:color w:val="000000"/>
              </w:rPr>
              <w:t xml:space="preserve">Nie wymagane </w:t>
            </w:r>
          </w:p>
          <w:p w14:paraId="799BC3B1" w14:textId="77777777" w:rsidR="00DF0690" w:rsidRPr="00DF0690" w:rsidRDefault="00DF0690" w:rsidP="00DF0690">
            <w:pPr>
              <w:rPr>
                <w:color w:val="000000"/>
              </w:rPr>
            </w:pPr>
          </w:p>
          <w:p w14:paraId="695EC79C" w14:textId="67AF643F" w:rsidR="00756421" w:rsidRPr="00DF0690" w:rsidRDefault="00DF0690" w:rsidP="00DF0690">
            <w:pPr>
              <w:rPr>
                <w:color w:val="000000"/>
              </w:rPr>
            </w:pPr>
            <w:r w:rsidRPr="00DF0690">
              <w:rPr>
                <w:color w:val="000000"/>
              </w:rPr>
              <w:t>[1] Poprzez sformułowanie  „droga publiczna” Zamawiający rozumie definicje zgodne z określonymi w „Ustawie o drogach publicznych”.</w:t>
            </w:r>
          </w:p>
          <w:p w14:paraId="7FCC03ED" w14:textId="77777777" w:rsidR="009F4007" w:rsidRDefault="009F4007" w:rsidP="00756421">
            <w:pPr>
              <w:tabs>
                <w:tab w:val="left" w:pos="426"/>
              </w:tabs>
              <w:jc w:val="both"/>
              <w:rPr>
                <w:color w:val="000000"/>
                <w:u w:val="single"/>
              </w:rPr>
            </w:pPr>
          </w:p>
          <w:p w14:paraId="741C9F6F" w14:textId="08C16F00" w:rsidR="00756421" w:rsidRPr="00D14227" w:rsidRDefault="00756421" w:rsidP="00756421">
            <w:pPr>
              <w:tabs>
                <w:tab w:val="left" w:pos="426"/>
              </w:tabs>
              <w:jc w:val="both"/>
              <w:rPr>
                <w:b/>
                <w:u w:val="single"/>
              </w:rPr>
            </w:pPr>
            <w:r w:rsidRPr="00D14227">
              <w:rPr>
                <w:color w:val="000000"/>
                <w:u w:val="single"/>
              </w:rPr>
              <w:t>Zamawiający dopuszcza aby funkcję projektanta i audytora pełniła ta sama osoba.</w:t>
            </w:r>
          </w:p>
          <w:p w14:paraId="4BF52F65" w14:textId="77777777" w:rsidR="00134BAA" w:rsidRPr="00134BAA" w:rsidRDefault="00134BAA" w:rsidP="00134BAA">
            <w:pPr>
              <w:ind w:left="284"/>
              <w:jc w:val="both"/>
              <w:rPr>
                <w:color w:val="000000"/>
              </w:rPr>
            </w:pPr>
          </w:p>
          <w:p w14:paraId="3CE0B887" w14:textId="77777777" w:rsidR="00134BAA" w:rsidRPr="00134BAA" w:rsidRDefault="00134BAA" w:rsidP="00134BAA">
            <w:pPr>
              <w:ind w:left="284"/>
              <w:jc w:val="both"/>
              <w:rPr>
                <w:color w:val="000000"/>
              </w:rPr>
            </w:pPr>
            <w:r w:rsidRPr="00134BAA">
              <w:rPr>
                <w:color w:val="000000"/>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t>
            </w:r>
          </w:p>
          <w:p w14:paraId="67A73EE2" w14:textId="77777777" w:rsidR="00134BAA" w:rsidRPr="00134BAA" w:rsidRDefault="00134BAA" w:rsidP="00134BAA">
            <w:pPr>
              <w:ind w:left="284"/>
              <w:jc w:val="both"/>
              <w:rPr>
                <w:color w:val="000000"/>
              </w:rPr>
            </w:pPr>
            <w:r w:rsidRPr="00134BAA">
              <w:rPr>
                <w:color w:val="000000"/>
              </w:rPr>
              <w:t xml:space="preserve">w państwach członkowskich Unii Europejskiej, które pozwalać będą na pełnienie przedmiotowej funkcji w zakresie objętym umową; </w:t>
            </w:r>
          </w:p>
          <w:p w14:paraId="374F4CCC" w14:textId="77777777" w:rsidR="00756421" w:rsidRPr="00A639C4" w:rsidRDefault="00756421" w:rsidP="00756421">
            <w:pPr>
              <w:jc w:val="both"/>
              <w:rPr>
                <w:bCs/>
              </w:rPr>
            </w:pPr>
          </w:p>
        </w:tc>
      </w:tr>
      <w:tr w:rsidR="009E1376" w:rsidRPr="00A639C4" w14:paraId="1171392D" w14:textId="77777777" w:rsidTr="00A639C4">
        <w:tc>
          <w:tcPr>
            <w:tcW w:w="1384" w:type="dxa"/>
            <w:shd w:val="clear" w:color="auto" w:fill="BFBFBF" w:themeFill="background1" w:themeFillShade="BF"/>
          </w:tcPr>
          <w:p w14:paraId="1737F276" w14:textId="477871C1" w:rsidR="009E1376" w:rsidRPr="00A639C4" w:rsidRDefault="009E1376" w:rsidP="004255F0">
            <w:pPr>
              <w:tabs>
                <w:tab w:val="left" w:pos="408"/>
              </w:tabs>
              <w:jc w:val="center"/>
              <w:rPr>
                <w:b/>
              </w:rPr>
            </w:pPr>
            <w:r w:rsidRPr="00A639C4">
              <w:rPr>
                <w:b/>
              </w:rPr>
              <w:lastRenderedPageBreak/>
              <w:t>Pkt 10.</w:t>
            </w:r>
            <w:r w:rsidR="003953F4">
              <w:rPr>
                <w:b/>
              </w:rPr>
              <w:t>2</w:t>
            </w:r>
            <w:r w:rsidRPr="00A639C4">
              <w:rPr>
                <w:b/>
              </w:rPr>
              <w:t xml:space="preserve"> IDW</w:t>
            </w:r>
          </w:p>
        </w:tc>
        <w:tc>
          <w:tcPr>
            <w:tcW w:w="7796" w:type="dxa"/>
            <w:shd w:val="clear" w:color="auto" w:fill="BFBFBF" w:themeFill="background1" w:themeFillShade="BF"/>
          </w:tcPr>
          <w:p w14:paraId="585D6179" w14:textId="77777777" w:rsidR="009E1376" w:rsidRPr="00A639C4" w:rsidRDefault="009E1376" w:rsidP="004255F0">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9E1376" w:rsidRPr="00A639C4" w14:paraId="6F5B374F" w14:textId="77777777" w:rsidTr="00A639C4">
        <w:tc>
          <w:tcPr>
            <w:tcW w:w="1384" w:type="dxa"/>
            <w:tcBorders>
              <w:bottom w:val="single" w:sz="4" w:space="0" w:color="auto"/>
            </w:tcBorders>
            <w:shd w:val="clear" w:color="auto" w:fill="auto"/>
          </w:tcPr>
          <w:p w14:paraId="3FAB1B23" w14:textId="77777777" w:rsidR="009E1376" w:rsidRPr="00A639C4" w:rsidRDefault="009E1376" w:rsidP="004255F0">
            <w:pPr>
              <w:tabs>
                <w:tab w:val="left" w:pos="408"/>
              </w:tabs>
              <w:jc w:val="center"/>
              <w:rPr>
                <w:b/>
              </w:rPr>
            </w:pPr>
          </w:p>
        </w:tc>
        <w:tc>
          <w:tcPr>
            <w:tcW w:w="7796" w:type="dxa"/>
            <w:tcBorders>
              <w:bottom w:val="single" w:sz="4" w:space="0" w:color="auto"/>
            </w:tcBorders>
            <w:shd w:val="clear" w:color="auto" w:fill="auto"/>
          </w:tcPr>
          <w:p w14:paraId="215DE801" w14:textId="77777777" w:rsidR="009E1376" w:rsidRPr="00A639C4" w:rsidRDefault="009E1376" w:rsidP="004255F0">
            <w:pPr>
              <w:jc w:val="both"/>
            </w:pPr>
          </w:p>
          <w:p w14:paraId="223CD280" w14:textId="79BF00FE" w:rsidR="009E1376" w:rsidRPr="00A639C4" w:rsidRDefault="009E1376" w:rsidP="004255F0">
            <w:pPr>
              <w:jc w:val="both"/>
            </w:pPr>
            <w:r w:rsidRPr="00A639C4">
              <w:t xml:space="preserve">Na podstawie art. 125 ust. 1 Pzp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14:paraId="1264489A" w14:textId="672EA235" w:rsidR="009E1376" w:rsidRPr="00A639C4" w:rsidRDefault="009E1376" w:rsidP="004255F0">
            <w:pPr>
              <w:widowControl/>
              <w:autoSpaceDE/>
              <w:autoSpaceDN/>
              <w:adjustRightInd/>
              <w:jc w:val="both"/>
            </w:pPr>
            <w:r w:rsidRPr="00A639C4">
              <w:t xml:space="preserve">- aktualne na dzień składania ofert oświadczenie o spełnianiu warunków udziału w postępowaniu oraz o braku podstaw do wykluczenia z postępowania (art. 125 ust. 1 Pzp)– zgodnie z </w:t>
            </w:r>
            <w:r w:rsidRPr="00A639C4">
              <w:rPr>
                <w:b/>
              </w:rPr>
              <w:t>Załącznikiem do SWZ.</w:t>
            </w:r>
          </w:p>
          <w:p w14:paraId="420F2AE8" w14:textId="77777777" w:rsidR="009E1376" w:rsidRPr="00A639C4" w:rsidRDefault="009E1376" w:rsidP="004255F0">
            <w:pPr>
              <w:jc w:val="both"/>
            </w:pPr>
          </w:p>
          <w:p w14:paraId="5AEDD973" w14:textId="2E930664" w:rsidR="009E1376" w:rsidRPr="00A639C4" w:rsidRDefault="009E1376" w:rsidP="004255F0">
            <w:pPr>
              <w:jc w:val="both"/>
            </w:pPr>
            <w:r w:rsidRPr="00A639C4">
              <w:t xml:space="preserve">Na podstawie art. 273 ust 1pkt  2 Pzp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06C3C43F" w14:textId="314E0504" w:rsidR="009E1376" w:rsidRPr="00BA5216" w:rsidRDefault="009E1376" w:rsidP="004255F0">
            <w:pPr>
              <w:pStyle w:val="Akapitzlist"/>
              <w:widowControl/>
              <w:numPr>
                <w:ilvl w:val="0"/>
                <w:numId w:val="12"/>
              </w:numPr>
              <w:autoSpaceDE/>
              <w:autoSpaceDN/>
              <w:adjustRightInd/>
              <w:ind w:left="454" w:hanging="357"/>
              <w:jc w:val="both"/>
              <w:rPr>
                <w:b/>
                <w:u w:val="single"/>
              </w:rPr>
            </w:pPr>
            <w:r w:rsidRPr="00A639C4">
              <w:rPr>
                <w:b/>
              </w:rPr>
              <w:t>wykaz osób</w:t>
            </w:r>
            <w:r w:rsidRPr="00A639C4">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8ABE302" w14:textId="77777777" w:rsidR="009E1376" w:rsidRPr="00A639C4" w:rsidRDefault="009E1376" w:rsidP="004255F0">
            <w:pPr>
              <w:jc w:val="both"/>
            </w:pPr>
          </w:p>
          <w:p w14:paraId="0222C0AB" w14:textId="17CAA77A" w:rsidR="009E1376" w:rsidRDefault="009E1376" w:rsidP="004255F0">
            <w:pPr>
              <w:jc w:val="both"/>
            </w:pPr>
            <w:r w:rsidRPr="00A639C4">
              <w:t xml:space="preserve">Wzory wykazów i oświadczeń o których mowa powyżej znajdują się na stronie internetowej Zamawiającego pod adresem </w:t>
            </w:r>
            <w:hyperlink r:id="rId8" w:history="1">
              <w:r w:rsidRPr="00A639C4">
                <w:rPr>
                  <w:rStyle w:val="Hipercze"/>
                </w:rPr>
                <w:t>http://www.pzdw.pl/zamowienia-publiczne/inne-informacje</w:t>
              </w:r>
            </w:hyperlink>
            <w:r w:rsidRPr="00A639C4">
              <w:t xml:space="preserve"> </w:t>
            </w:r>
          </w:p>
          <w:p w14:paraId="5170CC52" w14:textId="77777777" w:rsidR="009E1376" w:rsidRPr="00A639C4" w:rsidRDefault="009E1376" w:rsidP="004255F0">
            <w:pPr>
              <w:jc w:val="both"/>
              <w:rPr>
                <w:b/>
              </w:rPr>
            </w:pPr>
          </w:p>
        </w:tc>
      </w:tr>
      <w:tr w:rsidR="00B44348" w:rsidRPr="00A639C4" w14:paraId="00C6F274" w14:textId="77777777" w:rsidTr="00A639C4">
        <w:tc>
          <w:tcPr>
            <w:tcW w:w="1384" w:type="dxa"/>
            <w:shd w:val="clear" w:color="auto" w:fill="BFBFBF" w:themeFill="background1" w:themeFillShade="BF"/>
          </w:tcPr>
          <w:p w14:paraId="03B16A36" w14:textId="38617079" w:rsidR="00B44348" w:rsidRPr="00A639C4" w:rsidRDefault="00B44348" w:rsidP="004255F0">
            <w:pPr>
              <w:tabs>
                <w:tab w:val="left" w:pos="408"/>
              </w:tabs>
              <w:jc w:val="center"/>
              <w:rPr>
                <w:b/>
              </w:rPr>
            </w:pPr>
            <w:r>
              <w:rPr>
                <w:b/>
              </w:rPr>
              <w:t>Pkt 9.2</w:t>
            </w:r>
          </w:p>
        </w:tc>
        <w:tc>
          <w:tcPr>
            <w:tcW w:w="7796" w:type="dxa"/>
            <w:shd w:val="clear" w:color="auto" w:fill="BFBFBF" w:themeFill="background1" w:themeFillShade="BF"/>
          </w:tcPr>
          <w:p w14:paraId="484456E9" w14:textId="06D45ECA" w:rsidR="00B44348" w:rsidRPr="00A639C4" w:rsidRDefault="00B44348" w:rsidP="004255F0">
            <w:pPr>
              <w:rPr>
                <w:b/>
              </w:rPr>
            </w:pPr>
            <w:r>
              <w:rPr>
                <w:b/>
              </w:rPr>
              <w:t>Fakultatywne p</w:t>
            </w:r>
            <w:r w:rsidRPr="00B44348">
              <w:rPr>
                <w:b/>
              </w:rPr>
              <w:t>odstawy wykluczenia z postępowania</w:t>
            </w:r>
          </w:p>
        </w:tc>
      </w:tr>
      <w:tr w:rsidR="00B44348" w:rsidRPr="00A639C4" w14:paraId="1B9DF83D" w14:textId="77777777" w:rsidTr="00B44348">
        <w:tc>
          <w:tcPr>
            <w:tcW w:w="1384" w:type="dxa"/>
            <w:shd w:val="clear" w:color="auto" w:fill="auto"/>
          </w:tcPr>
          <w:p w14:paraId="6242F48B" w14:textId="77777777" w:rsidR="00B44348" w:rsidRPr="00A639C4" w:rsidRDefault="00B44348" w:rsidP="004255F0">
            <w:pPr>
              <w:tabs>
                <w:tab w:val="left" w:pos="408"/>
              </w:tabs>
              <w:jc w:val="center"/>
              <w:rPr>
                <w:b/>
              </w:rPr>
            </w:pPr>
          </w:p>
        </w:tc>
        <w:tc>
          <w:tcPr>
            <w:tcW w:w="7796" w:type="dxa"/>
            <w:shd w:val="clear" w:color="auto" w:fill="auto"/>
          </w:tcPr>
          <w:p w14:paraId="5B02A2AC" w14:textId="77777777" w:rsidR="00B44348" w:rsidRDefault="00B44348" w:rsidP="004255F0">
            <w:pPr>
              <w:pStyle w:val="Teksttreci0"/>
              <w:shd w:val="clear" w:color="auto" w:fill="auto"/>
              <w:spacing w:line="240" w:lineRule="auto"/>
              <w:ind w:firstLine="0"/>
              <w:jc w:val="both"/>
              <w:rPr>
                <w:rFonts w:ascii="Arial" w:hAnsi="Arial" w:cs="Arial"/>
                <w:sz w:val="20"/>
                <w:highlight w:val="red"/>
              </w:rPr>
            </w:pPr>
          </w:p>
          <w:p w14:paraId="5D8D63FE" w14:textId="71F73EB6" w:rsidR="00B44348" w:rsidRPr="00AF6CDE" w:rsidRDefault="00B44348" w:rsidP="004255F0">
            <w:pPr>
              <w:pStyle w:val="Teksttreci0"/>
              <w:shd w:val="clear" w:color="auto" w:fill="auto"/>
              <w:spacing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fakultatywnych przesłanek wykluczenia o których mowa w art. 109 ust.1 Pzp</w:t>
            </w:r>
            <w:r>
              <w:rPr>
                <w:rFonts w:ascii="Arial" w:hAnsi="Arial" w:cs="Arial"/>
                <w:sz w:val="20"/>
              </w:rPr>
              <w:t>.</w:t>
            </w:r>
          </w:p>
          <w:p w14:paraId="3DAC71FE" w14:textId="77777777" w:rsidR="00B44348" w:rsidRPr="00A639C4" w:rsidRDefault="00B44348" w:rsidP="004255F0">
            <w:pPr>
              <w:pStyle w:val="Teksttreci0"/>
              <w:shd w:val="clear" w:color="auto" w:fill="auto"/>
              <w:spacing w:line="240" w:lineRule="auto"/>
              <w:ind w:firstLine="0"/>
              <w:jc w:val="both"/>
              <w:rPr>
                <w:b/>
              </w:rPr>
            </w:pPr>
          </w:p>
        </w:tc>
      </w:tr>
      <w:tr w:rsidR="009E1376" w:rsidRPr="00A639C4" w14:paraId="2B961039" w14:textId="77777777" w:rsidTr="00A639C4">
        <w:tc>
          <w:tcPr>
            <w:tcW w:w="1384" w:type="dxa"/>
            <w:shd w:val="clear" w:color="auto" w:fill="BFBFBF" w:themeFill="background1" w:themeFillShade="BF"/>
          </w:tcPr>
          <w:p w14:paraId="1965C385" w14:textId="77777777" w:rsidR="009E1376" w:rsidRPr="00A639C4" w:rsidRDefault="009E1376" w:rsidP="004255F0">
            <w:pPr>
              <w:tabs>
                <w:tab w:val="left" w:pos="408"/>
              </w:tabs>
              <w:jc w:val="center"/>
              <w:rPr>
                <w:b/>
              </w:rPr>
            </w:pPr>
            <w:r w:rsidRPr="00A639C4">
              <w:rPr>
                <w:b/>
              </w:rPr>
              <w:t>Pkt 11.1 IDW</w:t>
            </w:r>
          </w:p>
        </w:tc>
        <w:tc>
          <w:tcPr>
            <w:tcW w:w="7796" w:type="dxa"/>
            <w:shd w:val="clear" w:color="auto" w:fill="BFBFBF" w:themeFill="background1" w:themeFillShade="BF"/>
          </w:tcPr>
          <w:p w14:paraId="5C4A5B1B" w14:textId="013F7879" w:rsidR="009E1376" w:rsidRPr="00A639C4" w:rsidRDefault="009E1376" w:rsidP="004255F0">
            <w:pPr>
              <w:rPr>
                <w:b/>
                <w:bCs/>
                <w:color w:val="000000"/>
              </w:rPr>
            </w:pPr>
            <w:r w:rsidRPr="00A639C4">
              <w:rPr>
                <w:b/>
              </w:rPr>
              <w:t>Przedmiotowe środki dowodowe</w:t>
            </w:r>
          </w:p>
        </w:tc>
      </w:tr>
      <w:tr w:rsidR="009E1376" w:rsidRPr="00A639C4" w14:paraId="26BD9609" w14:textId="77777777" w:rsidTr="00A639C4">
        <w:tc>
          <w:tcPr>
            <w:tcW w:w="1384" w:type="dxa"/>
            <w:tcBorders>
              <w:bottom w:val="single" w:sz="4" w:space="0" w:color="auto"/>
            </w:tcBorders>
            <w:shd w:val="clear" w:color="auto" w:fill="auto"/>
          </w:tcPr>
          <w:p w14:paraId="36F92663" w14:textId="77777777" w:rsidR="009E1376" w:rsidRPr="00A639C4" w:rsidRDefault="009E1376" w:rsidP="004255F0">
            <w:pPr>
              <w:tabs>
                <w:tab w:val="left" w:pos="408"/>
              </w:tabs>
              <w:jc w:val="center"/>
              <w:rPr>
                <w:b/>
              </w:rPr>
            </w:pPr>
          </w:p>
        </w:tc>
        <w:tc>
          <w:tcPr>
            <w:tcW w:w="7796" w:type="dxa"/>
            <w:tcBorders>
              <w:bottom w:val="single" w:sz="4" w:space="0" w:color="auto"/>
            </w:tcBorders>
            <w:shd w:val="clear" w:color="auto" w:fill="auto"/>
          </w:tcPr>
          <w:p w14:paraId="601CFB2C" w14:textId="77777777" w:rsidR="00804ABE" w:rsidRDefault="00804ABE" w:rsidP="004255F0">
            <w:pPr>
              <w:jc w:val="both"/>
            </w:pPr>
          </w:p>
          <w:p w14:paraId="1639E32B" w14:textId="295A2088" w:rsidR="00134BAA" w:rsidRPr="00F07CBF" w:rsidRDefault="00804ABE" w:rsidP="00F07CBF">
            <w:pPr>
              <w:jc w:val="both"/>
            </w:pPr>
            <w:r w:rsidRPr="00BF0687">
              <w:t xml:space="preserve">Zamawiający </w:t>
            </w:r>
            <w:r w:rsidRPr="00BF0687">
              <w:rPr>
                <w:b/>
                <w:u w:val="single"/>
              </w:rPr>
              <w:t>nie przewiduje</w:t>
            </w:r>
            <w:r w:rsidRPr="00BF0687">
              <w:t xml:space="preserve"> wprowadzenia przedmiotowych środków dowodowych  </w:t>
            </w:r>
          </w:p>
          <w:p w14:paraId="4B15EEAB" w14:textId="77777777" w:rsidR="00134BAA" w:rsidRDefault="00134BAA" w:rsidP="00BA5216">
            <w:pPr>
              <w:rPr>
                <w:b/>
              </w:rPr>
            </w:pPr>
          </w:p>
          <w:p w14:paraId="634C3657" w14:textId="77777777" w:rsidR="009F4007" w:rsidRDefault="009F4007" w:rsidP="00BA5216">
            <w:pPr>
              <w:rPr>
                <w:b/>
              </w:rPr>
            </w:pPr>
          </w:p>
          <w:p w14:paraId="0244DC21" w14:textId="77777777" w:rsidR="009F4007" w:rsidRPr="00A639C4" w:rsidRDefault="009F4007" w:rsidP="00BA5216">
            <w:pPr>
              <w:rPr>
                <w:b/>
              </w:rPr>
            </w:pPr>
          </w:p>
        </w:tc>
      </w:tr>
      <w:tr w:rsidR="009E1376" w:rsidRPr="00A639C4" w14:paraId="773C9F96" w14:textId="77777777" w:rsidTr="00A639C4">
        <w:tc>
          <w:tcPr>
            <w:tcW w:w="1384" w:type="dxa"/>
            <w:shd w:val="clear" w:color="auto" w:fill="BFBFBF" w:themeFill="background1" w:themeFillShade="BF"/>
          </w:tcPr>
          <w:p w14:paraId="5231AC04" w14:textId="77777777" w:rsidR="009E1376" w:rsidRPr="00A639C4" w:rsidRDefault="009E1376" w:rsidP="004255F0">
            <w:pPr>
              <w:tabs>
                <w:tab w:val="left" w:pos="408"/>
              </w:tabs>
              <w:jc w:val="center"/>
              <w:rPr>
                <w:b/>
              </w:rPr>
            </w:pPr>
            <w:r w:rsidRPr="00A639C4">
              <w:rPr>
                <w:b/>
              </w:rPr>
              <w:lastRenderedPageBreak/>
              <w:t>Pkt 15.6 IDW</w:t>
            </w:r>
          </w:p>
        </w:tc>
        <w:tc>
          <w:tcPr>
            <w:tcW w:w="7796" w:type="dxa"/>
            <w:shd w:val="clear" w:color="auto" w:fill="BFBFBF" w:themeFill="background1" w:themeFillShade="BF"/>
          </w:tcPr>
          <w:p w14:paraId="56A0F0A4" w14:textId="77777777" w:rsidR="009E1376" w:rsidRPr="00A639C4" w:rsidRDefault="009E1376" w:rsidP="004255F0">
            <w:pPr>
              <w:tabs>
                <w:tab w:val="left" w:pos="408"/>
              </w:tabs>
              <w:rPr>
                <w:b/>
              </w:rPr>
            </w:pPr>
            <w:r w:rsidRPr="00A639C4">
              <w:rPr>
                <w:b/>
              </w:rPr>
              <w:t>Opis sposobu przygotowania ofert oraz wymagania formalne dotyczące składanych oświadczeń i dokumentów</w:t>
            </w:r>
          </w:p>
        </w:tc>
      </w:tr>
      <w:tr w:rsidR="009E1376" w:rsidRPr="00A639C4" w14:paraId="1FDBEECD" w14:textId="77777777" w:rsidTr="00A639C4">
        <w:tc>
          <w:tcPr>
            <w:tcW w:w="1384" w:type="dxa"/>
            <w:tcBorders>
              <w:bottom w:val="single" w:sz="4" w:space="0" w:color="auto"/>
            </w:tcBorders>
            <w:shd w:val="clear" w:color="auto" w:fill="auto"/>
          </w:tcPr>
          <w:p w14:paraId="6BC33FCA" w14:textId="77777777" w:rsidR="009E1376" w:rsidRPr="00A639C4" w:rsidRDefault="009E1376" w:rsidP="004255F0">
            <w:pPr>
              <w:tabs>
                <w:tab w:val="left" w:pos="408"/>
              </w:tabs>
              <w:jc w:val="center"/>
              <w:rPr>
                <w:b/>
              </w:rPr>
            </w:pPr>
          </w:p>
        </w:tc>
        <w:tc>
          <w:tcPr>
            <w:tcW w:w="7796" w:type="dxa"/>
            <w:tcBorders>
              <w:bottom w:val="single" w:sz="4" w:space="0" w:color="auto"/>
            </w:tcBorders>
            <w:shd w:val="clear" w:color="auto" w:fill="auto"/>
          </w:tcPr>
          <w:p w14:paraId="26D1C44B" w14:textId="77777777" w:rsidR="005F353F" w:rsidRDefault="005F353F" w:rsidP="004255F0">
            <w:pPr>
              <w:jc w:val="both"/>
              <w:rPr>
                <w:b/>
                <w:color w:val="000000"/>
                <w:u w:val="single"/>
              </w:rPr>
            </w:pPr>
          </w:p>
          <w:p w14:paraId="3C7323CA" w14:textId="00285857" w:rsidR="009E1376" w:rsidRPr="00A639C4" w:rsidRDefault="009E1376" w:rsidP="004255F0">
            <w:pPr>
              <w:jc w:val="both"/>
              <w:rPr>
                <w:b/>
                <w:color w:val="000000"/>
                <w:u w:val="single"/>
              </w:rPr>
            </w:pPr>
            <w:r w:rsidRPr="00A639C4">
              <w:rPr>
                <w:b/>
                <w:color w:val="000000"/>
                <w:u w:val="single"/>
              </w:rPr>
              <w:t>Wykonawca wraz z ofertą jest zobowiązany złożyć:</w:t>
            </w:r>
          </w:p>
          <w:p w14:paraId="2830DC85" w14:textId="77777777" w:rsidR="009E1376" w:rsidRPr="00A639C4" w:rsidRDefault="009E1376" w:rsidP="004255F0">
            <w:pPr>
              <w:jc w:val="both"/>
              <w:rPr>
                <w:color w:val="000000"/>
              </w:rPr>
            </w:pPr>
          </w:p>
          <w:p w14:paraId="3B0E6BB4" w14:textId="77777777" w:rsidR="00804ABE" w:rsidRPr="00BF0687" w:rsidRDefault="00804ABE" w:rsidP="004255F0">
            <w:pPr>
              <w:pStyle w:val="Akapitzlist"/>
              <w:numPr>
                <w:ilvl w:val="0"/>
                <w:numId w:val="18"/>
              </w:numPr>
              <w:jc w:val="both"/>
            </w:pPr>
            <w:r w:rsidRPr="00BF0687">
              <w:t>oświadczenie o niepodleganiu wykluczeniu;</w:t>
            </w:r>
          </w:p>
          <w:p w14:paraId="3346A69E" w14:textId="77777777" w:rsidR="00804ABE" w:rsidRPr="00BF0687" w:rsidRDefault="00804ABE" w:rsidP="004255F0">
            <w:pPr>
              <w:pStyle w:val="Akapitzlist"/>
              <w:numPr>
                <w:ilvl w:val="0"/>
                <w:numId w:val="18"/>
              </w:numPr>
              <w:jc w:val="both"/>
            </w:pPr>
            <w:r w:rsidRPr="00BF0687">
              <w:t>oświadczenie o spełnianiu warunków udziału w postępowaniu (o którym mowa w art. 125 ust. 2 Pzp);</w:t>
            </w:r>
          </w:p>
          <w:p w14:paraId="3D393F53" w14:textId="77777777" w:rsidR="00804ABE" w:rsidRPr="00BF0687" w:rsidRDefault="00804ABE" w:rsidP="004255F0">
            <w:pPr>
              <w:pStyle w:val="Akapitzlist"/>
              <w:numPr>
                <w:ilvl w:val="0"/>
                <w:numId w:val="18"/>
              </w:numPr>
              <w:jc w:val="both"/>
            </w:pPr>
            <w:r w:rsidRPr="00BF0687">
              <w:t>zobowiązanie innego podmiotu, o którym mowa w SWZ (jeżeli dotyczy);</w:t>
            </w:r>
          </w:p>
          <w:p w14:paraId="583F27AC" w14:textId="77777777" w:rsidR="00804ABE" w:rsidRPr="00BF0687" w:rsidRDefault="00804ABE" w:rsidP="004255F0">
            <w:pPr>
              <w:pStyle w:val="Akapitzlist"/>
              <w:numPr>
                <w:ilvl w:val="0"/>
                <w:numId w:val="18"/>
              </w:numPr>
              <w:jc w:val="both"/>
            </w:pPr>
            <w:r w:rsidRPr="00BF0687">
              <w:t>dokumenty, z których wynika prawo do podpisania oferty; odpowiednie pełnomocnictwa (jeżeli dotyczy);</w:t>
            </w:r>
          </w:p>
          <w:p w14:paraId="5E3CB745" w14:textId="2A992CD6" w:rsidR="00804ABE" w:rsidRPr="00BF0687" w:rsidRDefault="00804ABE" w:rsidP="004255F0">
            <w:pPr>
              <w:pStyle w:val="Akapitzlist"/>
              <w:numPr>
                <w:ilvl w:val="0"/>
                <w:numId w:val="18"/>
              </w:numPr>
              <w:jc w:val="both"/>
            </w:pPr>
            <w:r w:rsidRPr="00BF0687">
              <w:t>oświadczenie na podstawie art. 117 ust. 4 (jeżeli dotyczy tj. Konsorcja, Spółki cywilne)</w:t>
            </w:r>
          </w:p>
          <w:p w14:paraId="7F7AAA15" w14:textId="77777777" w:rsidR="005F353F" w:rsidRPr="00A639C4" w:rsidRDefault="005F353F" w:rsidP="009F4007">
            <w:pPr>
              <w:tabs>
                <w:tab w:val="left" w:pos="408"/>
              </w:tabs>
              <w:rPr>
                <w:b/>
              </w:rPr>
            </w:pPr>
          </w:p>
        </w:tc>
      </w:tr>
      <w:tr w:rsidR="009E1376" w:rsidRPr="00A639C4" w14:paraId="62B183E8" w14:textId="77777777" w:rsidTr="00A639C4">
        <w:tc>
          <w:tcPr>
            <w:tcW w:w="1384" w:type="dxa"/>
            <w:shd w:val="clear" w:color="auto" w:fill="BFBFBF" w:themeFill="background1" w:themeFillShade="BF"/>
          </w:tcPr>
          <w:p w14:paraId="5364FC06" w14:textId="77777777" w:rsidR="009E1376" w:rsidRPr="00A639C4" w:rsidRDefault="009E1376" w:rsidP="004255F0">
            <w:pPr>
              <w:tabs>
                <w:tab w:val="left" w:pos="408"/>
              </w:tabs>
              <w:jc w:val="center"/>
              <w:rPr>
                <w:b/>
              </w:rPr>
            </w:pPr>
            <w:r w:rsidRPr="00A639C4">
              <w:rPr>
                <w:b/>
              </w:rPr>
              <w:t>Pkt 17.1 IDW</w:t>
            </w:r>
          </w:p>
        </w:tc>
        <w:tc>
          <w:tcPr>
            <w:tcW w:w="7796" w:type="dxa"/>
            <w:shd w:val="clear" w:color="auto" w:fill="BFBFBF" w:themeFill="background1" w:themeFillShade="BF"/>
          </w:tcPr>
          <w:p w14:paraId="05DF4D9F" w14:textId="70FBCA70" w:rsidR="009E1376" w:rsidRPr="00A639C4" w:rsidRDefault="009E1376" w:rsidP="004255F0">
            <w:pPr>
              <w:rPr>
                <w:b/>
              </w:rPr>
            </w:pPr>
            <w:r w:rsidRPr="00A639C4">
              <w:rPr>
                <w:b/>
              </w:rPr>
              <w:t>Wymagania dotyczące wadium</w:t>
            </w:r>
          </w:p>
        </w:tc>
      </w:tr>
      <w:tr w:rsidR="009E1376" w:rsidRPr="00A639C4" w14:paraId="43ADAD82" w14:textId="77777777" w:rsidTr="00A639C4">
        <w:tc>
          <w:tcPr>
            <w:tcW w:w="1384" w:type="dxa"/>
            <w:tcBorders>
              <w:bottom w:val="single" w:sz="4" w:space="0" w:color="auto"/>
            </w:tcBorders>
            <w:shd w:val="clear" w:color="auto" w:fill="auto"/>
          </w:tcPr>
          <w:p w14:paraId="4F1E4F7F" w14:textId="77777777" w:rsidR="009E1376" w:rsidRPr="00A639C4" w:rsidRDefault="009E1376" w:rsidP="004255F0">
            <w:pPr>
              <w:tabs>
                <w:tab w:val="left" w:pos="408"/>
              </w:tabs>
              <w:jc w:val="center"/>
              <w:rPr>
                <w:b/>
              </w:rPr>
            </w:pPr>
          </w:p>
        </w:tc>
        <w:tc>
          <w:tcPr>
            <w:tcW w:w="7796" w:type="dxa"/>
            <w:tcBorders>
              <w:bottom w:val="single" w:sz="4" w:space="0" w:color="auto"/>
            </w:tcBorders>
            <w:shd w:val="clear" w:color="auto" w:fill="auto"/>
          </w:tcPr>
          <w:p w14:paraId="29079D67" w14:textId="77777777" w:rsidR="00804ABE" w:rsidRPr="00BF0687" w:rsidRDefault="00804ABE" w:rsidP="004255F0">
            <w:pPr>
              <w:ind w:left="720"/>
              <w:jc w:val="both"/>
            </w:pPr>
          </w:p>
          <w:p w14:paraId="242E4931" w14:textId="17064DBF" w:rsidR="00804ABE" w:rsidRPr="00BF0687" w:rsidRDefault="00804ABE" w:rsidP="004255F0">
            <w:pPr>
              <w:jc w:val="both"/>
            </w:pPr>
            <w:r w:rsidRPr="00BF0687">
              <w:t xml:space="preserve">Zamawiający </w:t>
            </w:r>
            <w:r w:rsidR="005F353F" w:rsidRPr="005F353F">
              <w:rPr>
                <w:b/>
                <w:bCs/>
                <w:u w:val="single"/>
              </w:rPr>
              <w:t xml:space="preserve">nie </w:t>
            </w:r>
            <w:r w:rsidRPr="00BF0687">
              <w:rPr>
                <w:b/>
                <w:u w:val="single"/>
              </w:rPr>
              <w:t xml:space="preserve">przewiduje </w:t>
            </w:r>
            <w:r w:rsidRPr="00BF0687">
              <w:t>obowiązk</w:t>
            </w:r>
            <w:r w:rsidR="005F353F">
              <w:t>u</w:t>
            </w:r>
            <w:r w:rsidRPr="00BF0687">
              <w:t xml:space="preserve"> wniesienia wadium przed upływem terminu składania ofert</w:t>
            </w:r>
            <w:r w:rsidR="005F353F">
              <w:t>.</w:t>
            </w:r>
          </w:p>
          <w:p w14:paraId="1675E3B7" w14:textId="77777777" w:rsidR="009E1376" w:rsidRPr="00A639C4" w:rsidRDefault="009E1376" w:rsidP="004255F0">
            <w:pPr>
              <w:tabs>
                <w:tab w:val="left" w:pos="408"/>
              </w:tabs>
              <w:rPr>
                <w:b/>
              </w:rPr>
            </w:pPr>
          </w:p>
        </w:tc>
      </w:tr>
      <w:tr w:rsidR="0075264D" w:rsidRPr="00A639C4" w14:paraId="6383B0AB" w14:textId="77777777" w:rsidTr="00A639C4">
        <w:tc>
          <w:tcPr>
            <w:tcW w:w="1384" w:type="dxa"/>
            <w:shd w:val="clear" w:color="auto" w:fill="BFBFBF" w:themeFill="background1" w:themeFillShade="BF"/>
          </w:tcPr>
          <w:p w14:paraId="68B9A715" w14:textId="77777777" w:rsidR="0075264D" w:rsidRPr="00A639C4" w:rsidRDefault="0075264D" w:rsidP="004255F0">
            <w:pPr>
              <w:tabs>
                <w:tab w:val="left" w:pos="408"/>
              </w:tabs>
              <w:jc w:val="center"/>
              <w:rPr>
                <w:b/>
              </w:rPr>
            </w:pPr>
            <w:r w:rsidRPr="00A639C4">
              <w:rPr>
                <w:b/>
              </w:rPr>
              <w:t>Pkt 19.1 IDW</w:t>
            </w:r>
          </w:p>
          <w:p w14:paraId="3380D668" w14:textId="354BBE2D" w:rsidR="0075264D" w:rsidRPr="00A639C4" w:rsidRDefault="0075264D" w:rsidP="004255F0">
            <w:pPr>
              <w:tabs>
                <w:tab w:val="left" w:pos="408"/>
              </w:tabs>
              <w:jc w:val="center"/>
              <w:rPr>
                <w:b/>
              </w:rPr>
            </w:pPr>
            <w:r w:rsidRPr="00A639C4">
              <w:rPr>
                <w:b/>
              </w:rPr>
              <w:t>Pkt 19.2 IDW</w:t>
            </w:r>
          </w:p>
        </w:tc>
        <w:tc>
          <w:tcPr>
            <w:tcW w:w="7796" w:type="dxa"/>
            <w:shd w:val="clear" w:color="auto" w:fill="BFBFBF" w:themeFill="background1" w:themeFillShade="BF"/>
          </w:tcPr>
          <w:p w14:paraId="70AE230E" w14:textId="35CB8D41" w:rsidR="0075264D" w:rsidRPr="00A639C4" w:rsidRDefault="0075264D" w:rsidP="004255F0">
            <w:pPr>
              <w:tabs>
                <w:tab w:val="left" w:pos="408"/>
              </w:tabs>
              <w:rPr>
                <w:b/>
              </w:rPr>
            </w:pPr>
            <w:r w:rsidRPr="00A639C4">
              <w:rPr>
                <w:b/>
                <w:bCs/>
                <w:color w:val="000000"/>
              </w:rPr>
              <w:t>Termin składania i otwarcia ofert</w:t>
            </w:r>
          </w:p>
        </w:tc>
      </w:tr>
      <w:tr w:rsidR="0075264D" w:rsidRPr="00A639C4" w14:paraId="77F13A21" w14:textId="77777777" w:rsidTr="0075264D">
        <w:tc>
          <w:tcPr>
            <w:tcW w:w="1384" w:type="dxa"/>
            <w:shd w:val="clear" w:color="auto" w:fill="auto"/>
          </w:tcPr>
          <w:p w14:paraId="68896D38" w14:textId="77777777" w:rsidR="0075264D" w:rsidRPr="00A639C4" w:rsidRDefault="0075264D" w:rsidP="004255F0">
            <w:pPr>
              <w:tabs>
                <w:tab w:val="left" w:pos="408"/>
              </w:tabs>
              <w:jc w:val="center"/>
              <w:rPr>
                <w:b/>
              </w:rPr>
            </w:pPr>
          </w:p>
        </w:tc>
        <w:tc>
          <w:tcPr>
            <w:tcW w:w="7796" w:type="dxa"/>
            <w:shd w:val="clear" w:color="auto" w:fill="auto"/>
          </w:tcPr>
          <w:p w14:paraId="0877EA54" w14:textId="77777777" w:rsidR="00804ABE" w:rsidRDefault="00804ABE" w:rsidP="004255F0">
            <w:pPr>
              <w:widowControl/>
              <w:autoSpaceDE/>
              <w:autoSpaceDN/>
              <w:adjustRightInd/>
              <w:jc w:val="both"/>
              <w:rPr>
                <w:rFonts w:eastAsia="Calibri"/>
              </w:rPr>
            </w:pPr>
          </w:p>
          <w:p w14:paraId="5EE0A3E1" w14:textId="504E7B47" w:rsidR="00804ABE" w:rsidRPr="00BF0687" w:rsidRDefault="00804ABE" w:rsidP="004255F0">
            <w:pPr>
              <w:widowControl/>
              <w:autoSpaceDE/>
              <w:autoSpaceDN/>
              <w:adjustRightInd/>
              <w:jc w:val="both"/>
            </w:pPr>
            <w:r w:rsidRPr="00BF0687">
              <w:rPr>
                <w:rFonts w:eastAsia="Calibri"/>
              </w:rPr>
              <w:t xml:space="preserve">Termin składania ofert </w:t>
            </w:r>
            <w:r w:rsidR="00134BAA">
              <w:rPr>
                <w:b/>
              </w:rPr>
              <w:t>0</w:t>
            </w:r>
            <w:r w:rsidR="005F353F">
              <w:rPr>
                <w:b/>
              </w:rPr>
              <w:t>4</w:t>
            </w:r>
            <w:r w:rsidRPr="00BF0687">
              <w:rPr>
                <w:b/>
              </w:rPr>
              <w:t>.</w:t>
            </w:r>
            <w:r w:rsidR="005F353F">
              <w:rPr>
                <w:b/>
              </w:rPr>
              <w:t>1</w:t>
            </w:r>
            <w:r w:rsidRPr="00BF0687">
              <w:rPr>
                <w:b/>
              </w:rPr>
              <w:t xml:space="preserve">0.2024 r. do godziny </w:t>
            </w:r>
            <w:r w:rsidRPr="00BF0687">
              <w:rPr>
                <w:b/>
                <w:bCs/>
                <w:caps/>
              </w:rPr>
              <w:t>09:00</w:t>
            </w:r>
            <w:r w:rsidRPr="00BF0687">
              <w:t>.</w:t>
            </w:r>
          </w:p>
          <w:p w14:paraId="650D99EE" w14:textId="77777777" w:rsidR="00804ABE" w:rsidRDefault="00804ABE" w:rsidP="004255F0">
            <w:pPr>
              <w:jc w:val="both"/>
              <w:rPr>
                <w:rFonts w:eastAsia="Calibri"/>
              </w:rPr>
            </w:pPr>
          </w:p>
          <w:p w14:paraId="6AFBE6C5" w14:textId="75ED8923" w:rsidR="00804ABE" w:rsidRPr="00BF0687" w:rsidRDefault="00804ABE" w:rsidP="004255F0">
            <w:pPr>
              <w:jc w:val="both"/>
            </w:pPr>
            <w:r w:rsidRPr="00BF0687">
              <w:rPr>
                <w:rFonts w:eastAsia="Calibri"/>
              </w:rPr>
              <w:t xml:space="preserve">Termin otwarcia ofert </w:t>
            </w:r>
            <w:r w:rsidR="00134BAA">
              <w:rPr>
                <w:b/>
              </w:rPr>
              <w:t>0</w:t>
            </w:r>
            <w:r w:rsidR="005F353F">
              <w:rPr>
                <w:b/>
              </w:rPr>
              <w:t>4</w:t>
            </w:r>
            <w:r w:rsidRPr="00BF0687">
              <w:rPr>
                <w:b/>
              </w:rPr>
              <w:t>.</w:t>
            </w:r>
            <w:r w:rsidR="005F353F">
              <w:rPr>
                <w:b/>
              </w:rPr>
              <w:t>1</w:t>
            </w:r>
            <w:r w:rsidRPr="00BF0687">
              <w:rPr>
                <w:b/>
              </w:rPr>
              <w:t xml:space="preserve">0.2024 r. godzina </w:t>
            </w:r>
            <w:r w:rsidRPr="00BF0687">
              <w:rPr>
                <w:b/>
                <w:bCs/>
                <w:caps/>
              </w:rPr>
              <w:t>09:15</w:t>
            </w:r>
          </w:p>
          <w:p w14:paraId="3C5EFDB1" w14:textId="77777777" w:rsidR="00804ABE" w:rsidRDefault="00804ABE" w:rsidP="004255F0">
            <w:pPr>
              <w:tabs>
                <w:tab w:val="left" w:pos="408"/>
              </w:tabs>
            </w:pPr>
          </w:p>
          <w:p w14:paraId="5CD11351" w14:textId="55D736D2" w:rsidR="00804ABE" w:rsidRPr="00BF0687" w:rsidRDefault="00804ABE" w:rsidP="004255F0">
            <w:pPr>
              <w:tabs>
                <w:tab w:val="left" w:pos="408"/>
              </w:tabs>
            </w:pPr>
            <w:r w:rsidRPr="00BF0687">
              <w:t>Ofertę należy złożyć na zasadach określonych w Pzp i SWZ.</w:t>
            </w:r>
          </w:p>
          <w:p w14:paraId="7B2FE857" w14:textId="63C6DB87" w:rsidR="0075264D" w:rsidRPr="00A639C4" w:rsidRDefault="0075264D" w:rsidP="004255F0">
            <w:pPr>
              <w:tabs>
                <w:tab w:val="left" w:pos="408"/>
              </w:tabs>
              <w:rPr>
                <w:b/>
              </w:rPr>
            </w:pPr>
          </w:p>
        </w:tc>
      </w:tr>
      <w:tr w:rsidR="0075264D" w:rsidRPr="00A639C4" w14:paraId="0F29E392" w14:textId="77777777" w:rsidTr="00A639C4">
        <w:tc>
          <w:tcPr>
            <w:tcW w:w="1384" w:type="dxa"/>
            <w:shd w:val="clear" w:color="auto" w:fill="BFBFBF" w:themeFill="background1" w:themeFillShade="BF"/>
          </w:tcPr>
          <w:p w14:paraId="78E63FBF" w14:textId="77777777" w:rsidR="0075264D" w:rsidRPr="00A639C4" w:rsidRDefault="0075264D" w:rsidP="004255F0">
            <w:pPr>
              <w:tabs>
                <w:tab w:val="left" w:pos="408"/>
              </w:tabs>
              <w:jc w:val="center"/>
              <w:rPr>
                <w:b/>
              </w:rPr>
            </w:pPr>
            <w:r w:rsidRPr="00A639C4">
              <w:rPr>
                <w:b/>
              </w:rPr>
              <w:t>Pkt 18.1 IDW</w:t>
            </w:r>
          </w:p>
        </w:tc>
        <w:tc>
          <w:tcPr>
            <w:tcW w:w="7796" w:type="dxa"/>
            <w:shd w:val="clear" w:color="auto" w:fill="BFBFBF" w:themeFill="background1" w:themeFillShade="BF"/>
          </w:tcPr>
          <w:p w14:paraId="34287554" w14:textId="77777777" w:rsidR="0075264D" w:rsidRPr="00A639C4" w:rsidRDefault="0075264D" w:rsidP="004255F0">
            <w:pPr>
              <w:tabs>
                <w:tab w:val="left" w:pos="408"/>
              </w:tabs>
              <w:rPr>
                <w:b/>
              </w:rPr>
            </w:pPr>
            <w:r w:rsidRPr="00A639C4">
              <w:rPr>
                <w:b/>
              </w:rPr>
              <w:t>Termin związania ofertą</w:t>
            </w:r>
          </w:p>
        </w:tc>
      </w:tr>
      <w:tr w:rsidR="0075264D" w:rsidRPr="00A639C4" w14:paraId="2C626DDD" w14:textId="77777777" w:rsidTr="00A639C4">
        <w:tc>
          <w:tcPr>
            <w:tcW w:w="1384" w:type="dxa"/>
            <w:tcBorders>
              <w:bottom w:val="single" w:sz="4" w:space="0" w:color="auto"/>
            </w:tcBorders>
            <w:shd w:val="clear" w:color="auto" w:fill="auto"/>
          </w:tcPr>
          <w:p w14:paraId="550C1987" w14:textId="77777777" w:rsidR="0075264D" w:rsidRPr="00A639C4" w:rsidRDefault="0075264D" w:rsidP="004255F0">
            <w:pPr>
              <w:tabs>
                <w:tab w:val="left" w:pos="408"/>
              </w:tabs>
              <w:jc w:val="center"/>
              <w:rPr>
                <w:b/>
              </w:rPr>
            </w:pPr>
          </w:p>
        </w:tc>
        <w:tc>
          <w:tcPr>
            <w:tcW w:w="7796" w:type="dxa"/>
            <w:tcBorders>
              <w:bottom w:val="single" w:sz="4" w:space="0" w:color="auto"/>
            </w:tcBorders>
            <w:shd w:val="clear" w:color="auto" w:fill="auto"/>
          </w:tcPr>
          <w:p w14:paraId="099A5223" w14:textId="77777777" w:rsidR="004255F0" w:rsidRDefault="004255F0" w:rsidP="004255F0">
            <w:pPr>
              <w:tabs>
                <w:tab w:val="left" w:pos="408"/>
              </w:tabs>
            </w:pPr>
          </w:p>
          <w:p w14:paraId="77100D3A" w14:textId="1571FE74" w:rsidR="00804ABE" w:rsidRPr="00BF0687" w:rsidRDefault="00804ABE" w:rsidP="004255F0">
            <w:pPr>
              <w:tabs>
                <w:tab w:val="left" w:pos="408"/>
              </w:tabs>
            </w:pPr>
            <w:r w:rsidRPr="00BF0687">
              <w:t xml:space="preserve">Termin związania ofertą </w:t>
            </w:r>
            <w:r w:rsidR="00134BAA">
              <w:rPr>
                <w:b/>
                <w:bCs/>
              </w:rPr>
              <w:t>0</w:t>
            </w:r>
            <w:r w:rsidR="005F353F">
              <w:rPr>
                <w:b/>
                <w:bCs/>
              </w:rPr>
              <w:t>2</w:t>
            </w:r>
            <w:r w:rsidRPr="00BF0687">
              <w:rPr>
                <w:b/>
                <w:bCs/>
              </w:rPr>
              <w:t>.</w:t>
            </w:r>
            <w:r w:rsidR="00705B90">
              <w:rPr>
                <w:b/>
                <w:bCs/>
              </w:rPr>
              <w:t>1</w:t>
            </w:r>
            <w:r w:rsidR="005F353F">
              <w:rPr>
                <w:b/>
                <w:bCs/>
              </w:rPr>
              <w:t>1</w:t>
            </w:r>
            <w:r w:rsidRPr="00BF0687">
              <w:rPr>
                <w:b/>
                <w:bCs/>
              </w:rPr>
              <w:t>.2024 r</w:t>
            </w:r>
            <w:r w:rsidRPr="00BF0687">
              <w:t>.</w:t>
            </w:r>
          </w:p>
          <w:p w14:paraId="51C92377" w14:textId="1FB4AF60" w:rsidR="0075264D" w:rsidRPr="00A639C4" w:rsidRDefault="0075264D" w:rsidP="004255F0">
            <w:pPr>
              <w:tabs>
                <w:tab w:val="left" w:pos="408"/>
              </w:tabs>
            </w:pPr>
          </w:p>
        </w:tc>
      </w:tr>
      <w:tr w:rsidR="0075264D" w:rsidRPr="00A639C4" w14:paraId="19C18581" w14:textId="77777777" w:rsidTr="00A639C4">
        <w:tc>
          <w:tcPr>
            <w:tcW w:w="1384" w:type="dxa"/>
            <w:shd w:val="clear" w:color="auto" w:fill="BFBFBF" w:themeFill="background1" w:themeFillShade="BF"/>
          </w:tcPr>
          <w:p w14:paraId="19725769" w14:textId="77777777" w:rsidR="0075264D" w:rsidRPr="00A639C4" w:rsidRDefault="0075264D" w:rsidP="004255F0">
            <w:pPr>
              <w:tabs>
                <w:tab w:val="left" w:pos="408"/>
              </w:tabs>
              <w:jc w:val="center"/>
              <w:rPr>
                <w:b/>
              </w:rPr>
            </w:pPr>
            <w:r w:rsidRPr="00A639C4">
              <w:rPr>
                <w:b/>
              </w:rPr>
              <w:t>Pkt 20.2 IDW</w:t>
            </w:r>
          </w:p>
        </w:tc>
        <w:tc>
          <w:tcPr>
            <w:tcW w:w="7796" w:type="dxa"/>
            <w:shd w:val="clear" w:color="auto" w:fill="BFBFBF" w:themeFill="background1" w:themeFillShade="BF"/>
          </w:tcPr>
          <w:p w14:paraId="7D21EE57" w14:textId="1B97F9B0" w:rsidR="0075264D" w:rsidRPr="00A639C4" w:rsidRDefault="0075264D" w:rsidP="004255F0">
            <w:pPr>
              <w:ind w:left="360"/>
              <w:jc w:val="center"/>
              <w:rPr>
                <w:b/>
                <w:bCs/>
                <w:color w:val="000000"/>
              </w:rPr>
            </w:pPr>
            <w:r w:rsidRPr="00A639C4">
              <w:rPr>
                <w:b/>
                <w:bCs/>
                <w:color w:val="000000"/>
              </w:rPr>
              <w:t>Opis kryteriów oceny ofert, wraz z podaniem wag tych kryteriów i sposobu oceny ofert</w:t>
            </w:r>
          </w:p>
        </w:tc>
      </w:tr>
      <w:tr w:rsidR="0075264D" w:rsidRPr="00A639C4" w14:paraId="5716D869" w14:textId="77777777" w:rsidTr="00A639C4">
        <w:tc>
          <w:tcPr>
            <w:tcW w:w="1384" w:type="dxa"/>
            <w:tcBorders>
              <w:bottom w:val="single" w:sz="4" w:space="0" w:color="auto"/>
            </w:tcBorders>
            <w:shd w:val="clear" w:color="auto" w:fill="auto"/>
          </w:tcPr>
          <w:p w14:paraId="302B701E" w14:textId="77777777" w:rsidR="0075264D" w:rsidRPr="00A639C4" w:rsidRDefault="0075264D" w:rsidP="004255F0">
            <w:pPr>
              <w:tabs>
                <w:tab w:val="left" w:pos="408"/>
              </w:tabs>
              <w:jc w:val="center"/>
              <w:rPr>
                <w:b/>
              </w:rPr>
            </w:pPr>
          </w:p>
        </w:tc>
        <w:tc>
          <w:tcPr>
            <w:tcW w:w="7796" w:type="dxa"/>
            <w:tcBorders>
              <w:bottom w:val="single" w:sz="4" w:space="0" w:color="auto"/>
            </w:tcBorders>
            <w:shd w:val="clear" w:color="auto" w:fill="auto"/>
          </w:tcPr>
          <w:p w14:paraId="3E349486" w14:textId="77777777" w:rsidR="00804ABE" w:rsidRPr="00DB73A1" w:rsidRDefault="00804ABE" w:rsidP="004255F0">
            <w:pPr>
              <w:widowControl/>
              <w:autoSpaceDE/>
              <w:autoSpaceDN/>
              <w:adjustRightInd/>
              <w:jc w:val="both"/>
            </w:pPr>
          </w:p>
          <w:p w14:paraId="5F75668B" w14:textId="5B1E8DD9" w:rsidR="00804ABE" w:rsidRPr="00DB73A1" w:rsidRDefault="00804ABE" w:rsidP="004255F0">
            <w:pPr>
              <w:widowControl/>
              <w:autoSpaceDE/>
              <w:autoSpaceDN/>
              <w:adjustRightInd/>
              <w:jc w:val="both"/>
            </w:pPr>
            <w:r w:rsidRPr="00DB73A1">
              <w:t>Przy wyborze najkorzystniejszej oferty Zamawiający będzie się kierował następującymi kryteriami oceny ofert:</w:t>
            </w:r>
          </w:p>
          <w:p w14:paraId="6E531B03" w14:textId="77777777" w:rsidR="00804ABE" w:rsidRPr="00DB73A1" w:rsidRDefault="00804ABE" w:rsidP="004255F0">
            <w:pPr>
              <w:widowControl/>
              <w:autoSpaceDE/>
              <w:autoSpaceDN/>
              <w:adjustRightInd/>
              <w:jc w:val="both"/>
            </w:pPr>
          </w:p>
          <w:p w14:paraId="35EBBB36" w14:textId="03B5F366" w:rsidR="00804ABE" w:rsidRPr="00DB73A1" w:rsidRDefault="00804ABE" w:rsidP="004255F0">
            <w:pPr>
              <w:pStyle w:val="Akapitzlist"/>
              <w:widowControl/>
              <w:numPr>
                <w:ilvl w:val="0"/>
                <w:numId w:val="25"/>
              </w:numPr>
              <w:tabs>
                <w:tab w:val="clear" w:pos="1800"/>
                <w:tab w:val="num" w:pos="1459"/>
              </w:tabs>
              <w:autoSpaceDE/>
              <w:autoSpaceDN/>
              <w:adjustRightInd/>
              <w:ind w:left="344" w:hanging="283"/>
            </w:pPr>
            <w:r w:rsidRPr="00DB73A1">
              <w:rPr>
                <w:b/>
              </w:rPr>
              <w:t>Cena</w:t>
            </w:r>
            <w:r w:rsidR="00E471CF">
              <w:rPr>
                <w:b/>
              </w:rPr>
              <w:t xml:space="preserve"> brutto</w:t>
            </w:r>
            <w:r w:rsidRPr="00DB73A1">
              <w:t xml:space="preserve"> – waga kryterium 60 %;</w:t>
            </w:r>
          </w:p>
          <w:p w14:paraId="2D6E9094" w14:textId="3E980E51" w:rsidR="00804ABE" w:rsidRPr="00DB73A1" w:rsidRDefault="00804ABE" w:rsidP="004255F0">
            <w:pPr>
              <w:pStyle w:val="Akapitzlist"/>
              <w:widowControl/>
              <w:numPr>
                <w:ilvl w:val="0"/>
                <w:numId w:val="25"/>
              </w:numPr>
              <w:autoSpaceDE/>
              <w:autoSpaceDN/>
              <w:adjustRightInd/>
              <w:ind w:left="486"/>
              <w:contextualSpacing/>
              <w:jc w:val="both"/>
            </w:pPr>
            <w:r w:rsidRPr="00DB73A1">
              <w:rPr>
                <w:b/>
              </w:rPr>
              <w:t xml:space="preserve">Kryterium jakościowe – </w:t>
            </w:r>
            <w:r w:rsidR="00134BAA">
              <w:rPr>
                <w:b/>
              </w:rPr>
              <w:t>termin realizacji</w:t>
            </w:r>
            <w:r w:rsidRPr="00DB73A1">
              <w:t xml:space="preserve">  – waga kryterium 40 %.</w:t>
            </w:r>
          </w:p>
          <w:p w14:paraId="72EC82A1" w14:textId="77777777" w:rsidR="00804ABE" w:rsidRPr="00DB73A1" w:rsidRDefault="00804ABE" w:rsidP="004255F0">
            <w:pPr>
              <w:pStyle w:val="Akapitzlist"/>
              <w:widowControl/>
              <w:autoSpaceDE/>
              <w:autoSpaceDN/>
              <w:adjustRightInd/>
              <w:ind w:left="426"/>
              <w:jc w:val="both"/>
            </w:pPr>
            <w:r w:rsidRPr="00DB73A1">
              <w:tab/>
            </w:r>
          </w:p>
          <w:p w14:paraId="05AD4FBE" w14:textId="7F54CA94" w:rsidR="00804ABE" w:rsidRPr="00DB73A1" w:rsidRDefault="00804ABE" w:rsidP="004255F0">
            <w:pPr>
              <w:pStyle w:val="Akapitzlist"/>
              <w:widowControl/>
              <w:autoSpaceDE/>
              <w:autoSpaceDN/>
              <w:adjustRightInd/>
              <w:ind w:left="426"/>
              <w:jc w:val="both"/>
            </w:pPr>
            <w:r w:rsidRPr="00DB73A1">
              <w:t>Zasady oceny ofert w poszczególnych kryteriach:</w:t>
            </w:r>
          </w:p>
          <w:p w14:paraId="64D8D48F" w14:textId="251955C1" w:rsidR="00804ABE" w:rsidRPr="00DB73A1" w:rsidRDefault="00804ABE" w:rsidP="004255F0">
            <w:pPr>
              <w:pStyle w:val="Akapitzlist"/>
              <w:widowControl/>
              <w:numPr>
                <w:ilvl w:val="0"/>
                <w:numId w:val="7"/>
              </w:numPr>
              <w:autoSpaceDE/>
              <w:autoSpaceDN/>
              <w:adjustRightInd/>
              <w:ind w:left="910" w:hanging="484"/>
              <w:contextualSpacing/>
              <w:jc w:val="both"/>
              <w:rPr>
                <w:b/>
              </w:rPr>
            </w:pPr>
            <w:r w:rsidRPr="00DB73A1">
              <w:rPr>
                <w:b/>
              </w:rPr>
              <w:tab/>
              <w:t>Cena – waga kryterium 60 %</w:t>
            </w:r>
          </w:p>
          <w:p w14:paraId="6D5F560D" w14:textId="77777777" w:rsidR="00804ABE" w:rsidRPr="00DB73A1" w:rsidRDefault="00804ABE" w:rsidP="004255F0">
            <w:pPr>
              <w:pStyle w:val="Akapitzlist"/>
              <w:ind w:left="1452"/>
              <w:rPr>
                <w:b/>
              </w:rPr>
            </w:pPr>
            <w:r w:rsidRPr="00DB73A1">
              <w:rPr>
                <w:b/>
              </w:rPr>
              <w:t xml:space="preserve">cena najniższa brutto </w:t>
            </w:r>
            <w:r w:rsidRPr="00DB73A1">
              <w:rPr>
                <w:b/>
              </w:rPr>
              <w:br/>
              <w:t xml:space="preserve">spośród wszystkich złożonych ofert </w:t>
            </w:r>
            <w:r w:rsidRPr="00DB73A1">
              <w:rPr>
                <w:b/>
              </w:rPr>
              <w:br/>
              <w:t>niepodlegających odrzuceniu</w:t>
            </w:r>
          </w:p>
          <w:p w14:paraId="7D752455" w14:textId="57FB860F" w:rsidR="00804ABE" w:rsidRPr="00DB73A1" w:rsidRDefault="00804ABE" w:rsidP="004255F0">
            <w:pPr>
              <w:pStyle w:val="Akapitzlist"/>
              <w:ind w:left="1080"/>
              <w:jc w:val="both"/>
            </w:pPr>
            <w:r w:rsidRPr="00DB73A1">
              <w:rPr>
                <w:b/>
              </w:rPr>
              <w:t>C =</w:t>
            </w:r>
            <w:r w:rsidRPr="00DB73A1">
              <w:t xml:space="preserve"> </w:t>
            </w:r>
            <w:r w:rsidRPr="00DB73A1">
              <w:rPr>
                <w:strike/>
              </w:rPr>
              <w:t xml:space="preserve">------------------------------------------------ </w:t>
            </w:r>
            <w:r w:rsidRPr="00DB73A1">
              <w:t xml:space="preserve">  </w:t>
            </w:r>
            <w:r w:rsidRPr="00DB73A1">
              <w:rPr>
                <w:b/>
              </w:rPr>
              <w:t>x 100 pkt x 60 %</w:t>
            </w:r>
          </w:p>
          <w:p w14:paraId="11FFDB93" w14:textId="77777777" w:rsidR="00804ABE" w:rsidRPr="00DB73A1" w:rsidRDefault="00804ABE" w:rsidP="004255F0">
            <w:pPr>
              <w:pStyle w:val="Akapitzlist"/>
              <w:ind w:left="1452"/>
              <w:jc w:val="both"/>
              <w:rPr>
                <w:b/>
              </w:rPr>
            </w:pPr>
            <w:r w:rsidRPr="00DB73A1">
              <w:rPr>
                <w:b/>
              </w:rPr>
              <w:t>cena oferty ocenianej brutto</w:t>
            </w:r>
          </w:p>
          <w:p w14:paraId="1F975246" w14:textId="77777777" w:rsidR="00804ABE" w:rsidRPr="00DB73A1" w:rsidRDefault="00804ABE" w:rsidP="004255F0">
            <w:pPr>
              <w:pStyle w:val="Akapitzlist"/>
              <w:ind w:left="1452"/>
              <w:jc w:val="both"/>
              <w:rPr>
                <w:b/>
              </w:rPr>
            </w:pPr>
          </w:p>
          <w:p w14:paraId="7BBD381D" w14:textId="775EF645" w:rsidR="00DB73A1" w:rsidRDefault="00804ABE" w:rsidP="004255F0">
            <w:pPr>
              <w:pStyle w:val="Akapitzlist"/>
              <w:widowControl/>
              <w:numPr>
                <w:ilvl w:val="0"/>
                <w:numId w:val="7"/>
              </w:numPr>
              <w:autoSpaceDE/>
              <w:autoSpaceDN/>
              <w:adjustRightInd/>
              <w:contextualSpacing/>
              <w:jc w:val="both"/>
              <w:rPr>
                <w:b/>
              </w:rPr>
            </w:pPr>
            <w:r w:rsidRPr="00DB73A1">
              <w:rPr>
                <w:b/>
              </w:rPr>
              <w:t xml:space="preserve">Kryterium jakościowe – </w:t>
            </w:r>
            <w:r w:rsidR="00134BAA">
              <w:rPr>
                <w:b/>
              </w:rPr>
              <w:t>termin realizacji</w:t>
            </w:r>
            <w:r w:rsidRPr="00DB73A1">
              <w:rPr>
                <w:caps/>
              </w:rPr>
              <w:t xml:space="preserve"> </w:t>
            </w:r>
            <w:r w:rsidRPr="00DB73A1">
              <w:rPr>
                <w:b/>
              </w:rPr>
              <w:t>– waga kryterium 40 %</w:t>
            </w:r>
          </w:p>
          <w:p w14:paraId="3CF5F766" w14:textId="77777777" w:rsidR="00134BAA" w:rsidRPr="00134BAA" w:rsidRDefault="00134BAA" w:rsidP="00134BAA">
            <w:pPr>
              <w:jc w:val="both"/>
            </w:pPr>
            <w:r w:rsidRPr="00A639C4">
              <w:t xml:space="preserve">W tym </w:t>
            </w:r>
            <w:r w:rsidRPr="00134BAA">
              <w:t>kryterium zostanie przyznana następująca liczba punktów:</w:t>
            </w: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134BAA" w:rsidRPr="00134BAA" w14:paraId="6E866150" w14:textId="77777777" w:rsidTr="0034044D">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607FD9C2" w14:textId="77777777" w:rsidR="00134BAA" w:rsidRPr="00134BAA" w:rsidRDefault="00134BAA" w:rsidP="00DF0690">
                  <w:pPr>
                    <w:framePr w:hSpace="141" w:wrap="around" w:vAnchor="text" w:hAnchor="text" w:x="392" w:y="1"/>
                    <w:suppressOverlap/>
                    <w:jc w:val="center"/>
                    <w:rPr>
                      <w:b/>
                      <w:bCs/>
                    </w:rPr>
                  </w:pPr>
                  <w:r w:rsidRPr="00134BAA">
                    <w:rPr>
                      <w:b/>
                      <w:bCs/>
                    </w:rPr>
                    <w:t>Lp.</w:t>
                  </w:r>
                </w:p>
              </w:tc>
              <w:tc>
                <w:tcPr>
                  <w:tcW w:w="3646" w:type="dxa"/>
                  <w:tcBorders>
                    <w:top w:val="single" w:sz="4" w:space="0" w:color="auto"/>
                    <w:left w:val="nil"/>
                    <w:bottom w:val="single" w:sz="4" w:space="0" w:color="auto"/>
                    <w:right w:val="single" w:sz="4" w:space="0" w:color="auto"/>
                  </w:tcBorders>
                  <w:noWrap/>
                  <w:vAlign w:val="bottom"/>
                  <w:hideMark/>
                </w:tcPr>
                <w:p w14:paraId="23D1BF5F" w14:textId="77777777" w:rsidR="00134BAA" w:rsidRPr="00134BAA" w:rsidRDefault="00134BAA" w:rsidP="00DF0690">
                  <w:pPr>
                    <w:framePr w:hSpace="141" w:wrap="around" w:vAnchor="text" w:hAnchor="text" w:x="392" w:y="1"/>
                    <w:suppressOverlap/>
                    <w:jc w:val="center"/>
                    <w:rPr>
                      <w:b/>
                      <w:bCs/>
                    </w:rPr>
                  </w:pPr>
                  <w:r w:rsidRPr="00134BAA">
                    <w:rPr>
                      <w:b/>
                      <w:bCs/>
                    </w:rPr>
                    <w:t>Nazwa kryterium</w:t>
                  </w:r>
                </w:p>
              </w:tc>
              <w:tc>
                <w:tcPr>
                  <w:tcW w:w="1745" w:type="dxa"/>
                  <w:tcBorders>
                    <w:top w:val="single" w:sz="4" w:space="0" w:color="auto"/>
                    <w:left w:val="nil"/>
                    <w:bottom w:val="single" w:sz="4" w:space="0" w:color="auto"/>
                    <w:right w:val="single" w:sz="4" w:space="0" w:color="auto"/>
                  </w:tcBorders>
                  <w:noWrap/>
                  <w:vAlign w:val="center"/>
                  <w:hideMark/>
                </w:tcPr>
                <w:p w14:paraId="40A75576" w14:textId="77777777" w:rsidR="00134BAA" w:rsidRPr="00134BAA" w:rsidRDefault="00134BAA" w:rsidP="00DF0690">
                  <w:pPr>
                    <w:framePr w:hSpace="141" w:wrap="around" w:vAnchor="text" w:hAnchor="text" w:x="392" w:y="1"/>
                    <w:suppressOverlap/>
                    <w:jc w:val="center"/>
                    <w:rPr>
                      <w:b/>
                      <w:bCs/>
                    </w:rPr>
                  </w:pPr>
                  <w:r w:rsidRPr="00134BAA">
                    <w:rPr>
                      <w:b/>
                      <w:bCs/>
                    </w:rPr>
                    <w:t>punkty</w:t>
                  </w:r>
                </w:p>
              </w:tc>
            </w:tr>
            <w:tr w:rsidR="00134BAA" w:rsidRPr="00134BAA" w14:paraId="6FE708EB" w14:textId="77777777" w:rsidTr="0034044D">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345024E9" w14:textId="77777777" w:rsidR="00134BAA" w:rsidRPr="00134BAA" w:rsidRDefault="00134BAA" w:rsidP="00DF0690">
                  <w:pPr>
                    <w:framePr w:hSpace="141" w:wrap="around" w:vAnchor="text" w:hAnchor="text" w:x="392" w:y="1"/>
                    <w:suppressOverlap/>
                    <w:jc w:val="center"/>
                    <w:rPr>
                      <w:bCs/>
                    </w:rPr>
                  </w:pPr>
                  <w:r w:rsidRPr="00134BAA">
                    <w:rPr>
                      <w:bCs/>
                    </w:rPr>
                    <w:t>1.</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01A4D963" w14:textId="71DC73F4" w:rsidR="00134BAA" w:rsidRPr="00134BAA" w:rsidRDefault="00134BAA" w:rsidP="00DF0690">
                  <w:pPr>
                    <w:framePr w:hSpace="141" w:wrap="around" w:vAnchor="text" w:hAnchor="text" w:x="392" w:y="1"/>
                    <w:suppressOverlap/>
                    <w:jc w:val="center"/>
                    <w:rPr>
                      <w:bCs/>
                    </w:rPr>
                  </w:pPr>
                  <w:r w:rsidRPr="00134BAA">
                    <w:t xml:space="preserve">Realizacja zamówienia </w:t>
                  </w:r>
                  <w:r w:rsidRPr="00134BAA">
                    <w:rPr>
                      <w:b/>
                    </w:rPr>
                    <w:t>do </w:t>
                  </w:r>
                  <w:r w:rsidR="005F353F">
                    <w:rPr>
                      <w:b/>
                    </w:rPr>
                    <w:t>15</w:t>
                  </w:r>
                  <w:r w:rsidRPr="00134BAA">
                    <w:rPr>
                      <w:b/>
                    </w:rPr>
                    <w:t>.11.2024r.</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2C345D2B" w14:textId="77777777" w:rsidR="00134BAA" w:rsidRPr="00134BAA" w:rsidRDefault="00134BAA" w:rsidP="00DF0690">
                  <w:pPr>
                    <w:framePr w:hSpace="141" w:wrap="around" w:vAnchor="text" w:hAnchor="text" w:x="392" w:y="1"/>
                    <w:suppressOverlap/>
                    <w:jc w:val="center"/>
                    <w:rPr>
                      <w:bCs/>
                    </w:rPr>
                  </w:pPr>
                  <w:r w:rsidRPr="00134BAA">
                    <w:rPr>
                      <w:bCs/>
                    </w:rPr>
                    <w:t>0 pkt.</w:t>
                  </w:r>
                </w:p>
              </w:tc>
            </w:tr>
            <w:tr w:rsidR="00134BAA" w:rsidRPr="00134BAA" w14:paraId="439B3A47" w14:textId="77777777" w:rsidTr="0034044D">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0D4E23F6" w14:textId="77777777" w:rsidR="00134BAA" w:rsidRPr="00134BAA" w:rsidRDefault="00134BAA" w:rsidP="00DF0690">
                  <w:pPr>
                    <w:framePr w:hSpace="141" w:wrap="around" w:vAnchor="text" w:hAnchor="text" w:x="392" w:y="1"/>
                    <w:suppressOverlap/>
                    <w:jc w:val="center"/>
                    <w:rPr>
                      <w:bCs/>
                    </w:rPr>
                  </w:pPr>
                  <w:r w:rsidRPr="00134BAA">
                    <w:rPr>
                      <w:bCs/>
                    </w:rPr>
                    <w:t>2.</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09C6448D" w14:textId="621A6259" w:rsidR="00134BAA" w:rsidRPr="00134BAA" w:rsidRDefault="00134BAA" w:rsidP="00DF0690">
                  <w:pPr>
                    <w:framePr w:hSpace="141" w:wrap="around" w:vAnchor="text" w:hAnchor="text" w:x="392" w:y="1"/>
                    <w:suppressOverlap/>
                    <w:jc w:val="center"/>
                    <w:rPr>
                      <w:bCs/>
                    </w:rPr>
                  </w:pPr>
                  <w:r w:rsidRPr="00134BAA">
                    <w:t xml:space="preserve">Realizacja zamówienia </w:t>
                  </w:r>
                  <w:r w:rsidRPr="00134BAA">
                    <w:rPr>
                      <w:b/>
                    </w:rPr>
                    <w:t>do </w:t>
                  </w:r>
                  <w:r w:rsidR="005F353F">
                    <w:rPr>
                      <w:b/>
                    </w:rPr>
                    <w:t>31</w:t>
                  </w:r>
                  <w:r w:rsidRPr="00134BAA">
                    <w:rPr>
                      <w:b/>
                    </w:rPr>
                    <w:t>.10.2024r.</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164080D5" w14:textId="77777777" w:rsidR="00134BAA" w:rsidRPr="00134BAA" w:rsidRDefault="00134BAA" w:rsidP="00DF0690">
                  <w:pPr>
                    <w:framePr w:hSpace="141" w:wrap="around" w:vAnchor="text" w:hAnchor="text" w:x="392" w:y="1"/>
                    <w:suppressOverlap/>
                    <w:jc w:val="center"/>
                    <w:rPr>
                      <w:bCs/>
                    </w:rPr>
                  </w:pPr>
                  <w:r w:rsidRPr="00134BAA">
                    <w:rPr>
                      <w:bCs/>
                    </w:rPr>
                    <w:t>40 pkt.</w:t>
                  </w:r>
                </w:p>
              </w:tc>
            </w:tr>
          </w:tbl>
          <w:p w14:paraId="6CC760F1" w14:textId="77777777" w:rsidR="00804ABE" w:rsidRPr="00DB73A1" w:rsidRDefault="00804ABE" w:rsidP="004255F0">
            <w:pPr>
              <w:tabs>
                <w:tab w:val="left" w:pos="408"/>
              </w:tabs>
              <w:ind w:left="360"/>
              <w:jc w:val="both"/>
            </w:pPr>
          </w:p>
          <w:p w14:paraId="59C42BEC" w14:textId="15049B52" w:rsidR="0075264D" w:rsidRPr="00DB73A1" w:rsidRDefault="00804ABE" w:rsidP="004255F0">
            <w:pPr>
              <w:tabs>
                <w:tab w:val="left" w:pos="408"/>
              </w:tabs>
              <w:ind w:left="360"/>
              <w:jc w:val="both"/>
            </w:pPr>
            <w:r w:rsidRPr="00DB73A1">
              <w:t xml:space="preserve">Zamawiający przyzna zamówienie wykonawcy, który spełniając warunki określone </w:t>
            </w:r>
            <w:r w:rsidRPr="00DB73A1">
              <w:br/>
              <w:t>w niniejszej Instrukcji otrzyma największą liczbę punktów.</w:t>
            </w:r>
          </w:p>
          <w:p w14:paraId="0F700259" w14:textId="69A780CC" w:rsidR="005F353F" w:rsidRPr="00DB73A1" w:rsidRDefault="005F353F" w:rsidP="00F96081">
            <w:pPr>
              <w:tabs>
                <w:tab w:val="left" w:pos="408"/>
              </w:tabs>
              <w:jc w:val="both"/>
              <w:rPr>
                <w:b/>
              </w:rPr>
            </w:pPr>
          </w:p>
        </w:tc>
      </w:tr>
      <w:tr w:rsidR="0075264D" w:rsidRPr="00A639C4" w14:paraId="4AD9CE2B" w14:textId="77777777" w:rsidTr="00A639C4">
        <w:tc>
          <w:tcPr>
            <w:tcW w:w="1384" w:type="dxa"/>
            <w:shd w:val="clear" w:color="auto" w:fill="BFBFBF" w:themeFill="background1" w:themeFillShade="BF"/>
          </w:tcPr>
          <w:p w14:paraId="22792A4F" w14:textId="77777777" w:rsidR="0075264D" w:rsidRPr="00A639C4" w:rsidRDefault="0075264D" w:rsidP="004255F0">
            <w:pPr>
              <w:tabs>
                <w:tab w:val="left" w:pos="408"/>
              </w:tabs>
              <w:jc w:val="center"/>
              <w:rPr>
                <w:b/>
              </w:rPr>
            </w:pPr>
            <w:r w:rsidRPr="00A639C4">
              <w:rPr>
                <w:b/>
              </w:rPr>
              <w:lastRenderedPageBreak/>
              <w:t>Pkt 22.1 IDW</w:t>
            </w:r>
          </w:p>
        </w:tc>
        <w:tc>
          <w:tcPr>
            <w:tcW w:w="7796" w:type="dxa"/>
            <w:shd w:val="clear" w:color="auto" w:fill="BFBFBF" w:themeFill="background1" w:themeFillShade="BF"/>
          </w:tcPr>
          <w:p w14:paraId="752FEE67" w14:textId="601D41E4" w:rsidR="0075264D" w:rsidRPr="00A639C4" w:rsidRDefault="0075264D" w:rsidP="004255F0">
            <w:pPr>
              <w:rPr>
                <w:b/>
                <w:color w:val="000000"/>
              </w:rPr>
            </w:pPr>
            <w:r w:rsidRPr="00A639C4">
              <w:rPr>
                <w:b/>
                <w:color w:val="000000"/>
              </w:rPr>
              <w:t>Zabezpieczenie należytego wykonania umowy</w:t>
            </w:r>
          </w:p>
        </w:tc>
      </w:tr>
      <w:tr w:rsidR="0075264D" w:rsidRPr="00A639C4" w14:paraId="3E502C15" w14:textId="77777777" w:rsidTr="00A639C4">
        <w:tc>
          <w:tcPr>
            <w:tcW w:w="1384" w:type="dxa"/>
            <w:tcBorders>
              <w:bottom w:val="single" w:sz="4" w:space="0" w:color="auto"/>
            </w:tcBorders>
            <w:shd w:val="clear" w:color="auto" w:fill="auto"/>
          </w:tcPr>
          <w:p w14:paraId="20C71F11" w14:textId="77777777" w:rsidR="0075264D" w:rsidRPr="00A639C4" w:rsidRDefault="0075264D" w:rsidP="004255F0">
            <w:pPr>
              <w:tabs>
                <w:tab w:val="left" w:pos="408"/>
              </w:tabs>
              <w:jc w:val="center"/>
              <w:rPr>
                <w:b/>
              </w:rPr>
            </w:pPr>
          </w:p>
        </w:tc>
        <w:tc>
          <w:tcPr>
            <w:tcW w:w="7796" w:type="dxa"/>
            <w:tcBorders>
              <w:bottom w:val="single" w:sz="4" w:space="0" w:color="auto"/>
            </w:tcBorders>
            <w:shd w:val="clear" w:color="auto" w:fill="auto"/>
          </w:tcPr>
          <w:p w14:paraId="4ED7CC4E" w14:textId="0B87F40E" w:rsidR="00804ABE" w:rsidRPr="00B07530" w:rsidRDefault="00804ABE" w:rsidP="004255F0">
            <w:pPr>
              <w:contextualSpacing/>
              <w:jc w:val="both"/>
            </w:pPr>
            <w:r w:rsidRPr="00B07530">
              <w:t xml:space="preserve">Zamawiający </w:t>
            </w:r>
            <w:r w:rsidR="00705B90" w:rsidRPr="00705B90">
              <w:rPr>
                <w:b/>
                <w:bCs/>
                <w:u w:val="single"/>
              </w:rPr>
              <w:t xml:space="preserve">nie </w:t>
            </w:r>
            <w:r w:rsidRPr="00B07530">
              <w:rPr>
                <w:b/>
                <w:u w:val="single"/>
              </w:rPr>
              <w:t>przewid</w:t>
            </w:r>
            <w:r w:rsidR="008649A1">
              <w:rPr>
                <w:b/>
                <w:u w:val="single"/>
              </w:rPr>
              <w:t>U</w:t>
            </w:r>
            <w:r w:rsidRPr="00B07530">
              <w:rPr>
                <w:b/>
                <w:u w:val="single"/>
              </w:rPr>
              <w:t>je obowiązk</w:t>
            </w:r>
            <w:r w:rsidR="00705B90">
              <w:rPr>
                <w:b/>
                <w:u w:val="single"/>
              </w:rPr>
              <w:t>u</w:t>
            </w:r>
            <w:r w:rsidRPr="00B07530">
              <w:rPr>
                <w:b/>
                <w:u w:val="single"/>
              </w:rPr>
              <w:t xml:space="preserve"> wniesienia zabezpieczenia</w:t>
            </w:r>
            <w:r w:rsidRPr="00B07530">
              <w:t xml:space="preserve"> należytego wykonania umowy</w:t>
            </w:r>
            <w:r w:rsidR="00705B90">
              <w:t>.</w:t>
            </w:r>
          </w:p>
          <w:p w14:paraId="6FEBA61A" w14:textId="629FC3DC" w:rsidR="00804ABE" w:rsidRPr="00A639C4" w:rsidRDefault="00804ABE" w:rsidP="00705B90">
            <w:pPr>
              <w:jc w:val="both"/>
              <w:rPr>
                <w:b/>
              </w:rPr>
            </w:pPr>
          </w:p>
        </w:tc>
      </w:tr>
      <w:tr w:rsidR="0075264D" w:rsidRPr="00A639C4" w14:paraId="0579EB5D" w14:textId="77777777" w:rsidTr="00A639C4">
        <w:tc>
          <w:tcPr>
            <w:tcW w:w="1384" w:type="dxa"/>
            <w:shd w:val="clear" w:color="auto" w:fill="BFBFBF" w:themeFill="background1" w:themeFillShade="BF"/>
          </w:tcPr>
          <w:p w14:paraId="24B7E631" w14:textId="77777777" w:rsidR="0075264D" w:rsidRPr="00A639C4" w:rsidRDefault="0075264D" w:rsidP="004255F0">
            <w:pPr>
              <w:tabs>
                <w:tab w:val="left" w:pos="408"/>
              </w:tabs>
              <w:jc w:val="center"/>
              <w:rPr>
                <w:b/>
              </w:rPr>
            </w:pPr>
            <w:r w:rsidRPr="00A639C4">
              <w:rPr>
                <w:b/>
              </w:rPr>
              <w:t>Pkt 23.3 IDW</w:t>
            </w:r>
          </w:p>
        </w:tc>
        <w:tc>
          <w:tcPr>
            <w:tcW w:w="7796" w:type="dxa"/>
            <w:shd w:val="clear" w:color="auto" w:fill="BFBFBF" w:themeFill="background1" w:themeFillShade="BF"/>
          </w:tcPr>
          <w:p w14:paraId="1F5B1D26" w14:textId="27E8E538" w:rsidR="0075264D" w:rsidRPr="00A639C4" w:rsidRDefault="0075264D" w:rsidP="004255F0">
            <w:pPr>
              <w:rPr>
                <w:b/>
                <w:color w:val="000000"/>
              </w:rPr>
            </w:pPr>
            <w:r w:rsidRPr="00A639C4">
              <w:rPr>
                <w:b/>
                <w:color w:val="000000"/>
              </w:rPr>
              <w:t>Informacje o treści zawieranej umowy oraz możliwości jej zmiany</w:t>
            </w:r>
          </w:p>
        </w:tc>
      </w:tr>
      <w:tr w:rsidR="0075264D" w:rsidRPr="00A639C4" w14:paraId="523E0016" w14:textId="77777777" w:rsidTr="00A639C4">
        <w:tc>
          <w:tcPr>
            <w:tcW w:w="1384" w:type="dxa"/>
            <w:shd w:val="clear" w:color="auto" w:fill="auto"/>
          </w:tcPr>
          <w:p w14:paraId="3146F6DF" w14:textId="77777777" w:rsidR="0075264D" w:rsidRPr="00A639C4" w:rsidRDefault="0075264D" w:rsidP="004255F0">
            <w:pPr>
              <w:tabs>
                <w:tab w:val="left" w:pos="408"/>
              </w:tabs>
              <w:rPr>
                <w:b/>
              </w:rPr>
            </w:pPr>
          </w:p>
        </w:tc>
        <w:tc>
          <w:tcPr>
            <w:tcW w:w="7796" w:type="dxa"/>
            <w:shd w:val="clear" w:color="auto" w:fill="auto"/>
          </w:tcPr>
          <w:p w14:paraId="7DF4DB17" w14:textId="77777777" w:rsidR="00804ABE" w:rsidRDefault="00804ABE" w:rsidP="004255F0">
            <w:pPr>
              <w:tabs>
                <w:tab w:val="left" w:pos="408"/>
              </w:tabs>
              <w:jc w:val="both"/>
            </w:pPr>
          </w:p>
          <w:p w14:paraId="0F0DE236" w14:textId="4F9ABA96" w:rsidR="0075264D" w:rsidRPr="00A639C4" w:rsidRDefault="0075264D" w:rsidP="004255F0">
            <w:pPr>
              <w:tabs>
                <w:tab w:val="left" w:pos="408"/>
              </w:tabs>
              <w:jc w:val="both"/>
            </w:pPr>
            <w:r w:rsidRPr="00A639C4">
              <w:t xml:space="preserve">Zamawiający przewiduje możliwość zmiany zawartej umowy w stosunku do treści wybranej oferty w zakresie uregulowanym w art. 454-455 Pzp.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w:t>
            </w:r>
            <w:r>
              <w:br/>
            </w:r>
            <w:r w:rsidRPr="00A639C4">
              <w:t>z jego zobowiązaniem zawartym w ofercie. Zgodnie z art. 455. ust. 1. Pzp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IV SWZ umieszcza jasne, precyzyjne i jednoznaczne postanowienia umowne, które obejmują postanowienia dotyczące zasad wprowadzania zmian.</w:t>
            </w:r>
          </w:p>
          <w:p w14:paraId="786EEB18" w14:textId="593C6AFC" w:rsidR="0075264D" w:rsidRPr="00A639C4" w:rsidRDefault="0075264D" w:rsidP="004255F0">
            <w:pPr>
              <w:tabs>
                <w:tab w:val="left" w:pos="408"/>
              </w:tabs>
              <w:rPr>
                <w:b/>
              </w:rPr>
            </w:pPr>
          </w:p>
        </w:tc>
      </w:tr>
      <w:tr w:rsidR="0075264D" w:rsidRPr="00A639C4" w14:paraId="51138BCA" w14:textId="77777777" w:rsidTr="00A639C4">
        <w:tc>
          <w:tcPr>
            <w:tcW w:w="1384" w:type="dxa"/>
            <w:shd w:val="clear" w:color="auto" w:fill="BFBFBF" w:themeFill="background1" w:themeFillShade="BF"/>
          </w:tcPr>
          <w:p w14:paraId="6E98FFAE" w14:textId="32CCD497" w:rsidR="0075264D" w:rsidRPr="00A639C4" w:rsidRDefault="0075264D" w:rsidP="004255F0">
            <w:pPr>
              <w:tabs>
                <w:tab w:val="left" w:pos="408"/>
              </w:tabs>
              <w:jc w:val="center"/>
              <w:rPr>
                <w:b/>
              </w:rPr>
            </w:pPr>
            <w:r w:rsidRPr="00A639C4">
              <w:rPr>
                <w:b/>
              </w:rPr>
              <w:t>Pkt 1.8 IDW</w:t>
            </w:r>
          </w:p>
        </w:tc>
        <w:tc>
          <w:tcPr>
            <w:tcW w:w="7796" w:type="dxa"/>
            <w:shd w:val="clear" w:color="auto" w:fill="BFBFBF" w:themeFill="background1" w:themeFillShade="BF"/>
          </w:tcPr>
          <w:p w14:paraId="7E95BA28" w14:textId="77047639" w:rsidR="0075264D" w:rsidRPr="00A639C4" w:rsidRDefault="0075264D" w:rsidP="004255F0">
            <w:pPr>
              <w:tabs>
                <w:tab w:val="left" w:pos="408"/>
              </w:tabs>
            </w:pPr>
            <w:r w:rsidRPr="00A639C4">
              <w:rPr>
                <w:b/>
              </w:rPr>
              <w:t>Wskazanie osób uprawnionych do komunikowania się z wykonawcami;</w:t>
            </w:r>
          </w:p>
        </w:tc>
      </w:tr>
      <w:tr w:rsidR="0075264D" w:rsidRPr="00A639C4" w14:paraId="42CE9A98" w14:textId="77777777" w:rsidTr="00A639C4">
        <w:tc>
          <w:tcPr>
            <w:tcW w:w="1384" w:type="dxa"/>
            <w:shd w:val="clear" w:color="auto" w:fill="auto"/>
          </w:tcPr>
          <w:p w14:paraId="642FABC7" w14:textId="77777777" w:rsidR="0075264D" w:rsidRPr="00A639C4" w:rsidRDefault="0075264D" w:rsidP="004255F0">
            <w:pPr>
              <w:tabs>
                <w:tab w:val="left" w:pos="408"/>
              </w:tabs>
              <w:rPr>
                <w:b/>
              </w:rPr>
            </w:pPr>
          </w:p>
        </w:tc>
        <w:tc>
          <w:tcPr>
            <w:tcW w:w="7796" w:type="dxa"/>
            <w:shd w:val="clear" w:color="auto" w:fill="auto"/>
          </w:tcPr>
          <w:p w14:paraId="013872F4" w14:textId="77777777" w:rsidR="0075264D" w:rsidRPr="00A639C4" w:rsidRDefault="0075264D" w:rsidP="004255F0">
            <w:pPr>
              <w:jc w:val="both"/>
            </w:pPr>
            <w:r w:rsidRPr="00A639C4">
              <w:t>Do komunikowania się z wykonawcami uprawnione są następujące osoby:</w:t>
            </w:r>
          </w:p>
          <w:p w14:paraId="6D9EB30F" w14:textId="77777777" w:rsidR="0075264D" w:rsidRPr="00A639C4" w:rsidRDefault="0075264D" w:rsidP="004255F0">
            <w:pPr>
              <w:jc w:val="both"/>
            </w:pPr>
          </w:p>
          <w:p w14:paraId="7C483E08" w14:textId="77777777" w:rsidR="0075264D" w:rsidRPr="00A639C4" w:rsidRDefault="0075264D" w:rsidP="004255F0">
            <w:pPr>
              <w:jc w:val="both"/>
              <w:rPr>
                <w:b/>
              </w:rPr>
            </w:pPr>
            <w:r w:rsidRPr="00A639C4">
              <w:rPr>
                <w:b/>
              </w:rPr>
              <w:t>Organizacja postępowania:</w:t>
            </w:r>
          </w:p>
          <w:p w14:paraId="32227A73" w14:textId="77777777" w:rsidR="00804ABE" w:rsidRPr="00BF0687" w:rsidRDefault="00804ABE" w:rsidP="004255F0">
            <w:pPr>
              <w:pStyle w:val="Akapitzlist"/>
              <w:numPr>
                <w:ilvl w:val="0"/>
                <w:numId w:val="27"/>
              </w:numPr>
              <w:jc w:val="both"/>
            </w:pPr>
            <w:r w:rsidRPr="00BF0687">
              <w:t>Mariusz Górak – Naczelnik Wydziału Zamówień Publicznych</w:t>
            </w:r>
          </w:p>
          <w:p w14:paraId="6FC069B6" w14:textId="77777777" w:rsidR="00804ABE" w:rsidRPr="00BF0687" w:rsidRDefault="00804ABE" w:rsidP="004255F0">
            <w:pPr>
              <w:pStyle w:val="Akapitzlist"/>
              <w:numPr>
                <w:ilvl w:val="0"/>
                <w:numId w:val="27"/>
              </w:numPr>
              <w:jc w:val="both"/>
            </w:pPr>
            <w:r w:rsidRPr="00BF0687">
              <w:t>Adam Homa -  Sekretarz Komisji Przetargowej</w:t>
            </w:r>
          </w:p>
          <w:p w14:paraId="13DDE609" w14:textId="4F90BA66" w:rsidR="0075264D" w:rsidRPr="00A639C4" w:rsidRDefault="0075264D" w:rsidP="004255F0">
            <w:pPr>
              <w:tabs>
                <w:tab w:val="left" w:pos="408"/>
              </w:tabs>
            </w:pPr>
          </w:p>
        </w:tc>
      </w:tr>
      <w:tr w:rsidR="0075264D" w:rsidRPr="00A639C4" w14:paraId="011CBCE6" w14:textId="77777777" w:rsidTr="00621C71">
        <w:tc>
          <w:tcPr>
            <w:tcW w:w="9180" w:type="dxa"/>
            <w:gridSpan w:val="2"/>
            <w:shd w:val="clear" w:color="auto" w:fill="auto"/>
          </w:tcPr>
          <w:p w14:paraId="65BF90A3" w14:textId="068FA3EF" w:rsidR="0075264D" w:rsidRPr="00A639C4" w:rsidRDefault="0075264D" w:rsidP="004255F0">
            <w:pPr>
              <w:jc w:val="center"/>
            </w:pPr>
            <w:bookmarkStart w:id="4" w:name="_Hlk155339952"/>
            <w:r>
              <w:t>Koniec PIDP</w:t>
            </w:r>
          </w:p>
        </w:tc>
      </w:tr>
      <w:bookmarkEnd w:id="4"/>
    </w:tbl>
    <w:p w14:paraId="1D7F26FD" w14:textId="6192075A" w:rsidR="00304FB8" w:rsidRPr="000E368E" w:rsidRDefault="00304FB8" w:rsidP="004255F0"/>
    <w:sectPr w:rsidR="00304FB8" w:rsidRPr="000E368E" w:rsidSect="00A639C4">
      <w:headerReference w:type="default" r:id="rId9"/>
      <w:footerReference w:type="default" r:id="rId10"/>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0860F" w14:textId="77777777" w:rsidR="006D5B42" w:rsidRDefault="006D5B42" w:rsidP="00235CCF">
      <w:r>
        <w:separator/>
      </w:r>
    </w:p>
  </w:endnote>
  <w:endnote w:type="continuationSeparator" w:id="0">
    <w:p w14:paraId="2A6DCCE7" w14:textId="77777777" w:rsidR="006D5B42" w:rsidRDefault="006D5B42"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01E2" w14:textId="6027DA47" w:rsidR="00621C71" w:rsidRPr="0022552B" w:rsidRDefault="00621C71">
    <w:pPr>
      <w:pStyle w:val="Stopka"/>
      <w:jc w:val="right"/>
    </w:pPr>
    <w:r>
      <w:t>(w</w:t>
    </w:r>
    <w:r w:rsidRPr="0022552B">
      <w:t>ersja</w:t>
    </w:r>
    <w:r w:rsidR="009E661D">
      <w:t xml:space="preserve"> 3 z</w:t>
    </w:r>
    <w:r w:rsidRPr="0022552B">
      <w:t xml:space="preserve"> 2024</w:t>
    </w:r>
    <w:r>
      <w:t>)</w:t>
    </w:r>
  </w:p>
  <w:sdt>
    <w:sdtPr>
      <w:id w:val="845062845"/>
      <w:docPartObj>
        <w:docPartGallery w:val="Page Numbers (Bottom of Page)"/>
        <w:docPartUnique/>
      </w:docPartObj>
    </w:sdtPr>
    <w:sdtContent>
      <w:sdt>
        <w:sdtPr>
          <w:id w:val="-1769616900"/>
          <w:docPartObj>
            <w:docPartGallery w:val="Page Numbers (Top of Page)"/>
            <w:docPartUnique/>
          </w:docPartObj>
        </w:sdtPr>
        <w:sdtContent>
          <w:p w14:paraId="2410B217" w14:textId="42B7A711" w:rsidR="00621C71" w:rsidRPr="0022552B" w:rsidRDefault="00621C71">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00177E74">
              <w:rPr>
                <w:b/>
                <w:bCs/>
                <w:noProof/>
              </w:rPr>
              <w:t>1</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00177E74">
              <w:rPr>
                <w:b/>
                <w:bCs/>
                <w:noProof/>
              </w:rPr>
              <w:t>18</w:t>
            </w:r>
            <w:r w:rsidRPr="0022552B">
              <w:rPr>
                <w:b/>
                <w:bCs/>
              </w:rPr>
              <w:fldChar w:fldCharType="end"/>
            </w:r>
          </w:p>
        </w:sdtContent>
      </w:sdt>
    </w:sdtContent>
  </w:sdt>
  <w:p w14:paraId="01792C6C" w14:textId="4A2FC379" w:rsidR="00621C71" w:rsidRDefault="00621C71"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81F0C" w14:textId="77777777" w:rsidR="006D5B42" w:rsidRDefault="006D5B42" w:rsidP="00235CCF">
      <w:r>
        <w:separator/>
      </w:r>
    </w:p>
  </w:footnote>
  <w:footnote w:type="continuationSeparator" w:id="0">
    <w:p w14:paraId="398D585B" w14:textId="77777777" w:rsidR="006D5B42" w:rsidRDefault="006D5B42"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680"/>
      <w:gridCol w:w="5277"/>
    </w:tblGrid>
    <w:tr w:rsidR="00621C71" w:rsidRPr="00B74C3B" w14:paraId="57D9EA9A" w14:textId="77777777" w:rsidTr="00A639C4">
      <w:trPr>
        <w:trHeight w:val="296"/>
      </w:trPr>
      <w:tc>
        <w:tcPr>
          <w:tcW w:w="3680" w:type="dxa"/>
          <w:shd w:val="clear" w:color="auto" w:fill="FFFFFF"/>
        </w:tcPr>
        <w:p w14:paraId="27D43C0D" w14:textId="6FCACC98" w:rsidR="00621C71" w:rsidRPr="00B74C3B" w:rsidRDefault="00621C71" w:rsidP="009E1376">
          <w:pPr>
            <w:tabs>
              <w:tab w:val="left" w:pos="408"/>
            </w:tabs>
            <w:ind w:left="360"/>
            <w:jc w:val="center"/>
            <w:rPr>
              <w:b/>
            </w:rPr>
          </w:pPr>
          <w:bookmarkStart w:id="5"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534" w:type="dxa"/>
          <w:shd w:val="clear" w:color="auto" w:fill="FFFFFF"/>
          <w:vAlign w:val="center"/>
        </w:tcPr>
        <w:p w14:paraId="1905F66A" w14:textId="74E0F672"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177E74">
            <w:rPr>
              <w:b/>
              <w:color w:val="000000"/>
              <w:spacing w:val="-12"/>
              <w:lang w:eastAsia="x-none"/>
            </w:rPr>
            <w:t xml:space="preserve"> </w:t>
          </w:r>
          <w:r w:rsidRPr="00EA37E4">
            <w:rPr>
              <w:b/>
              <w:color w:val="000000"/>
              <w:spacing w:val="-12"/>
              <w:lang w:val="x-none" w:eastAsia="x-none"/>
            </w:rPr>
            <w:t xml:space="preserve">WARIANT </w:t>
          </w:r>
          <w:r w:rsidR="00710664">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Pzp)</w:t>
          </w:r>
        </w:p>
        <w:p w14:paraId="14107EB7" w14:textId="245C5A9C" w:rsidR="00621C71" w:rsidRPr="00B74C3B" w:rsidRDefault="00621C71" w:rsidP="009E1376">
          <w:pPr>
            <w:pStyle w:val="Nagwek"/>
            <w:jc w:val="center"/>
            <w:rPr>
              <w:b/>
            </w:rPr>
          </w:pPr>
          <w:r w:rsidRPr="00B74C3B">
            <w:rPr>
              <w:bCs/>
            </w:rPr>
            <w:t>Numer referencyjny:</w:t>
          </w:r>
          <w:r w:rsidRPr="00B74C3B">
            <w:rPr>
              <w:b/>
              <w:bCs/>
            </w:rPr>
            <w:t xml:space="preserve"> PZDW/WZP/243/</w:t>
          </w:r>
          <w:r w:rsidR="006F3CC9">
            <w:rPr>
              <w:b/>
              <w:bCs/>
            </w:rPr>
            <w:t>W</w:t>
          </w:r>
          <w:r w:rsidR="00756421">
            <w:rPr>
              <w:b/>
              <w:bCs/>
            </w:rPr>
            <w:t>R</w:t>
          </w:r>
          <w:r w:rsidR="006F3CC9">
            <w:rPr>
              <w:b/>
              <w:bCs/>
            </w:rPr>
            <w:t>/</w:t>
          </w:r>
          <w:r w:rsidR="00756421">
            <w:rPr>
              <w:b/>
              <w:bCs/>
            </w:rPr>
            <w:t>4</w:t>
          </w:r>
          <w:r w:rsidR="006F3CC9">
            <w:rPr>
              <w:b/>
              <w:bCs/>
            </w:rPr>
            <w:t>/2024</w:t>
          </w:r>
        </w:p>
      </w:tc>
    </w:tr>
    <w:tr w:rsidR="00621C71" w:rsidRPr="00B74C3B" w14:paraId="5389A671" w14:textId="77777777" w:rsidTr="00B74C3B">
      <w:trPr>
        <w:trHeight w:val="707"/>
      </w:trPr>
      <w:tc>
        <w:tcPr>
          <w:tcW w:w="9214" w:type="dxa"/>
          <w:gridSpan w:val="2"/>
          <w:shd w:val="clear" w:color="auto" w:fill="FFFFFF"/>
        </w:tcPr>
        <w:p w14:paraId="225E9889" w14:textId="12838502"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ROZDZIAŁ I - INSTRUKCJA DLA WYKONAWCÓW (IDW)</w:t>
          </w:r>
        </w:p>
        <w:p w14:paraId="62D18362" w14:textId="77777777"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p>
        <w:p w14:paraId="44037418" w14:textId="7B3AF6B0" w:rsidR="00621C71" w:rsidRPr="00B74C3B" w:rsidRDefault="00621C71"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5"/>
  </w:tbl>
  <w:p w14:paraId="76352D6B" w14:textId="77777777" w:rsidR="00621C71" w:rsidRPr="00B74C3B" w:rsidRDefault="00621C71" w:rsidP="00235CCF">
    <w:pPr>
      <w:pStyle w:val="Nagwek"/>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E48E1"/>
    <w:multiLevelType w:val="hybridMultilevel"/>
    <w:tmpl w:val="2632CA5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BD096C"/>
    <w:multiLevelType w:val="hybridMultilevel"/>
    <w:tmpl w:val="C4BCD72A"/>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5"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6"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F23C61"/>
    <w:multiLevelType w:val="hybridMultilevel"/>
    <w:tmpl w:val="31108F0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4"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F754A7"/>
    <w:multiLevelType w:val="hybridMultilevel"/>
    <w:tmpl w:val="B7A4BCC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7101931"/>
    <w:multiLevelType w:val="hybridMultilevel"/>
    <w:tmpl w:val="034A7F7C"/>
    <w:lvl w:ilvl="0" w:tplc="632274A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7F14BA6"/>
    <w:multiLevelType w:val="hybridMultilevel"/>
    <w:tmpl w:val="A60E0E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6613C0B"/>
    <w:multiLevelType w:val="hybridMultilevel"/>
    <w:tmpl w:val="41888F8A"/>
    <w:lvl w:ilvl="0" w:tplc="862262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D2F424B"/>
    <w:multiLevelType w:val="hybridMultilevel"/>
    <w:tmpl w:val="F8E27F1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A742A3"/>
    <w:multiLevelType w:val="hybridMultilevel"/>
    <w:tmpl w:val="F8F6A5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4" w15:restartNumberingAfterBreak="0">
    <w:nsid w:val="5CCC508B"/>
    <w:multiLevelType w:val="hybridMultilevel"/>
    <w:tmpl w:val="3F1ED6A4"/>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9"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2" w15:restartNumberingAfterBreak="0">
    <w:nsid w:val="76CF380D"/>
    <w:multiLevelType w:val="hybridMultilevel"/>
    <w:tmpl w:val="D4BEF99C"/>
    <w:lvl w:ilvl="0" w:tplc="04150001">
      <w:start w:val="1"/>
      <w:numFmt w:val="bullet"/>
      <w:lvlText w:val=""/>
      <w:lvlJc w:val="left"/>
      <w:pPr>
        <w:ind w:left="-169" w:hanging="360"/>
      </w:pPr>
      <w:rPr>
        <w:rFonts w:ascii="Symbol" w:hAnsi="Symbol" w:hint="default"/>
      </w:rPr>
    </w:lvl>
    <w:lvl w:ilvl="1" w:tplc="04150003" w:tentative="1">
      <w:start w:val="1"/>
      <w:numFmt w:val="bullet"/>
      <w:lvlText w:val="o"/>
      <w:lvlJc w:val="left"/>
      <w:pPr>
        <w:ind w:left="551" w:hanging="360"/>
      </w:pPr>
      <w:rPr>
        <w:rFonts w:ascii="Courier New" w:hAnsi="Courier New" w:cs="Courier New" w:hint="default"/>
      </w:rPr>
    </w:lvl>
    <w:lvl w:ilvl="2" w:tplc="04150005" w:tentative="1">
      <w:start w:val="1"/>
      <w:numFmt w:val="bullet"/>
      <w:lvlText w:val=""/>
      <w:lvlJc w:val="left"/>
      <w:pPr>
        <w:ind w:left="1271" w:hanging="360"/>
      </w:pPr>
      <w:rPr>
        <w:rFonts w:ascii="Wingdings" w:hAnsi="Wingdings" w:hint="default"/>
      </w:rPr>
    </w:lvl>
    <w:lvl w:ilvl="3" w:tplc="04150001" w:tentative="1">
      <w:start w:val="1"/>
      <w:numFmt w:val="bullet"/>
      <w:lvlText w:val=""/>
      <w:lvlJc w:val="left"/>
      <w:pPr>
        <w:ind w:left="1991" w:hanging="360"/>
      </w:pPr>
      <w:rPr>
        <w:rFonts w:ascii="Symbol" w:hAnsi="Symbol" w:hint="default"/>
      </w:rPr>
    </w:lvl>
    <w:lvl w:ilvl="4" w:tplc="04150003" w:tentative="1">
      <w:start w:val="1"/>
      <w:numFmt w:val="bullet"/>
      <w:lvlText w:val="o"/>
      <w:lvlJc w:val="left"/>
      <w:pPr>
        <w:ind w:left="2711" w:hanging="360"/>
      </w:pPr>
      <w:rPr>
        <w:rFonts w:ascii="Courier New" w:hAnsi="Courier New" w:cs="Courier New" w:hint="default"/>
      </w:rPr>
    </w:lvl>
    <w:lvl w:ilvl="5" w:tplc="04150005" w:tentative="1">
      <w:start w:val="1"/>
      <w:numFmt w:val="bullet"/>
      <w:lvlText w:val=""/>
      <w:lvlJc w:val="left"/>
      <w:pPr>
        <w:ind w:left="3431" w:hanging="360"/>
      </w:pPr>
      <w:rPr>
        <w:rFonts w:ascii="Wingdings" w:hAnsi="Wingdings" w:hint="default"/>
      </w:rPr>
    </w:lvl>
    <w:lvl w:ilvl="6" w:tplc="04150001" w:tentative="1">
      <w:start w:val="1"/>
      <w:numFmt w:val="bullet"/>
      <w:lvlText w:val=""/>
      <w:lvlJc w:val="left"/>
      <w:pPr>
        <w:ind w:left="4151" w:hanging="360"/>
      </w:pPr>
      <w:rPr>
        <w:rFonts w:ascii="Symbol" w:hAnsi="Symbol" w:hint="default"/>
      </w:rPr>
    </w:lvl>
    <w:lvl w:ilvl="7" w:tplc="04150003" w:tentative="1">
      <w:start w:val="1"/>
      <w:numFmt w:val="bullet"/>
      <w:lvlText w:val="o"/>
      <w:lvlJc w:val="left"/>
      <w:pPr>
        <w:ind w:left="4871" w:hanging="360"/>
      </w:pPr>
      <w:rPr>
        <w:rFonts w:ascii="Courier New" w:hAnsi="Courier New" w:cs="Courier New" w:hint="default"/>
      </w:rPr>
    </w:lvl>
    <w:lvl w:ilvl="8" w:tplc="04150005" w:tentative="1">
      <w:start w:val="1"/>
      <w:numFmt w:val="bullet"/>
      <w:lvlText w:val=""/>
      <w:lvlJc w:val="left"/>
      <w:pPr>
        <w:ind w:left="5591" w:hanging="360"/>
      </w:pPr>
      <w:rPr>
        <w:rFonts w:ascii="Wingdings" w:hAnsi="Wingdings" w:hint="default"/>
      </w:rPr>
    </w:lvl>
  </w:abstractNum>
  <w:abstractNum w:abstractNumId="43" w15:restartNumberingAfterBreak="0">
    <w:nsid w:val="79B02E67"/>
    <w:multiLevelType w:val="hybridMultilevel"/>
    <w:tmpl w:val="B1CEE0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7FAF2A59"/>
    <w:multiLevelType w:val="multilevel"/>
    <w:tmpl w:val="D7F800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FE12D58"/>
    <w:multiLevelType w:val="hybridMultilevel"/>
    <w:tmpl w:val="871A7A18"/>
    <w:lvl w:ilvl="0" w:tplc="862262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409957777">
    <w:abstractNumId w:val="21"/>
  </w:num>
  <w:num w:numId="2" w16cid:durableId="290785916">
    <w:abstractNumId w:val="11"/>
  </w:num>
  <w:num w:numId="3" w16cid:durableId="1354646395">
    <w:abstractNumId w:val="8"/>
  </w:num>
  <w:num w:numId="4" w16cid:durableId="1586260662">
    <w:abstractNumId w:val="28"/>
  </w:num>
  <w:num w:numId="5" w16cid:durableId="546068561">
    <w:abstractNumId w:val="17"/>
  </w:num>
  <w:num w:numId="6" w16cid:durableId="618534357">
    <w:abstractNumId w:val="38"/>
  </w:num>
  <w:num w:numId="7" w16cid:durableId="9451365">
    <w:abstractNumId w:val="33"/>
  </w:num>
  <w:num w:numId="8" w16cid:durableId="217127630">
    <w:abstractNumId w:val="13"/>
  </w:num>
  <w:num w:numId="9" w16cid:durableId="234291538">
    <w:abstractNumId w:val="9"/>
  </w:num>
  <w:num w:numId="10" w16cid:durableId="998770605">
    <w:abstractNumId w:val="12"/>
  </w:num>
  <w:num w:numId="11" w16cid:durableId="2145190874">
    <w:abstractNumId w:val="37"/>
  </w:num>
  <w:num w:numId="12" w16cid:durableId="1515799407">
    <w:abstractNumId w:val="27"/>
  </w:num>
  <w:num w:numId="13" w16cid:durableId="823009616">
    <w:abstractNumId w:val="44"/>
  </w:num>
  <w:num w:numId="14" w16cid:durableId="2051881119">
    <w:abstractNumId w:val="39"/>
  </w:num>
  <w:num w:numId="15" w16cid:durableId="1872766414">
    <w:abstractNumId w:val="22"/>
  </w:num>
  <w:num w:numId="16" w16cid:durableId="512306400">
    <w:abstractNumId w:val="5"/>
  </w:num>
  <w:num w:numId="17" w16cid:durableId="1803232976">
    <w:abstractNumId w:val="41"/>
  </w:num>
  <w:num w:numId="18" w16cid:durableId="1885872131">
    <w:abstractNumId w:val="14"/>
  </w:num>
  <w:num w:numId="19" w16cid:durableId="1041171506">
    <w:abstractNumId w:val="2"/>
  </w:num>
  <w:num w:numId="20" w16cid:durableId="1864900100">
    <w:abstractNumId w:val="30"/>
  </w:num>
  <w:num w:numId="21" w16cid:durableId="765926026">
    <w:abstractNumId w:val="3"/>
  </w:num>
  <w:num w:numId="22" w16cid:durableId="811992288">
    <w:abstractNumId w:val="6"/>
  </w:num>
  <w:num w:numId="23" w16cid:durableId="86430">
    <w:abstractNumId w:val="16"/>
  </w:num>
  <w:num w:numId="24" w16cid:durableId="1386300408">
    <w:abstractNumId w:val="36"/>
  </w:num>
  <w:num w:numId="25" w16cid:durableId="1581058946">
    <w:abstractNumId w:val="32"/>
  </w:num>
  <w:num w:numId="26" w16cid:durableId="1497648428">
    <w:abstractNumId w:val="35"/>
  </w:num>
  <w:num w:numId="27" w16cid:durableId="476991840">
    <w:abstractNumId w:val="7"/>
  </w:num>
  <w:num w:numId="28" w16cid:durableId="213721788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35520931">
    <w:abstractNumId w:val="40"/>
  </w:num>
  <w:num w:numId="30" w16cid:durableId="828181435">
    <w:abstractNumId w:val="19"/>
  </w:num>
  <w:num w:numId="31" w16cid:durableId="1282803276">
    <w:abstractNumId w:val="25"/>
  </w:num>
  <w:num w:numId="32" w16cid:durableId="251158516">
    <w:abstractNumId w:val="29"/>
  </w:num>
  <w:num w:numId="33" w16cid:durableId="1034845495">
    <w:abstractNumId w:val="23"/>
  </w:num>
  <w:num w:numId="34" w16cid:durableId="730691440">
    <w:abstractNumId w:val="45"/>
  </w:num>
  <w:num w:numId="35" w16cid:durableId="428736566">
    <w:abstractNumId w:val="42"/>
  </w:num>
  <w:num w:numId="36" w16cid:durableId="1922451421">
    <w:abstractNumId w:val="43"/>
  </w:num>
  <w:num w:numId="37" w16cid:durableId="632908523">
    <w:abstractNumId w:val="31"/>
  </w:num>
  <w:num w:numId="38" w16cid:durableId="1871915210">
    <w:abstractNumId w:val="20"/>
  </w:num>
  <w:num w:numId="39" w16cid:durableId="968241951">
    <w:abstractNumId w:val="34"/>
  </w:num>
  <w:num w:numId="40" w16cid:durableId="1268536715">
    <w:abstractNumId w:val="1"/>
  </w:num>
  <w:num w:numId="41" w16cid:durableId="1204054706">
    <w:abstractNumId w:val="18"/>
  </w:num>
  <w:num w:numId="42" w16cid:durableId="110830093">
    <w:abstractNumId w:val="10"/>
  </w:num>
  <w:num w:numId="43" w16cid:durableId="896547178">
    <w:abstractNumId w:val="0"/>
  </w:num>
  <w:num w:numId="44" w16cid:durableId="1628470090">
    <w:abstractNumId w:val="15"/>
  </w:num>
  <w:num w:numId="45" w16cid:durableId="1033268216">
    <w:abstractNumId w:val="26"/>
  </w:num>
  <w:num w:numId="46" w16cid:durableId="1031146332">
    <w:abstractNumId w:val="4"/>
  </w:num>
  <w:num w:numId="47" w16cid:durableId="1822888295">
    <w:abstractNumId w:val="46"/>
    <w:lvlOverride w:ilvl="0"/>
    <w:lvlOverride w:ilvl="1"/>
    <w:lvlOverride w:ilvl="2"/>
    <w:lvlOverride w:ilvl="3"/>
    <w:lvlOverride w:ilvl="4"/>
    <w:lvlOverride w:ilvl="5"/>
    <w:lvlOverride w:ilvl="6"/>
    <w:lvlOverride w:ilvl="7"/>
    <w:lvlOverride w:ilvl="8"/>
  </w:num>
  <w:num w:numId="48" w16cid:durableId="1847017458">
    <w:abstractNumId w:val="24"/>
    <w:lvlOverride w:ilvl="0"/>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D03"/>
    <w:rsid w:val="000103C4"/>
    <w:rsid w:val="00010FC4"/>
    <w:rsid w:val="000133F7"/>
    <w:rsid w:val="00014A37"/>
    <w:rsid w:val="00014D19"/>
    <w:rsid w:val="00014DA3"/>
    <w:rsid w:val="00034973"/>
    <w:rsid w:val="00045E74"/>
    <w:rsid w:val="0006539D"/>
    <w:rsid w:val="00065F58"/>
    <w:rsid w:val="00071195"/>
    <w:rsid w:val="00072D2C"/>
    <w:rsid w:val="0008034D"/>
    <w:rsid w:val="000816BE"/>
    <w:rsid w:val="00084922"/>
    <w:rsid w:val="0008508B"/>
    <w:rsid w:val="000A571B"/>
    <w:rsid w:val="000B4C05"/>
    <w:rsid w:val="000B4F9D"/>
    <w:rsid w:val="000C4078"/>
    <w:rsid w:val="000C7735"/>
    <w:rsid w:val="000D1ED7"/>
    <w:rsid w:val="000D206E"/>
    <w:rsid w:val="000D26AD"/>
    <w:rsid w:val="000D4DDC"/>
    <w:rsid w:val="000D5B40"/>
    <w:rsid w:val="000D7441"/>
    <w:rsid w:val="000D7EA9"/>
    <w:rsid w:val="000E0A96"/>
    <w:rsid w:val="000E368E"/>
    <w:rsid w:val="000E530E"/>
    <w:rsid w:val="000E6CEC"/>
    <w:rsid w:val="000E7715"/>
    <w:rsid w:val="000F0CE7"/>
    <w:rsid w:val="000F162D"/>
    <w:rsid w:val="000F2C86"/>
    <w:rsid w:val="000F6CE6"/>
    <w:rsid w:val="00101EC8"/>
    <w:rsid w:val="00104E64"/>
    <w:rsid w:val="00111750"/>
    <w:rsid w:val="00111CEF"/>
    <w:rsid w:val="001159E7"/>
    <w:rsid w:val="00123087"/>
    <w:rsid w:val="001309B2"/>
    <w:rsid w:val="00134BAA"/>
    <w:rsid w:val="00136766"/>
    <w:rsid w:val="00143B08"/>
    <w:rsid w:val="001443D4"/>
    <w:rsid w:val="00144954"/>
    <w:rsid w:val="00144D03"/>
    <w:rsid w:val="00146563"/>
    <w:rsid w:val="00146E98"/>
    <w:rsid w:val="00150796"/>
    <w:rsid w:val="001552AA"/>
    <w:rsid w:val="00155987"/>
    <w:rsid w:val="001579D9"/>
    <w:rsid w:val="00157D9E"/>
    <w:rsid w:val="001655FA"/>
    <w:rsid w:val="0016738F"/>
    <w:rsid w:val="00177E74"/>
    <w:rsid w:val="00182F94"/>
    <w:rsid w:val="0018419A"/>
    <w:rsid w:val="001844C7"/>
    <w:rsid w:val="00187645"/>
    <w:rsid w:val="00190335"/>
    <w:rsid w:val="001A1707"/>
    <w:rsid w:val="001A6986"/>
    <w:rsid w:val="001A7B19"/>
    <w:rsid w:val="001A7BAA"/>
    <w:rsid w:val="001B0BC7"/>
    <w:rsid w:val="001B4E66"/>
    <w:rsid w:val="001C3B71"/>
    <w:rsid w:val="001C4751"/>
    <w:rsid w:val="001C5BDB"/>
    <w:rsid w:val="001D59B2"/>
    <w:rsid w:val="001D5EDC"/>
    <w:rsid w:val="001D6CF8"/>
    <w:rsid w:val="001D742C"/>
    <w:rsid w:val="001E2DD1"/>
    <w:rsid w:val="001E436F"/>
    <w:rsid w:val="001F3677"/>
    <w:rsid w:val="00213EB6"/>
    <w:rsid w:val="00214F88"/>
    <w:rsid w:val="002219CB"/>
    <w:rsid w:val="0022361E"/>
    <w:rsid w:val="0022552B"/>
    <w:rsid w:val="00225807"/>
    <w:rsid w:val="00226FE5"/>
    <w:rsid w:val="002275C7"/>
    <w:rsid w:val="00235716"/>
    <w:rsid w:val="00235CCF"/>
    <w:rsid w:val="00242D36"/>
    <w:rsid w:val="00244510"/>
    <w:rsid w:val="00250C58"/>
    <w:rsid w:val="00255583"/>
    <w:rsid w:val="0026125D"/>
    <w:rsid w:val="00265C7D"/>
    <w:rsid w:val="002709B0"/>
    <w:rsid w:val="0027230C"/>
    <w:rsid w:val="002731E2"/>
    <w:rsid w:val="00274B1B"/>
    <w:rsid w:val="0028200F"/>
    <w:rsid w:val="0028430E"/>
    <w:rsid w:val="0028668E"/>
    <w:rsid w:val="002878F2"/>
    <w:rsid w:val="002A31E4"/>
    <w:rsid w:val="002B7221"/>
    <w:rsid w:val="002C2C0D"/>
    <w:rsid w:val="002D3583"/>
    <w:rsid w:val="002D5360"/>
    <w:rsid w:val="002D6127"/>
    <w:rsid w:val="002E0079"/>
    <w:rsid w:val="002E0E10"/>
    <w:rsid w:val="002E6F00"/>
    <w:rsid w:val="002F113A"/>
    <w:rsid w:val="00304FB8"/>
    <w:rsid w:val="003061D7"/>
    <w:rsid w:val="0031102F"/>
    <w:rsid w:val="00311429"/>
    <w:rsid w:val="00311DD1"/>
    <w:rsid w:val="003204B6"/>
    <w:rsid w:val="00322BF1"/>
    <w:rsid w:val="00325CB4"/>
    <w:rsid w:val="00336A07"/>
    <w:rsid w:val="00337503"/>
    <w:rsid w:val="00341A82"/>
    <w:rsid w:val="0034485C"/>
    <w:rsid w:val="00347D74"/>
    <w:rsid w:val="00351738"/>
    <w:rsid w:val="003532A1"/>
    <w:rsid w:val="003544E6"/>
    <w:rsid w:val="00357737"/>
    <w:rsid w:val="003672FC"/>
    <w:rsid w:val="003847B5"/>
    <w:rsid w:val="00387614"/>
    <w:rsid w:val="0039128C"/>
    <w:rsid w:val="0039136B"/>
    <w:rsid w:val="00392859"/>
    <w:rsid w:val="00393CBA"/>
    <w:rsid w:val="00394375"/>
    <w:rsid w:val="003953F4"/>
    <w:rsid w:val="003A273F"/>
    <w:rsid w:val="003A3BB8"/>
    <w:rsid w:val="003A6CA4"/>
    <w:rsid w:val="003A7019"/>
    <w:rsid w:val="003B447D"/>
    <w:rsid w:val="003C0F1E"/>
    <w:rsid w:val="003C2AEE"/>
    <w:rsid w:val="003C56BD"/>
    <w:rsid w:val="003C6953"/>
    <w:rsid w:val="003D020A"/>
    <w:rsid w:val="003D1D50"/>
    <w:rsid w:val="003E38AA"/>
    <w:rsid w:val="003E3C90"/>
    <w:rsid w:val="003E5CE7"/>
    <w:rsid w:val="003F0E4F"/>
    <w:rsid w:val="003F1745"/>
    <w:rsid w:val="003F5A3A"/>
    <w:rsid w:val="003F6CD3"/>
    <w:rsid w:val="00415327"/>
    <w:rsid w:val="004169D9"/>
    <w:rsid w:val="004255F0"/>
    <w:rsid w:val="00430759"/>
    <w:rsid w:val="00432610"/>
    <w:rsid w:val="0043294F"/>
    <w:rsid w:val="00435575"/>
    <w:rsid w:val="00440611"/>
    <w:rsid w:val="00440A52"/>
    <w:rsid w:val="0044214E"/>
    <w:rsid w:val="00443B1A"/>
    <w:rsid w:val="00444C22"/>
    <w:rsid w:val="00444CA5"/>
    <w:rsid w:val="00450F04"/>
    <w:rsid w:val="004530E7"/>
    <w:rsid w:val="00453DE6"/>
    <w:rsid w:val="00456139"/>
    <w:rsid w:val="0045749E"/>
    <w:rsid w:val="004808FC"/>
    <w:rsid w:val="004919B6"/>
    <w:rsid w:val="00493B97"/>
    <w:rsid w:val="00495ACA"/>
    <w:rsid w:val="00495B15"/>
    <w:rsid w:val="004A440C"/>
    <w:rsid w:val="004A6BC6"/>
    <w:rsid w:val="004A7A77"/>
    <w:rsid w:val="004B205A"/>
    <w:rsid w:val="004C13DA"/>
    <w:rsid w:val="004C6385"/>
    <w:rsid w:val="004D2272"/>
    <w:rsid w:val="004D402B"/>
    <w:rsid w:val="004E4A14"/>
    <w:rsid w:val="004E631D"/>
    <w:rsid w:val="004F679B"/>
    <w:rsid w:val="00500E86"/>
    <w:rsid w:val="00505683"/>
    <w:rsid w:val="00510BFD"/>
    <w:rsid w:val="005208B3"/>
    <w:rsid w:val="00532309"/>
    <w:rsid w:val="005411B1"/>
    <w:rsid w:val="00546118"/>
    <w:rsid w:val="0055496E"/>
    <w:rsid w:val="005762DB"/>
    <w:rsid w:val="00576C01"/>
    <w:rsid w:val="00586363"/>
    <w:rsid w:val="005926B6"/>
    <w:rsid w:val="00595414"/>
    <w:rsid w:val="005B231D"/>
    <w:rsid w:val="005D0F64"/>
    <w:rsid w:val="005D18BA"/>
    <w:rsid w:val="005D6002"/>
    <w:rsid w:val="005D698C"/>
    <w:rsid w:val="005D6AF8"/>
    <w:rsid w:val="005E58F2"/>
    <w:rsid w:val="005E7210"/>
    <w:rsid w:val="005E726D"/>
    <w:rsid w:val="005F0726"/>
    <w:rsid w:val="005F353F"/>
    <w:rsid w:val="005F3B4B"/>
    <w:rsid w:val="005F5680"/>
    <w:rsid w:val="005F6497"/>
    <w:rsid w:val="00601A19"/>
    <w:rsid w:val="006020D6"/>
    <w:rsid w:val="00606416"/>
    <w:rsid w:val="0061385E"/>
    <w:rsid w:val="0061673C"/>
    <w:rsid w:val="00621C71"/>
    <w:rsid w:val="00622270"/>
    <w:rsid w:val="0062767B"/>
    <w:rsid w:val="00630025"/>
    <w:rsid w:val="00630FB6"/>
    <w:rsid w:val="00633019"/>
    <w:rsid w:val="00643475"/>
    <w:rsid w:val="00647472"/>
    <w:rsid w:val="00655FAE"/>
    <w:rsid w:val="00660E1B"/>
    <w:rsid w:val="0066585A"/>
    <w:rsid w:val="00691CEC"/>
    <w:rsid w:val="00692728"/>
    <w:rsid w:val="006936D7"/>
    <w:rsid w:val="00694FFB"/>
    <w:rsid w:val="00695ECC"/>
    <w:rsid w:val="006A586A"/>
    <w:rsid w:val="006B1DF3"/>
    <w:rsid w:val="006C0CA9"/>
    <w:rsid w:val="006C1752"/>
    <w:rsid w:val="006C2AC7"/>
    <w:rsid w:val="006C3181"/>
    <w:rsid w:val="006C451B"/>
    <w:rsid w:val="006D0499"/>
    <w:rsid w:val="006D112A"/>
    <w:rsid w:val="006D4580"/>
    <w:rsid w:val="006D5B42"/>
    <w:rsid w:val="006D73AC"/>
    <w:rsid w:val="006E2D53"/>
    <w:rsid w:val="006E2E75"/>
    <w:rsid w:val="006E4B8D"/>
    <w:rsid w:val="006F26E0"/>
    <w:rsid w:val="006F276B"/>
    <w:rsid w:val="006F3BCE"/>
    <w:rsid w:val="006F3CC9"/>
    <w:rsid w:val="006F6586"/>
    <w:rsid w:val="0070256A"/>
    <w:rsid w:val="00704746"/>
    <w:rsid w:val="00705B90"/>
    <w:rsid w:val="00706B12"/>
    <w:rsid w:val="00710546"/>
    <w:rsid w:val="00710664"/>
    <w:rsid w:val="00711EA9"/>
    <w:rsid w:val="007137B3"/>
    <w:rsid w:val="00715C52"/>
    <w:rsid w:val="00724EDB"/>
    <w:rsid w:val="00725114"/>
    <w:rsid w:val="00727219"/>
    <w:rsid w:val="00731C88"/>
    <w:rsid w:val="007340AD"/>
    <w:rsid w:val="00741189"/>
    <w:rsid w:val="007505EA"/>
    <w:rsid w:val="00750BE5"/>
    <w:rsid w:val="0075264D"/>
    <w:rsid w:val="00752C87"/>
    <w:rsid w:val="00753D3B"/>
    <w:rsid w:val="00754C2B"/>
    <w:rsid w:val="00756421"/>
    <w:rsid w:val="00756FEC"/>
    <w:rsid w:val="00761644"/>
    <w:rsid w:val="00764E22"/>
    <w:rsid w:val="00770862"/>
    <w:rsid w:val="007720E9"/>
    <w:rsid w:val="00776E02"/>
    <w:rsid w:val="00781724"/>
    <w:rsid w:val="007847A4"/>
    <w:rsid w:val="00791570"/>
    <w:rsid w:val="0079311F"/>
    <w:rsid w:val="00797B6F"/>
    <w:rsid w:val="007A3225"/>
    <w:rsid w:val="007A419A"/>
    <w:rsid w:val="007B5970"/>
    <w:rsid w:val="007B6D41"/>
    <w:rsid w:val="007B7294"/>
    <w:rsid w:val="007B7325"/>
    <w:rsid w:val="007B75D4"/>
    <w:rsid w:val="007C6ED3"/>
    <w:rsid w:val="007D0FA9"/>
    <w:rsid w:val="007E0508"/>
    <w:rsid w:val="007E1A08"/>
    <w:rsid w:val="007E61D1"/>
    <w:rsid w:val="007F18D9"/>
    <w:rsid w:val="007F6F4E"/>
    <w:rsid w:val="00803B03"/>
    <w:rsid w:val="00803B2B"/>
    <w:rsid w:val="00804ABE"/>
    <w:rsid w:val="00805709"/>
    <w:rsid w:val="00805ADD"/>
    <w:rsid w:val="00807B52"/>
    <w:rsid w:val="008142B1"/>
    <w:rsid w:val="00824109"/>
    <w:rsid w:val="00824583"/>
    <w:rsid w:val="00831EC0"/>
    <w:rsid w:val="00833FE6"/>
    <w:rsid w:val="008360BC"/>
    <w:rsid w:val="00841BEA"/>
    <w:rsid w:val="008452FA"/>
    <w:rsid w:val="008467CF"/>
    <w:rsid w:val="00846F09"/>
    <w:rsid w:val="008501B7"/>
    <w:rsid w:val="00851676"/>
    <w:rsid w:val="008517C7"/>
    <w:rsid w:val="008537C3"/>
    <w:rsid w:val="00854380"/>
    <w:rsid w:val="00864869"/>
    <w:rsid w:val="008649A1"/>
    <w:rsid w:val="0087222F"/>
    <w:rsid w:val="00882E7B"/>
    <w:rsid w:val="00890C36"/>
    <w:rsid w:val="00893669"/>
    <w:rsid w:val="0089722D"/>
    <w:rsid w:val="008A62FE"/>
    <w:rsid w:val="008B11D8"/>
    <w:rsid w:val="008B5BE5"/>
    <w:rsid w:val="008C3336"/>
    <w:rsid w:val="008D17A1"/>
    <w:rsid w:val="008D64CB"/>
    <w:rsid w:val="008D7044"/>
    <w:rsid w:val="008E0C69"/>
    <w:rsid w:val="008E65F2"/>
    <w:rsid w:val="008F6691"/>
    <w:rsid w:val="009008C0"/>
    <w:rsid w:val="009021D4"/>
    <w:rsid w:val="00912C5D"/>
    <w:rsid w:val="00920050"/>
    <w:rsid w:val="0093019C"/>
    <w:rsid w:val="00931EBD"/>
    <w:rsid w:val="00936769"/>
    <w:rsid w:val="009367F5"/>
    <w:rsid w:val="0094133F"/>
    <w:rsid w:val="00952BFC"/>
    <w:rsid w:val="009619B4"/>
    <w:rsid w:val="00963CA8"/>
    <w:rsid w:val="00967E45"/>
    <w:rsid w:val="00987E31"/>
    <w:rsid w:val="0099406A"/>
    <w:rsid w:val="009A2D45"/>
    <w:rsid w:val="009B76CD"/>
    <w:rsid w:val="009C520F"/>
    <w:rsid w:val="009C6825"/>
    <w:rsid w:val="009E1376"/>
    <w:rsid w:val="009E2DF6"/>
    <w:rsid w:val="009E661D"/>
    <w:rsid w:val="009E7B3F"/>
    <w:rsid w:val="009F4007"/>
    <w:rsid w:val="009F7C8A"/>
    <w:rsid w:val="00A13178"/>
    <w:rsid w:val="00A14FF0"/>
    <w:rsid w:val="00A2696B"/>
    <w:rsid w:val="00A312CD"/>
    <w:rsid w:val="00A3373E"/>
    <w:rsid w:val="00A3636A"/>
    <w:rsid w:val="00A37420"/>
    <w:rsid w:val="00A42AA6"/>
    <w:rsid w:val="00A464F6"/>
    <w:rsid w:val="00A47CCE"/>
    <w:rsid w:val="00A56D35"/>
    <w:rsid w:val="00A639C4"/>
    <w:rsid w:val="00A6454D"/>
    <w:rsid w:val="00A7088C"/>
    <w:rsid w:val="00A91EB5"/>
    <w:rsid w:val="00A91F26"/>
    <w:rsid w:val="00A926DE"/>
    <w:rsid w:val="00A94552"/>
    <w:rsid w:val="00A9568F"/>
    <w:rsid w:val="00A9741D"/>
    <w:rsid w:val="00AA0169"/>
    <w:rsid w:val="00AA30C3"/>
    <w:rsid w:val="00AA39A4"/>
    <w:rsid w:val="00AA5048"/>
    <w:rsid w:val="00AA6102"/>
    <w:rsid w:val="00AB436A"/>
    <w:rsid w:val="00AB5590"/>
    <w:rsid w:val="00AC6605"/>
    <w:rsid w:val="00AC79C6"/>
    <w:rsid w:val="00AD019C"/>
    <w:rsid w:val="00AD141F"/>
    <w:rsid w:val="00AE2C94"/>
    <w:rsid w:val="00AE5642"/>
    <w:rsid w:val="00AF0167"/>
    <w:rsid w:val="00AF6CDE"/>
    <w:rsid w:val="00B02DEE"/>
    <w:rsid w:val="00B03D3D"/>
    <w:rsid w:val="00B10C20"/>
    <w:rsid w:val="00B1334C"/>
    <w:rsid w:val="00B13A24"/>
    <w:rsid w:val="00B32CA0"/>
    <w:rsid w:val="00B33E43"/>
    <w:rsid w:val="00B352AD"/>
    <w:rsid w:val="00B44041"/>
    <w:rsid w:val="00B44348"/>
    <w:rsid w:val="00B554B9"/>
    <w:rsid w:val="00B612FE"/>
    <w:rsid w:val="00B64B7F"/>
    <w:rsid w:val="00B65B7A"/>
    <w:rsid w:val="00B67FD1"/>
    <w:rsid w:val="00B71C90"/>
    <w:rsid w:val="00B72965"/>
    <w:rsid w:val="00B74C3B"/>
    <w:rsid w:val="00B7708D"/>
    <w:rsid w:val="00B802BC"/>
    <w:rsid w:val="00B80D33"/>
    <w:rsid w:val="00B83680"/>
    <w:rsid w:val="00B8507F"/>
    <w:rsid w:val="00BA4922"/>
    <w:rsid w:val="00BA4B71"/>
    <w:rsid w:val="00BA4DD4"/>
    <w:rsid w:val="00BA5216"/>
    <w:rsid w:val="00BA7B93"/>
    <w:rsid w:val="00BB13EA"/>
    <w:rsid w:val="00BC2677"/>
    <w:rsid w:val="00BD2AE4"/>
    <w:rsid w:val="00BD2B22"/>
    <w:rsid w:val="00BE50F4"/>
    <w:rsid w:val="00BE7884"/>
    <w:rsid w:val="00C11DC2"/>
    <w:rsid w:val="00C12399"/>
    <w:rsid w:val="00C152B8"/>
    <w:rsid w:val="00C15AB7"/>
    <w:rsid w:val="00C16536"/>
    <w:rsid w:val="00C178B9"/>
    <w:rsid w:val="00C300A9"/>
    <w:rsid w:val="00C30CF6"/>
    <w:rsid w:val="00C368B6"/>
    <w:rsid w:val="00C36F23"/>
    <w:rsid w:val="00C41F91"/>
    <w:rsid w:val="00C47FE9"/>
    <w:rsid w:val="00C51DD4"/>
    <w:rsid w:val="00C5504B"/>
    <w:rsid w:val="00C66DDE"/>
    <w:rsid w:val="00C72982"/>
    <w:rsid w:val="00C87D25"/>
    <w:rsid w:val="00CA5F17"/>
    <w:rsid w:val="00CB1FEE"/>
    <w:rsid w:val="00CB44F6"/>
    <w:rsid w:val="00CB5219"/>
    <w:rsid w:val="00CB52EB"/>
    <w:rsid w:val="00CB6F73"/>
    <w:rsid w:val="00CB72EF"/>
    <w:rsid w:val="00CD12EF"/>
    <w:rsid w:val="00CD2200"/>
    <w:rsid w:val="00CD55EA"/>
    <w:rsid w:val="00CF3C0C"/>
    <w:rsid w:val="00CF5590"/>
    <w:rsid w:val="00CF579B"/>
    <w:rsid w:val="00D101E2"/>
    <w:rsid w:val="00D13CBC"/>
    <w:rsid w:val="00D13E8D"/>
    <w:rsid w:val="00D262FC"/>
    <w:rsid w:val="00D32FC9"/>
    <w:rsid w:val="00D33DFF"/>
    <w:rsid w:val="00D34BD4"/>
    <w:rsid w:val="00D44056"/>
    <w:rsid w:val="00D45B6A"/>
    <w:rsid w:val="00D4706C"/>
    <w:rsid w:val="00D478BA"/>
    <w:rsid w:val="00D664EC"/>
    <w:rsid w:val="00D74B4E"/>
    <w:rsid w:val="00D836FF"/>
    <w:rsid w:val="00D9147C"/>
    <w:rsid w:val="00D92581"/>
    <w:rsid w:val="00DA2BA0"/>
    <w:rsid w:val="00DA3A45"/>
    <w:rsid w:val="00DB4B29"/>
    <w:rsid w:val="00DB73A1"/>
    <w:rsid w:val="00DC3B64"/>
    <w:rsid w:val="00DC6A53"/>
    <w:rsid w:val="00DD0FE7"/>
    <w:rsid w:val="00DD2CDF"/>
    <w:rsid w:val="00DD3C2E"/>
    <w:rsid w:val="00DD4849"/>
    <w:rsid w:val="00DE23D4"/>
    <w:rsid w:val="00DF0690"/>
    <w:rsid w:val="00DF2F32"/>
    <w:rsid w:val="00DF49F5"/>
    <w:rsid w:val="00E13462"/>
    <w:rsid w:val="00E14E37"/>
    <w:rsid w:val="00E15A75"/>
    <w:rsid w:val="00E21E0F"/>
    <w:rsid w:val="00E220AB"/>
    <w:rsid w:val="00E22DAE"/>
    <w:rsid w:val="00E246FD"/>
    <w:rsid w:val="00E261AA"/>
    <w:rsid w:val="00E30967"/>
    <w:rsid w:val="00E3598B"/>
    <w:rsid w:val="00E36E12"/>
    <w:rsid w:val="00E37622"/>
    <w:rsid w:val="00E37C37"/>
    <w:rsid w:val="00E471CF"/>
    <w:rsid w:val="00E51FB6"/>
    <w:rsid w:val="00E64F31"/>
    <w:rsid w:val="00E7136F"/>
    <w:rsid w:val="00E75174"/>
    <w:rsid w:val="00E82CD6"/>
    <w:rsid w:val="00E93F87"/>
    <w:rsid w:val="00EA37E4"/>
    <w:rsid w:val="00EB6695"/>
    <w:rsid w:val="00EC5274"/>
    <w:rsid w:val="00ED48C8"/>
    <w:rsid w:val="00ED4C77"/>
    <w:rsid w:val="00EE6B70"/>
    <w:rsid w:val="00EF4C34"/>
    <w:rsid w:val="00F007DE"/>
    <w:rsid w:val="00F04755"/>
    <w:rsid w:val="00F0644D"/>
    <w:rsid w:val="00F06819"/>
    <w:rsid w:val="00F07CBF"/>
    <w:rsid w:val="00F176B7"/>
    <w:rsid w:val="00F21635"/>
    <w:rsid w:val="00F34662"/>
    <w:rsid w:val="00F36E9D"/>
    <w:rsid w:val="00F403CE"/>
    <w:rsid w:val="00F4236A"/>
    <w:rsid w:val="00F45F54"/>
    <w:rsid w:val="00F50499"/>
    <w:rsid w:val="00F5199E"/>
    <w:rsid w:val="00F53556"/>
    <w:rsid w:val="00F56C92"/>
    <w:rsid w:val="00F6231D"/>
    <w:rsid w:val="00F626BE"/>
    <w:rsid w:val="00F7793D"/>
    <w:rsid w:val="00F8218A"/>
    <w:rsid w:val="00F96081"/>
    <w:rsid w:val="00FA18C3"/>
    <w:rsid w:val="00FA49C7"/>
    <w:rsid w:val="00FA5E35"/>
    <w:rsid w:val="00FC549A"/>
    <w:rsid w:val="00FC5EB1"/>
    <w:rsid w:val="00FC60BC"/>
    <w:rsid w:val="00FD5E2F"/>
    <w:rsid w:val="00FD6C27"/>
    <w:rsid w:val="00FE0510"/>
    <w:rsid w:val="00FE43F5"/>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Nierozpoznanawzmianka">
    <w:name w:val="Unresolved Mention"/>
    <w:basedOn w:val="Domylnaczcionkaakapitu"/>
    <w:uiPriority w:val="99"/>
    <w:semiHidden/>
    <w:unhideWhenUsed/>
    <w:rsid w:val="00912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18482">
      <w:bodyDiv w:val="1"/>
      <w:marLeft w:val="0"/>
      <w:marRight w:val="0"/>
      <w:marTop w:val="0"/>
      <w:marBottom w:val="0"/>
      <w:divBdr>
        <w:top w:val="none" w:sz="0" w:space="0" w:color="auto"/>
        <w:left w:val="none" w:sz="0" w:space="0" w:color="auto"/>
        <w:bottom w:val="none" w:sz="0" w:space="0" w:color="auto"/>
        <w:right w:val="none" w:sz="0" w:space="0" w:color="auto"/>
      </w:divBdr>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79575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zdw.pl/zamowienia-publiczne/inne-informac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CBB1A-0677-4EF9-8FD0-B24C6926F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3530</Words>
  <Characters>21181</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Adam Homa</cp:lastModifiedBy>
  <cp:revision>7</cp:revision>
  <cp:lastPrinted>2024-09-26T06:33:00Z</cp:lastPrinted>
  <dcterms:created xsi:type="dcterms:W3CDTF">2024-08-23T08:59:00Z</dcterms:created>
  <dcterms:modified xsi:type="dcterms:W3CDTF">2024-09-26T06:41:00Z</dcterms:modified>
</cp:coreProperties>
</file>