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DB4A3" w14:textId="58438D50" w:rsidR="00A34873" w:rsidRPr="005B6CBC" w:rsidRDefault="005B6CBC" w:rsidP="005B6CBC">
      <w:pPr>
        <w:jc w:val="right"/>
        <w:rPr>
          <w:rFonts w:ascii="Calibri" w:eastAsiaTheme="majorEastAsia" w:hAnsi="Calibri" w:cs="Calibri"/>
          <w:b/>
          <w:bCs/>
          <w:kern w:val="28"/>
          <w:szCs w:val="22"/>
          <w:lang w:val="pl-PL"/>
        </w:rPr>
      </w:pPr>
      <w:r w:rsidRPr="005B6CBC">
        <w:rPr>
          <w:rFonts w:ascii="Calibri" w:eastAsiaTheme="majorEastAsia" w:hAnsi="Calibri" w:cs="Calibri"/>
          <w:b/>
          <w:bCs/>
          <w:kern w:val="28"/>
          <w:szCs w:val="22"/>
          <w:lang w:val="pl-PL"/>
        </w:rPr>
        <w:t>Opis przedmiotu zamówienia</w:t>
      </w:r>
      <w:r w:rsidR="00070349">
        <w:rPr>
          <w:rFonts w:ascii="Calibri" w:eastAsiaTheme="majorEastAsia" w:hAnsi="Calibri" w:cs="Calibri"/>
          <w:b/>
          <w:bCs/>
          <w:kern w:val="28"/>
          <w:szCs w:val="22"/>
          <w:lang w:val="pl-PL"/>
        </w:rPr>
        <w:t xml:space="preserve"> dla cz. 2</w:t>
      </w:r>
    </w:p>
    <w:p w14:paraId="1A2FA9DF" w14:textId="77777777" w:rsidR="00A34873" w:rsidRPr="005B6CBC" w:rsidRDefault="00A34873" w:rsidP="00161490">
      <w:pPr>
        <w:rPr>
          <w:rFonts w:ascii="Calibri" w:eastAsiaTheme="majorEastAsia" w:hAnsi="Calibri" w:cs="Calibri"/>
          <w:b/>
          <w:bCs/>
          <w:kern w:val="28"/>
          <w:szCs w:val="22"/>
          <w:lang w:val="pl-PL"/>
        </w:rPr>
      </w:pPr>
    </w:p>
    <w:p w14:paraId="75060F2A" w14:textId="06367D33" w:rsidR="00161490" w:rsidRPr="005B6CBC" w:rsidRDefault="00161490" w:rsidP="00161490">
      <w:pPr>
        <w:rPr>
          <w:rFonts w:ascii="Calibri" w:eastAsiaTheme="majorEastAsia" w:hAnsi="Calibri" w:cs="Calibri"/>
          <w:b/>
          <w:bCs/>
          <w:kern w:val="28"/>
          <w:szCs w:val="22"/>
          <w:lang w:val="pl-PL"/>
        </w:rPr>
      </w:pPr>
      <w:r w:rsidRPr="005B6CBC">
        <w:rPr>
          <w:rFonts w:ascii="Calibri" w:eastAsiaTheme="majorEastAsia" w:hAnsi="Calibri" w:cs="Calibri"/>
          <w:b/>
          <w:bCs/>
          <w:kern w:val="28"/>
          <w:szCs w:val="22"/>
          <w:lang w:val="pl-PL"/>
        </w:rPr>
        <w:t xml:space="preserve">Oferowane </w:t>
      </w:r>
      <w:r w:rsidR="00A554ED" w:rsidRPr="005B6CBC">
        <w:rPr>
          <w:rFonts w:ascii="Calibri" w:eastAsiaTheme="majorEastAsia" w:hAnsi="Calibri" w:cs="Calibri"/>
          <w:b/>
          <w:bCs/>
          <w:kern w:val="28"/>
          <w:szCs w:val="22"/>
          <w:lang w:val="pl-PL"/>
        </w:rPr>
        <w:t xml:space="preserve">fotele </w:t>
      </w:r>
      <w:r w:rsidRPr="005B6CBC">
        <w:rPr>
          <w:rFonts w:ascii="Calibri" w:eastAsiaTheme="majorEastAsia" w:hAnsi="Calibri" w:cs="Calibri"/>
          <w:b/>
          <w:bCs/>
          <w:kern w:val="28"/>
          <w:szCs w:val="22"/>
          <w:lang w:val="pl-PL"/>
        </w:rPr>
        <w:t xml:space="preserve">biurowe muszą spełniać następujące wymagania: </w:t>
      </w:r>
    </w:p>
    <w:p w14:paraId="067553C8" w14:textId="77777777" w:rsidR="00161490" w:rsidRPr="005B6CBC" w:rsidRDefault="00161490">
      <w:pPr>
        <w:rPr>
          <w:rFonts w:ascii="Calibri" w:hAnsi="Calibri" w:cs="Calibr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1490" w:rsidRPr="005B6CBC" w14:paraId="5B4617AC" w14:textId="77777777" w:rsidTr="004346CC">
        <w:tc>
          <w:tcPr>
            <w:tcW w:w="4531" w:type="dxa"/>
          </w:tcPr>
          <w:p w14:paraId="414836FC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kolor</w:t>
            </w:r>
          </w:p>
        </w:tc>
        <w:tc>
          <w:tcPr>
            <w:tcW w:w="4531" w:type="dxa"/>
          </w:tcPr>
          <w:p w14:paraId="0A723ACA" w14:textId="33AEC967" w:rsidR="00161490" w:rsidRPr="005B6CBC" w:rsidRDefault="00A554ED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W odcieniach szarości, preferowany koler j</w:t>
            </w:r>
            <w:r w:rsidR="00161490" w:rsidRPr="005B6CBC">
              <w:rPr>
                <w:rFonts w:ascii="Calibri" w:hAnsi="Calibri" w:cs="Calibri"/>
                <w:szCs w:val="22"/>
              </w:rPr>
              <w:t xml:space="preserve">asno szary </w:t>
            </w:r>
          </w:p>
        </w:tc>
      </w:tr>
      <w:tr w:rsidR="00161490" w:rsidRPr="005B6CBC" w14:paraId="4E54E492" w14:textId="77777777" w:rsidTr="004346CC">
        <w:tc>
          <w:tcPr>
            <w:tcW w:w="4531" w:type="dxa"/>
          </w:tcPr>
          <w:p w14:paraId="2B06F57B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podłokietnik</w:t>
            </w:r>
          </w:p>
        </w:tc>
        <w:tc>
          <w:tcPr>
            <w:tcW w:w="4531" w:type="dxa"/>
          </w:tcPr>
          <w:p w14:paraId="45043AE9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Czarny, z tworzywa sztucznego, z miękką nakładką, z regulacją góra-dół w zakresie minimum 10 cm i szerokości w zakresie minimum 4 cm</w:t>
            </w:r>
          </w:p>
        </w:tc>
      </w:tr>
      <w:tr w:rsidR="00161490" w:rsidRPr="005B6CBC" w14:paraId="29A53225" w14:textId="77777777" w:rsidTr="004346CC">
        <w:tc>
          <w:tcPr>
            <w:tcW w:w="4531" w:type="dxa"/>
          </w:tcPr>
          <w:p w14:paraId="29D18C68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oparcie</w:t>
            </w:r>
          </w:p>
        </w:tc>
        <w:tc>
          <w:tcPr>
            <w:tcW w:w="4531" w:type="dxa"/>
          </w:tcPr>
          <w:p w14:paraId="670443AD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Tapicerowane, w odcieniach szarości, materiał trudnozapalny Trevira CS lub równoważny, trudnozdzieralna – minimum 100 tys. cykli Martindale, wyprofilowane podparcie lędźwi, regulacja wysokości w zakresie minimum 6 cm</w:t>
            </w:r>
          </w:p>
        </w:tc>
      </w:tr>
      <w:tr w:rsidR="00161490" w:rsidRPr="005B6CBC" w14:paraId="6209D764" w14:textId="77777777" w:rsidTr="004346CC">
        <w:tc>
          <w:tcPr>
            <w:tcW w:w="4531" w:type="dxa"/>
          </w:tcPr>
          <w:p w14:paraId="4181774E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siedzisko</w:t>
            </w:r>
          </w:p>
        </w:tc>
        <w:tc>
          <w:tcPr>
            <w:tcW w:w="4531" w:type="dxa"/>
          </w:tcPr>
          <w:p w14:paraId="1ECAB837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Tapicerowane, w odcieniach szarości, materiał trudnozapalny Trevira CS lub równoważny, trudnozdzieralna – minimum 100 tys. cykli Martindale, funkcja wysuwu w zakresie minimum 6 cm</w:t>
            </w:r>
          </w:p>
        </w:tc>
      </w:tr>
      <w:tr w:rsidR="00161490" w:rsidRPr="005B6CBC" w14:paraId="52A2D899" w14:textId="77777777" w:rsidTr="004346CC">
        <w:tc>
          <w:tcPr>
            <w:tcW w:w="4531" w:type="dxa"/>
          </w:tcPr>
          <w:p w14:paraId="2E99071F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regulacja wysokości za pomocą podnośnika gazowego</w:t>
            </w:r>
          </w:p>
        </w:tc>
        <w:tc>
          <w:tcPr>
            <w:tcW w:w="4531" w:type="dxa"/>
          </w:tcPr>
          <w:p w14:paraId="3FB30A67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Tak, w zakresie minimum 12 cm</w:t>
            </w:r>
          </w:p>
        </w:tc>
      </w:tr>
      <w:tr w:rsidR="00161490" w:rsidRPr="005B6CBC" w14:paraId="05536167" w14:textId="77777777" w:rsidTr="004346CC">
        <w:tc>
          <w:tcPr>
            <w:tcW w:w="4531" w:type="dxa"/>
          </w:tcPr>
          <w:p w14:paraId="4C5C54DA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Blokada siedziska i oparcia w kilku pozycjach</w:t>
            </w:r>
          </w:p>
        </w:tc>
        <w:tc>
          <w:tcPr>
            <w:tcW w:w="4531" w:type="dxa"/>
          </w:tcPr>
          <w:p w14:paraId="0D2FFEEC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 xml:space="preserve">Tak, minimum 5 pozycji, </w:t>
            </w:r>
            <w:r w:rsidRPr="005B6CBC">
              <w:rPr>
                <w:rFonts w:ascii="Calibri" w:eastAsiaTheme="majorEastAsia" w:hAnsi="Calibri" w:cs="Calibri"/>
                <w:kern w:val="28"/>
                <w:szCs w:val="22"/>
                <w:lang w:val="pl-PL"/>
              </w:rPr>
              <w:t>funkcja zapobiegania uderzeniu oparcia w plecy podczas zwalniania blokady mechanizmu</w:t>
            </w:r>
          </w:p>
        </w:tc>
      </w:tr>
      <w:tr w:rsidR="00161490" w:rsidRPr="005B6CBC" w14:paraId="36FCBB4F" w14:textId="77777777" w:rsidTr="004346CC">
        <w:tc>
          <w:tcPr>
            <w:tcW w:w="4531" w:type="dxa"/>
          </w:tcPr>
          <w:p w14:paraId="6ACC72B3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Podstawa jezdna</w:t>
            </w:r>
          </w:p>
        </w:tc>
        <w:tc>
          <w:tcPr>
            <w:tcW w:w="4531" w:type="dxa"/>
          </w:tcPr>
          <w:p w14:paraId="40592567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Pięcioramienna w kolorze czarnym, do wyboru kółka do podłogi twardej lub miękkiej</w:t>
            </w:r>
          </w:p>
        </w:tc>
      </w:tr>
      <w:tr w:rsidR="00161490" w:rsidRPr="005B6CBC" w14:paraId="79435ADA" w14:textId="77777777" w:rsidTr="004346CC">
        <w:tc>
          <w:tcPr>
            <w:tcW w:w="4531" w:type="dxa"/>
          </w:tcPr>
          <w:p w14:paraId="18AA85D7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wymiary</w:t>
            </w:r>
          </w:p>
        </w:tc>
        <w:tc>
          <w:tcPr>
            <w:tcW w:w="4531" w:type="dxa"/>
          </w:tcPr>
          <w:p w14:paraId="60DD4F29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Wysokość całkowita 98-112 cm (+/- 2 cm)</w:t>
            </w:r>
          </w:p>
          <w:p w14:paraId="2532D1BB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Wysokość siedziska: 39-52 cm (+/- 1 cm)</w:t>
            </w:r>
          </w:p>
          <w:p w14:paraId="29A4B3C0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Wysokość podłokietnika: 20-31 cm (+/- 1 cm)</w:t>
            </w:r>
          </w:p>
          <w:p w14:paraId="2E9084CC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Całkowita wysokość oparcia 60 cm (+/- 2 cm)</w:t>
            </w:r>
          </w:p>
        </w:tc>
      </w:tr>
      <w:tr w:rsidR="00161490" w:rsidRPr="005B6CBC" w14:paraId="707D654C" w14:textId="77777777" w:rsidTr="004346CC">
        <w:tc>
          <w:tcPr>
            <w:tcW w:w="4531" w:type="dxa"/>
          </w:tcPr>
          <w:p w14:paraId="280147BF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Dopuszczalne obciążenie fotela</w:t>
            </w:r>
          </w:p>
        </w:tc>
        <w:tc>
          <w:tcPr>
            <w:tcW w:w="4531" w:type="dxa"/>
          </w:tcPr>
          <w:p w14:paraId="542A2940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Nie mniej niż 100 kg</w:t>
            </w:r>
          </w:p>
        </w:tc>
      </w:tr>
      <w:tr w:rsidR="00161490" w:rsidRPr="005B6CBC" w14:paraId="1A5D5B16" w14:textId="77777777" w:rsidTr="004346CC">
        <w:tc>
          <w:tcPr>
            <w:tcW w:w="4531" w:type="dxa"/>
          </w:tcPr>
          <w:p w14:paraId="15A407C7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Mechanizm</w:t>
            </w:r>
          </w:p>
        </w:tc>
        <w:tc>
          <w:tcPr>
            <w:tcW w:w="4531" w:type="dxa"/>
          </w:tcPr>
          <w:p w14:paraId="50CB17D0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Synchroniczny (kołyskowy)</w:t>
            </w:r>
          </w:p>
        </w:tc>
      </w:tr>
      <w:tr w:rsidR="00161490" w:rsidRPr="005B6CBC" w14:paraId="2C0B5738" w14:textId="77777777" w:rsidTr="004346CC">
        <w:tc>
          <w:tcPr>
            <w:tcW w:w="4531" w:type="dxa"/>
          </w:tcPr>
          <w:p w14:paraId="0A7C0A47" w14:textId="77777777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>Gwarancja</w:t>
            </w:r>
          </w:p>
        </w:tc>
        <w:tc>
          <w:tcPr>
            <w:tcW w:w="4531" w:type="dxa"/>
          </w:tcPr>
          <w:p w14:paraId="53A2EA82" w14:textId="4A7B65E4" w:rsidR="00161490" w:rsidRPr="005B6CBC" w:rsidRDefault="00161490" w:rsidP="004346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szCs w:val="22"/>
              </w:rPr>
            </w:pPr>
            <w:r w:rsidRPr="005B6CBC">
              <w:rPr>
                <w:rFonts w:ascii="Calibri" w:hAnsi="Calibri" w:cs="Calibri"/>
                <w:szCs w:val="22"/>
              </w:rPr>
              <w:t xml:space="preserve">Minimum </w:t>
            </w:r>
            <w:r w:rsidR="005B6CBC">
              <w:rPr>
                <w:rFonts w:ascii="Calibri" w:hAnsi="Calibri" w:cs="Calibri"/>
                <w:szCs w:val="22"/>
              </w:rPr>
              <w:t>24 miesiące</w:t>
            </w:r>
          </w:p>
        </w:tc>
      </w:tr>
    </w:tbl>
    <w:p w14:paraId="312EAF95" w14:textId="77777777" w:rsidR="00161490" w:rsidRPr="005B6CBC" w:rsidRDefault="00161490">
      <w:pPr>
        <w:rPr>
          <w:rFonts w:ascii="Calibri" w:hAnsi="Calibri" w:cs="Calibri"/>
          <w:szCs w:val="22"/>
        </w:rPr>
      </w:pPr>
    </w:p>
    <w:sectPr w:rsidR="00161490" w:rsidRPr="005B6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5EABF" w14:textId="77777777" w:rsidR="007B378D" w:rsidRDefault="007B378D" w:rsidP="00161490">
      <w:r>
        <w:separator/>
      </w:r>
    </w:p>
  </w:endnote>
  <w:endnote w:type="continuationSeparator" w:id="0">
    <w:p w14:paraId="14240365" w14:textId="77777777" w:rsidR="007B378D" w:rsidRDefault="007B378D" w:rsidP="0016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Regular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CBE3" w14:textId="77777777" w:rsidR="007B378D" w:rsidRDefault="007B378D" w:rsidP="00161490">
      <w:r>
        <w:separator/>
      </w:r>
    </w:p>
  </w:footnote>
  <w:footnote w:type="continuationSeparator" w:id="0">
    <w:p w14:paraId="68A80456" w14:textId="77777777" w:rsidR="007B378D" w:rsidRDefault="007B378D" w:rsidP="001614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490"/>
    <w:rsid w:val="00070349"/>
    <w:rsid w:val="00161490"/>
    <w:rsid w:val="002D4B9E"/>
    <w:rsid w:val="005063A6"/>
    <w:rsid w:val="00542CA8"/>
    <w:rsid w:val="005563D6"/>
    <w:rsid w:val="005B6CBC"/>
    <w:rsid w:val="005D5D9C"/>
    <w:rsid w:val="006A1D18"/>
    <w:rsid w:val="007074CD"/>
    <w:rsid w:val="007B378D"/>
    <w:rsid w:val="00A026F5"/>
    <w:rsid w:val="00A34873"/>
    <w:rsid w:val="00A554ED"/>
    <w:rsid w:val="00BE39CE"/>
    <w:rsid w:val="00CB20D3"/>
    <w:rsid w:val="00CE48FB"/>
    <w:rsid w:val="00E111D0"/>
    <w:rsid w:val="00E3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DEB82"/>
  <w15:chartTrackingRefBased/>
  <w15:docId w15:val="{649B810C-0D53-4F29-A21C-A3442A6F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614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Roboto Regular" w:eastAsia="Arial Unicode MS" w:hAnsi="Roboto Regular" w:cs="Arial Unicode MS"/>
      <w:color w:val="25282A"/>
      <w:szCs w:val="20"/>
      <w:bdr w:val="nil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149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A3487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tLeast"/>
      <w:ind w:left="360"/>
      <w:jc w:val="both"/>
    </w:pPr>
    <w:rPr>
      <w:rFonts w:ascii="Times New Roman" w:eastAsia="Times New Roman" w:hAnsi="Times New Roman" w:cs="Times New Roman"/>
      <w:b/>
      <w:color w:val="auto"/>
      <w:sz w:val="24"/>
      <w:bdr w:val="none" w:sz="0" w:space="0" w:color="auto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Kornatowska Joanna</dc:creator>
  <cp:keywords/>
  <dc:description/>
  <cp:lastModifiedBy>Krogulec Sylwia</cp:lastModifiedBy>
  <cp:revision>6</cp:revision>
  <cp:lastPrinted>2024-09-06T11:53:00Z</cp:lastPrinted>
  <dcterms:created xsi:type="dcterms:W3CDTF">2024-09-20T11:06:00Z</dcterms:created>
  <dcterms:modified xsi:type="dcterms:W3CDTF">2024-09-23T09:43:00Z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UxC4dwLulzfINJ8nQH+xvX5LNGipWa4BRSZhPgxsCvk+FTFxtsNl+Hc1R5nqgH6gkxghjX3gG70T4G7Ip6mFAA==</vt:lpwstr>
  </property>
  <property fmtid="{D5CDD505-2E9C-101B-9397-08002B2CF9AE}" pid="4" name="MFClassificationDate">
    <vt:lpwstr>2024-09-06T13:42:44.5527982+02:00</vt:lpwstr>
  </property>
  <property fmtid="{D5CDD505-2E9C-101B-9397-08002B2CF9AE}" pid="5" name="MFClassifiedBySID">
    <vt:lpwstr>UxC4dwLulzfINJ8nQH+xvX5LNGipWa4BRSZhPgxsCvm42mrIC/DSDv0ggS+FjUN/2v1BBotkLlY5aAiEhoi6ucBJK6eLihAu5aMkL7lMiLZs0jjzk/TcEC+LBTKkz18H</vt:lpwstr>
  </property>
  <property fmtid="{D5CDD505-2E9C-101B-9397-08002B2CF9AE}" pid="6" name="MFGRNItemId">
    <vt:lpwstr>GRN-365bb452-f4d1-420f-98b6-1ee51a55bd1d</vt:lpwstr>
  </property>
  <property fmtid="{D5CDD505-2E9C-101B-9397-08002B2CF9AE}" pid="7" name="MFHash">
    <vt:lpwstr>NJb3gt40d+zSs4ZFZj+2+cUH40m/r9Q1d9cNvvyyqd8=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